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7F85D9">
      <w:pPr>
        <w:jc w:val="left"/>
        <w:rPr>
          <w:rFonts w:asciiTheme="minorEastAsia" w:hAnsiTheme="minorEastAsia" w:cstheme="minorEastAsia"/>
          <w:sz w:val="28"/>
          <w:szCs w:val="28"/>
        </w:rPr>
      </w:pPr>
      <w:bookmarkStart w:id="0" w:name="_Hlk168142431"/>
      <w:bookmarkEnd w:id="0"/>
    </w:p>
    <w:p w14:paraId="001D6B2B">
      <w:pPr>
        <w:jc w:val="center"/>
        <w:rPr>
          <w:rFonts w:ascii="宋体" w:hAnsi="宋体" w:eastAsia="宋体" w:cs="宋体"/>
          <w:b/>
          <w:bCs/>
          <w:sz w:val="52"/>
          <w:szCs w:val="52"/>
        </w:rPr>
      </w:pPr>
      <w:r>
        <w:rPr>
          <w:rFonts w:hint="eastAsia" w:cs="宋体"/>
          <w:b/>
          <w:bCs/>
          <w:sz w:val="52"/>
          <w:szCs w:val="52"/>
          <w:lang w:val="en-US" w:eastAsia="zh-CN"/>
        </w:rPr>
        <w:t>采购人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操作手册</w:t>
      </w:r>
    </w:p>
    <w:p w14:paraId="3246D7D9">
      <w:pPr>
        <w:jc w:val="center"/>
        <w:rPr>
          <w:rFonts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（V1.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）</w:t>
      </w:r>
    </w:p>
    <w:p w14:paraId="4E482E8D">
      <w:pPr>
        <w:ind w:firstLine="420" w:firstLineChars="150"/>
        <w:jc w:val="left"/>
        <w:rPr>
          <w:rFonts w:asciiTheme="minorEastAsia" w:hAnsiTheme="minorEastAsia" w:cstheme="minorEastAsia"/>
          <w:sz w:val="28"/>
          <w:szCs w:val="28"/>
        </w:rPr>
      </w:pPr>
    </w:p>
    <w:p w14:paraId="55FB4AAF">
      <w:pPr>
        <w:ind w:firstLine="420" w:firstLineChars="150"/>
        <w:jc w:val="left"/>
        <w:rPr>
          <w:rFonts w:asciiTheme="minorEastAsia" w:hAnsiTheme="minorEastAsia" w:cstheme="minorEastAsia"/>
          <w:sz w:val="28"/>
          <w:szCs w:val="28"/>
        </w:rPr>
      </w:pPr>
    </w:p>
    <w:p w14:paraId="0522F85E">
      <w:pPr>
        <w:ind w:firstLine="420" w:firstLineChars="150"/>
        <w:jc w:val="left"/>
        <w:rPr>
          <w:rFonts w:asciiTheme="minorEastAsia" w:hAnsiTheme="minorEastAsia" w:cstheme="minorEastAsia"/>
          <w:sz w:val="28"/>
          <w:szCs w:val="28"/>
        </w:rPr>
      </w:pPr>
    </w:p>
    <w:p w14:paraId="64CBD4FD">
      <w:pPr>
        <w:ind w:firstLine="420" w:firstLineChars="150"/>
        <w:jc w:val="left"/>
        <w:rPr>
          <w:rFonts w:asciiTheme="minorEastAsia" w:hAnsiTheme="minorEastAsia" w:cstheme="minorEastAsia"/>
          <w:sz w:val="28"/>
          <w:szCs w:val="28"/>
        </w:rPr>
      </w:pP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9"/>
        <w:gridCol w:w="2490"/>
        <w:gridCol w:w="2490"/>
        <w:gridCol w:w="2490"/>
      </w:tblGrid>
      <w:tr w14:paraId="7C2C4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2489" w:type="dxa"/>
            <w:shd w:val="clear" w:color="auto" w:fill="D7D7D7" w:themeFill="background1" w:themeFillShade="D8"/>
          </w:tcPr>
          <w:p w14:paraId="4496B41C">
            <w:pPr>
              <w:ind w:firstLine="420" w:firstLineChars="15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版本</w:t>
            </w:r>
          </w:p>
        </w:tc>
        <w:tc>
          <w:tcPr>
            <w:tcW w:w="2490" w:type="dxa"/>
            <w:shd w:val="clear" w:color="auto" w:fill="D7D7D7" w:themeFill="background1" w:themeFillShade="D8"/>
          </w:tcPr>
          <w:p w14:paraId="2E183D00">
            <w:pPr>
              <w:ind w:firstLine="420" w:firstLineChars="15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修订内容</w:t>
            </w:r>
          </w:p>
        </w:tc>
        <w:tc>
          <w:tcPr>
            <w:tcW w:w="2490" w:type="dxa"/>
            <w:shd w:val="clear" w:color="auto" w:fill="D7D7D7" w:themeFill="background1" w:themeFillShade="D8"/>
          </w:tcPr>
          <w:p w14:paraId="0BBA2363">
            <w:pPr>
              <w:ind w:firstLine="420" w:firstLineChars="15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修订人</w:t>
            </w:r>
          </w:p>
        </w:tc>
        <w:tc>
          <w:tcPr>
            <w:tcW w:w="2490" w:type="dxa"/>
            <w:shd w:val="clear" w:color="auto" w:fill="D7D7D7" w:themeFill="background1" w:themeFillShade="D8"/>
          </w:tcPr>
          <w:p w14:paraId="24862F14">
            <w:pPr>
              <w:ind w:firstLine="420" w:firstLineChars="15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修订时间</w:t>
            </w:r>
          </w:p>
        </w:tc>
      </w:tr>
      <w:tr w14:paraId="50F28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9" w:type="dxa"/>
          </w:tcPr>
          <w:p w14:paraId="1D939D55">
            <w:pPr>
              <w:ind w:firstLine="420" w:firstLineChars="15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V1.0</w:t>
            </w:r>
          </w:p>
        </w:tc>
        <w:tc>
          <w:tcPr>
            <w:tcW w:w="2490" w:type="dxa"/>
          </w:tcPr>
          <w:p w14:paraId="54DECBEA">
            <w:pPr>
              <w:ind w:firstLine="420" w:firstLineChars="15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初稿</w:t>
            </w:r>
          </w:p>
        </w:tc>
        <w:tc>
          <w:tcPr>
            <w:tcW w:w="2490" w:type="dxa"/>
          </w:tcPr>
          <w:p w14:paraId="115F37F3">
            <w:pPr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孙辛玉清</w:t>
            </w:r>
          </w:p>
        </w:tc>
        <w:tc>
          <w:tcPr>
            <w:tcW w:w="2490" w:type="dxa"/>
          </w:tcPr>
          <w:p w14:paraId="655F099A">
            <w:pPr>
              <w:ind w:firstLine="420" w:firstLineChars="15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2024-05-31</w:t>
            </w:r>
          </w:p>
        </w:tc>
      </w:tr>
      <w:tr w14:paraId="3199E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9" w:type="dxa"/>
            <w:vAlign w:val="top"/>
          </w:tcPr>
          <w:p w14:paraId="39DA20BF">
            <w:pPr>
              <w:ind w:firstLine="420" w:firstLineChars="150"/>
              <w:jc w:val="left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V1.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2490" w:type="dxa"/>
            <w:vAlign w:val="top"/>
          </w:tcPr>
          <w:p w14:paraId="2B32FB4D">
            <w:pPr>
              <w:ind w:firstLine="420" w:firstLineChars="150"/>
              <w:jc w:val="left"/>
              <w:rPr>
                <w:rFonts w:hint="default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系统升级</w:t>
            </w:r>
          </w:p>
        </w:tc>
        <w:tc>
          <w:tcPr>
            <w:tcW w:w="2490" w:type="dxa"/>
            <w:vAlign w:val="top"/>
          </w:tcPr>
          <w:p w14:paraId="073CCD42">
            <w:pPr>
              <w:jc w:val="left"/>
              <w:rPr>
                <w:rFonts w:hint="default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张统强</w:t>
            </w:r>
          </w:p>
        </w:tc>
        <w:tc>
          <w:tcPr>
            <w:tcW w:w="2490" w:type="dxa"/>
            <w:vAlign w:val="top"/>
          </w:tcPr>
          <w:p w14:paraId="58605D72">
            <w:pPr>
              <w:ind w:firstLine="420" w:firstLineChars="15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2024-0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-3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0</w:t>
            </w:r>
          </w:p>
        </w:tc>
      </w:tr>
      <w:tr w14:paraId="1EC6E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9" w:type="dxa"/>
          </w:tcPr>
          <w:p w14:paraId="2C1F6A3E">
            <w:pPr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2490" w:type="dxa"/>
          </w:tcPr>
          <w:p w14:paraId="56515A06">
            <w:pPr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2490" w:type="dxa"/>
          </w:tcPr>
          <w:p w14:paraId="71BAA029">
            <w:pPr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2490" w:type="dxa"/>
          </w:tcPr>
          <w:p w14:paraId="34C2CF48">
            <w:pPr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</w:tr>
      <w:tr w14:paraId="24B94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9" w:type="dxa"/>
          </w:tcPr>
          <w:p w14:paraId="5EE2FF5A">
            <w:pPr>
              <w:ind w:firstLine="420" w:firstLineChars="15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2490" w:type="dxa"/>
          </w:tcPr>
          <w:p w14:paraId="05861917">
            <w:pPr>
              <w:ind w:firstLine="420" w:firstLineChars="15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2490" w:type="dxa"/>
          </w:tcPr>
          <w:p w14:paraId="6391B679">
            <w:pPr>
              <w:ind w:firstLine="420" w:firstLineChars="15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2490" w:type="dxa"/>
          </w:tcPr>
          <w:p w14:paraId="1983AD1D">
            <w:pPr>
              <w:ind w:firstLine="420" w:firstLineChars="150"/>
              <w:jc w:val="left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</w:tr>
    </w:tbl>
    <w:p w14:paraId="09583A50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14:paraId="576C56A7">
      <w:pPr>
        <w:ind w:firstLine="420" w:firstLineChars="150"/>
        <w:jc w:val="left"/>
        <w:rPr>
          <w:rFonts w:asciiTheme="minorEastAsia" w:hAnsiTheme="minorEastAsia" w:cstheme="minorEastAsia"/>
          <w:sz w:val="28"/>
          <w:szCs w:val="28"/>
        </w:rPr>
      </w:pPr>
    </w:p>
    <w:p w14:paraId="53177D0C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14:paraId="0D590BBE">
      <w:pPr>
        <w:ind w:firstLine="420" w:firstLineChars="150"/>
        <w:jc w:val="left"/>
        <w:rPr>
          <w:rFonts w:asciiTheme="minorEastAsia" w:hAnsiTheme="minorEastAsia" w:cstheme="minorEastAsia"/>
          <w:sz w:val="28"/>
          <w:szCs w:val="28"/>
        </w:rPr>
      </w:pPr>
    </w:p>
    <w:p w14:paraId="707ABE1E">
      <w:pPr>
        <w:ind w:firstLine="420" w:firstLineChars="15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江苏运时数据软件股份有限公司</w:t>
      </w:r>
    </w:p>
    <w:p w14:paraId="757D16D1">
      <w:pPr>
        <w:ind w:firstLine="420" w:firstLineChars="15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（版权所有）</w:t>
      </w:r>
    </w:p>
    <w:p w14:paraId="54D2F3EF">
      <w:pPr>
        <w:ind w:firstLine="420" w:firstLineChars="150"/>
        <w:jc w:val="center"/>
        <w:rPr>
          <w:rFonts w:asciiTheme="minorEastAsia" w:hAnsiTheme="minorEastAsia" w:cstheme="minorEastAsia"/>
          <w:sz w:val="28"/>
          <w:szCs w:val="28"/>
        </w:rPr>
      </w:pPr>
    </w:p>
    <w:p w14:paraId="12EC48B7">
      <w:pPr>
        <w:ind w:firstLine="420" w:firstLineChars="150"/>
        <w:jc w:val="center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2024年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7</w:t>
      </w:r>
      <w:r>
        <w:rPr>
          <w:rFonts w:hint="eastAsia" w:asciiTheme="minorEastAsia" w:hAnsiTheme="minorEastAsia" w:cstheme="minorEastAsia"/>
          <w:sz w:val="28"/>
          <w:szCs w:val="28"/>
        </w:rPr>
        <w:t>月3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0</w:t>
      </w:r>
      <w:r>
        <w:rPr>
          <w:rFonts w:hint="eastAsia" w:asciiTheme="minorEastAsia" w:hAnsiTheme="minorEastAsia" w:cstheme="minorEastAsia"/>
          <w:sz w:val="28"/>
          <w:szCs w:val="28"/>
        </w:rPr>
        <w:t>日</w:t>
      </w:r>
    </w:p>
    <w:p w14:paraId="47C4B58C"/>
    <w:p w14:paraId="61329217"/>
    <w:sdt>
      <w:sdtPr>
        <w:id w:val="147472805"/>
        <w15:color w:val="DBDBDB"/>
        <w:docPartObj>
          <w:docPartGallery w:val="Table of Contents"/>
          <w:docPartUnique/>
        </w:docPartObj>
      </w:sdtPr>
      <w:sdtContent>
        <w:p w14:paraId="44C2B76A">
          <w:r>
            <w:t>目录</w:t>
          </w:r>
        </w:p>
        <w:p w14:paraId="61B86F71">
          <w:pPr>
            <w:pStyle w:val="14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_Toc116 </w:instrText>
          </w:r>
          <w:r>
            <w:fldChar w:fldCharType="separate"/>
          </w:r>
          <w:r>
            <w:rPr>
              <w:rFonts w:hint="eastAsia" w:ascii="新宋体" w:hAnsi="新宋体" w:eastAsia="新宋体" w:cs="新宋体"/>
              <w:szCs w:val="44"/>
              <w:lang w:val="en-US" w:eastAsia="zh-CN"/>
            </w:rPr>
            <w:t>一、</w:t>
          </w:r>
          <w:r>
            <w:rPr>
              <w:rFonts w:hint="eastAsia" w:ascii="新宋体" w:hAnsi="新宋体" w:eastAsia="新宋体" w:cs="新宋体"/>
              <w:szCs w:val="44"/>
            </w:rPr>
            <w:t>登录采购账号</w:t>
          </w:r>
          <w:r>
            <w:tab/>
          </w:r>
          <w:r>
            <w:fldChar w:fldCharType="begin"/>
          </w:r>
          <w:r>
            <w:instrText xml:space="preserve"> PAGEREF _Toc116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 w14:paraId="3081F202">
          <w:pPr>
            <w:pStyle w:val="14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_Toc4165 </w:instrText>
          </w:r>
          <w:r>
            <w:fldChar w:fldCharType="separate"/>
          </w:r>
          <w:r>
            <w:rPr>
              <w:rFonts w:hint="eastAsia" w:ascii="新宋体" w:hAnsi="新宋体" w:eastAsia="新宋体" w:cs="新宋体"/>
              <w:szCs w:val="44"/>
              <w:lang w:val="en-US" w:eastAsia="zh-CN"/>
            </w:rPr>
            <w:t>二、采购</w:t>
          </w:r>
          <w:r>
            <w:tab/>
          </w:r>
          <w:r>
            <w:fldChar w:fldCharType="begin"/>
          </w:r>
          <w:r>
            <w:instrText xml:space="preserve"> PAGEREF _Toc4165 \h </w:instrText>
          </w:r>
          <w:r>
            <w:fldChar w:fldCharType="separate"/>
          </w:r>
          <w:r>
            <w:t>- 5 -</w:t>
          </w:r>
          <w:r>
            <w:fldChar w:fldCharType="end"/>
          </w:r>
          <w:r>
            <w:fldChar w:fldCharType="end"/>
          </w:r>
        </w:p>
        <w:p w14:paraId="6EF7E988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_Toc5237 </w:instrText>
          </w:r>
          <w:r>
            <w:fldChar w:fldCharType="separate"/>
          </w:r>
          <w:r>
            <w:rPr>
              <w:rFonts w:hint="default" w:ascii="新宋体" w:hAnsi="新宋体" w:eastAsia="新宋体" w:cs="新宋体"/>
              <w:szCs w:val="28"/>
            </w:rPr>
            <w:t xml:space="preserve">2.1. </w:t>
          </w:r>
          <w:r>
            <w:rPr>
              <w:rFonts w:hint="eastAsia" w:ascii="新宋体" w:hAnsi="新宋体" w:eastAsia="新宋体" w:cs="新宋体"/>
              <w:szCs w:val="28"/>
            </w:rPr>
            <w:t>采购工作台</w:t>
          </w:r>
          <w:r>
            <w:tab/>
          </w:r>
          <w:r>
            <w:fldChar w:fldCharType="begin"/>
          </w:r>
          <w:r>
            <w:instrText xml:space="preserve"> PAGEREF _Toc5237 \h </w:instrText>
          </w:r>
          <w:r>
            <w:fldChar w:fldCharType="separate"/>
          </w:r>
          <w:r>
            <w:t>- 5 -</w:t>
          </w:r>
          <w:r>
            <w:fldChar w:fldCharType="end"/>
          </w:r>
          <w:r>
            <w:fldChar w:fldCharType="end"/>
          </w:r>
        </w:p>
        <w:p w14:paraId="719ED051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_Toc27307 </w:instrText>
          </w:r>
          <w:r>
            <w:fldChar w:fldCharType="separate"/>
          </w:r>
          <w:r>
            <w:rPr>
              <w:rFonts w:hint="default" w:ascii="新宋体" w:hAnsi="新宋体" w:eastAsia="新宋体" w:cs="新宋体"/>
              <w:szCs w:val="28"/>
            </w:rPr>
            <w:t xml:space="preserve">2.2. </w:t>
          </w:r>
          <w:r>
            <w:rPr>
              <w:rFonts w:hint="eastAsia" w:ascii="新宋体" w:hAnsi="新宋体" w:eastAsia="新宋体" w:cs="新宋体"/>
              <w:szCs w:val="28"/>
            </w:rPr>
            <w:t>采购计划</w:t>
          </w:r>
          <w:r>
            <w:tab/>
          </w:r>
          <w:r>
            <w:fldChar w:fldCharType="begin"/>
          </w:r>
          <w:r>
            <w:instrText xml:space="preserve"> PAGEREF _Toc27307 \h </w:instrText>
          </w:r>
          <w:r>
            <w:fldChar w:fldCharType="separate"/>
          </w:r>
          <w:r>
            <w:t>- 5 -</w:t>
          </w:r>
          <w:r>
            <w:fldChar w:fldCharType="end"/>
          </w:r>
          <w:r>
            <w:fldChar w:fldCharType="end"/>
          </w:r>
        </w:p>
        <w:p w14:paraId="29ACD2D7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_Toc1705 </w:instrText>
          </w:r>
          <w:r>
            <w:fldChar w:fldCharType="separate"/>
          </w:r>
          <w:r>
            <w:rPr>
              <w:rFonts w:hint="default" w:ascii="新宋体" w:hAnsi="新宋体" w:eastAsia="新宋体" w:cs="新宋体"/>
              <w:szCs w:val="28"/>
            </w:rPr>
            <w:t xml:space="preserve">2.3. </w:t>
          </w:r>
          <w:r>
            <w:rPr>
              <w:rFonts w:hint="eastAsia" w:ascii="新宋体" w:hAnsi="新宋体" w:eastAsia="新宋体" w:cs="新宋体"/>
              <w:szCs w:val="28"/>
            </w:rPr>
            <w:t>项目组建</w:t>
          </w:r>
          <w:r>
            <w:tab/>
          </w:r>
          <w:r>
            <w:fldChar w:fldCharType="begin"/>
          </w:r>
          <w:r>
            <w:instrText xml:space="preserve"> PAGEREF _Toc1705 \h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fldChar w:fldCharType="end"/>
          </w:r>
        </w:p>
        <w:p w14:paraId="46B00D26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_Toc16891 </w:instrText>
          </w:r>
          <w:r>
            <w:fldChar w:fldCharType="separate"/>
          </w:r>
          <w:r>
            <w:rPr>
              <w:rFonts w:hint="default" w:ascii="新宋体" w:hAnsi="新宋体" w:eastAsia="新宋体" w:cs="新宋体"/>
              <w:szCs w:val="28"/>
            </w:rPr>
            <w:t xml:space="preserve">2.4. </w:t>
          </w:r>
          <w:r>
            <w:rPr>
              <w:rFonts w:hint="eastAsia" w:ascii="新宋体" w:hAnsi="新宋体" w:eastAsia="新宋体" w:cs="新宋体"/>
              <w:szCs w:val="28"/>
            </w:rPr>
            <w:t>发布项目</w:t>
          </w:r>
          <w:r>
            <w:tab/>
          </w:r>
          <w:r>
            <w:fldChar w:fldCharType="begin"/>
          </w:r>
          <w:r>
            <w:instrText xml:space="preserve"> PAGEREF _Toc16891 \h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fldChar w:fldCharType="end"/>
          </w:r>
        </w:p>
        <w:p w14:paraId="7BB6BE4F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_Toc24719 </w:instrText>
          </w:r>
          <w:r>
            <w:fldChar w:fldCharType="separate"/>
          </w:r>
          <w:r>
            <w:rPr>
              <w:rFonts w:hint="default" w:ascii="新宋体" w:hAnsi="新宋体" w:eastAsia="新宋体" w:cs="新宋体"/>
              <w:szCs w:val="28"/>
            </w:rPr>
            <w:t xml:space="preserve">2.5. </w:t>
          </w:r>
          <w:r>
            <w:rPr>
              <w:rFonts w:hint="eastAsia" w:ascii="新宋体" w:hAnsi="新宋体" w:eastAsia="新宋体" w:cs="新宋体"/>
              <w:szCs w:val="28"/>
            </w:rPr>
            <w:t>更正比选</w:t>
          </w:r>
          <w:r>
            <w:tab/>
          </w:r>
          <w:r>
            <w:fldChar w:fldCharType="begin"/>
          </w:r>
          <w:r>
            <w:instrText xml:space="preserve"> PAGEREF _Toc24719 \h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fldChar w:fldCharType="end"/>
          </w:r>
        </w:p>
        <w:p w14:paraId="356F6F47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_Toc22503 </w:instrText>
          </w:r>
          <w:r>
            <w:fldChar w:fldCharType="separate"/>
          </w:r>
          <w:r>
            <w:rPr>
              <w:rFonts w:hint="default" w:ascii="新宋体" w:hAnsi="新宋体" w:eastAsia="新宋体" w:cs="新宋体"/>
              <w:szCs w:val="28"/>
            </w:rPr>
            <w:t xml:space="preserve">2.6. </w:t>
          </w:r>
          <w:r>
            <w:rPr>
              <w:rFonts w:hint="eastAsia" w:ascii="新宋体" w:hAnsi="新宋体" w:eastAsia="新宋体" w:cs="新宋体"/>
              <w:szCs w:val="28"/>
            </w:rPr>
            <w:t>比选管理</w:t>
          </w:r>
          <w:r>
            <w:tab/>
          </w:r>
          <w:r>
            <w:fldChar w:fldCharType="begin"/>
          </w:r>
          <w:r>
            <w:instrText xml:space="preserve"> PAGEREF _Toc22503 \h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fldChar w:fldCharType="end"/>
          </w:r>
        </w:p>
        <w:p w14:paraId="526A8FD1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_Toc27284 </w:instrText>
          </w:r>
          <w:r>
            <w:fldChar w:fldCharType="separate"/>
          </w:r>
          <w:r>
            <w:rPr>
              <w:rFonts w:hint="default" w:ascii="新宋体" w:hAnsi="新宋体" w:eastAsia="新宋体" w:cs="新宋体"/>
              <w:szCs w:val="28"/>
            </w:rPr>
            <w:t xml:space="preserve">2.7. </w:t>
          </w:r>
          <w:r>
            <w:rPr>
              <w:rFonts w:hint="eastAsia" w:ascii="新宋体" w:hAnsi="新宋体" w:eastAsia="新宋体" w:cs="新宋体"/>
              <w:szCs w:val="28"/>
            </w:rPr>
            <w:t>履约管理</w:t>
          </w:r>
          <w:r>
            <w:tab/>
          </w:r>
          <w:r>
            <w:fldChar w:fldCharType="begin"/>
          </w:r>
          <w:r>
            <w:instrText xml:space="preserve"> PAGEREF _Toc27284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fldChar w:fldCharType="end"/>
          </w:r>
        </w:p>
        <w:p w14:paraId="102389A7">
          <w:pPr>
            <w:pStyle w:val="14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_Toc12960 </w:instrText>
          </w:r>
          <w:r>
            <w:fldChar w:fldCharType="separate"/>
          </w:r>
          <w:r>
            <w:rPr>
              <w:rFonts w:hint="eastAsia" w:ascii="新宋体" w:hAnsi="新宋体" w:eastAsia="新宋体" w:cs="新宋体"/>
              <w:szCs w:val="44"/>
              <w:lang w:val="en-US" w:eastAsia="zh-CN"/>
            </w:rPr>
            <w:t>三、管理</w:t>
          </w:r>
          <w:r>
            <w:tab/>
          </w:r>
          <w:r>
            <w:fldChar w:fldCharType="begin"/>
          </w:r>
          <w:r>
            <w:instrText xml:space="preserve"> PAGEREF _Toc12960 \h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fldChar w:fldCharType="end"/>
          </w:r>
        </w:p>
        <w:p w14:paraId="38865F79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_Toc23477 </w:instrText>
          </w:r>
          <w:r>
            <w:fldChar w:fldCharType="separate"/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3.1.</w:t>
          </w:r>
          <w:r>
            <w:rPr>
              <w:rFonts w:hint="eastAsia" w:ascii="新宋体" w:hAnsi="新宋体" w:eastAsia="新宋体" w:cs="新宋体"/>
              <w:szCs w:val="28"/>
            </w:rPr>
            <w:t>评审人管理</w:t>
          </w:r>
          <w:r>
            <w:tab/>
          </w:r>
          <w:r>
            <w:fldChar w:fldCharType="begin"/>
          </w:r>
          <w:r>
            <w:instrText xml:space="preserve"> PAGEREF _Toc23477 \h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fldChar w:fldCharType="end"/>
          </w:r>
        </w:p>
        <w:p w14:paraId="2F378833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_Toc6262 </w:instrText>
          </w:r>
          <w:r>
            <w:fldChar w:fldCharType="separate"/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3.2.项目信息</w:t>
          </w:r>
          <w:r>
            <w:tab/>
          </w:r>
          <w:r>
            <w:fldChar w:fldCharType="begin"/>
          </w:r>
          <w:r>
            <w:instrText xml:space="preserve"> PAGEREF _Toc6262 \h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fldChar w:fldCharType="end"/>
          </w:r>
        </w:p>
        <w:p w14:paraId="06AF0527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_Toc18216 </w:instrText>
          </w:r>
          <w:r>
            <w:fldChar w:fldCharType="separate"/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3.3</w:t>
          </w:r>
          <w:r>
            <w:rPr>
              <w:rFonts w:hint="default" w:ascii="新宋体" w:hAnsi="新宋体" w:eastAsia="新宋体" w:cs="新宋体"/>
              <w:szCs w:val="28"/>
              <w:lang w:val="en-US" w:eastAsia="zh-CN"/>
            </w:rPr>
            <w:t>.</w:t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合同信息</w:t>
          </w:r>
          <w:r>
            <w:tab/>
          </w:r>
          <w:r>
            <w:fldChar w:fldCharType="begin"/>
          </w:r>
          <w:r>
            <w:instrText xml:space="preserve"> PAGEREF _Toc18216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fldChar w:fldCharType="end"/>
          </w:r>
        </w:p>
        <w:p w14:paraId="7B36D9D7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_Toc9571 </w:instrText>
          </w:r>
          <w:r>
            <w:fldChar w:fldCharType="separate"/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3.4</w:t>
          </w:r>
          <w:r>
            <w:rPr>
              <w:rFonts w:hint="default" w:ascii="新宋体" w:hAnsi="新宋体" w:eastAsia="新宋体" w:cs="新宋体"/>
              <w:szCs w:val="28"/>
              <w:lang w:val="en-US" w:eastAsia="zh-CN"/>
            </w:rPr>
            <w:t>.</w:t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账款信息</w:t>
          </w:r>
          <w:r>
            <w:tab/>
          </w:r>
          <w:r>
            <w:fldChar w:fldCharType="begin"/>
          </w:r>
          <w:r>
            <w:instrText xml:space="preserve"> PAGEREF _Toc9571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fldChar w:fldCharType="end"/>
          </w:r>
        </w:p>
        <w:p w14:paraId="2F1B6A4E">
          <w:pPr>
            <w:pStyle w:val="14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_Toc16426 </w:instrText>
          </w:r>
          <w:r>
            <w:fldChar w:fldCharType="separate"/>
          </w:r>
          <w:r>
            <w:rPr>
              <w:rFonts w:hint="eastAsia" w:ascii="新宋体" w:hAnsi="新宋体" w:eastAsia="新宋体" w:cs="新宋体"/>
              <w:szCs w:val="44"/>
              <w:lang w:val="en-US" w:eastAsia="zh-CN"/>
            </w:rPr>
            <w:t>四、统计</w:t>
          </w:r>
          <w:r>
            <w:tab/>
          </w:r>
          <w:r>
            <w:fldChar w:fldCharType="begin"/>
          </w:r>
          <w:r>
            <w:instrText xml:space="preserve"> PAGEREF _Toc16426 \h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fldChar w:fldCharType="end"/>
          </w:r>
        </w:p>
        <w:p w14:paraId="2B43A54E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_Toc12827 </w:instrText>
          </w:r>
          <w:r>
            <w:fldChar w:fldCharType="separate"/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4.</w:t>
          </w:r>
          <w:r>
            <w:rPr>
              <w:rFonts w:hint="default" w:ascii="新宋体" w:hAnsi="新宋体" w:eastAsia="新宋体" w:cs="新宋体"/>
              <w:szCs w:val="28"/>
              <w:lang w:val="en-US" w:eastAsia="zh-CN"/>
            </w:rPr>
            <w:t>1.</w:t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数据看板</w:t>
          </w:r>
          <w:r>
            <w:tab/>
          </w:r>
          <w:r>
            <w:fldChar w:fldCharType="begin"/>
          </w:r>
          <w:r>
            <w:instrText xml:space="preserve"> PAGEREF _Toc12827 \h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fldChar w:fldCharType="end"/>
          </w:r>
        </w:p>
        <w:p w14:paraId="61883F47">
          <w:pPr>
            <w:pStyle w:val="14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_Toc11626 </w:instrText>
          </w:r>
          <w:r>
            <w:fldChar w:fldCharType="separate"/>
          </w:r>
          <w:r>
            <w:rPr>
              <w:rFonts w:hint="eastAsia" w:ascii="新宋体" w:hAnsi="新宋体" w:eastAsia="新宋体" w:cs="新宋体"/>
              <w:szCs w:val="44"/>
              <w:lang w:val="en-US" w:eastAsia="zh-CN"/>
            </w:rPr>
            <w:t>五、用户</w:t>
          </w:r>
          <w:r>
            <w:tab/>
          </w:r>
          <w:r>
            <w:fldChar w:fldCharType="begin"/>
          </w:r>
          <w:r>
            <w:instrText xml:space="preserve"> PAGEREF _Toc11626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fldChar w:fldCharType="end"/>
          </w:r>
        </w:p>
        <w:p w14:paraId="122AEFF3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_Toc16459 </w:instrText>
          </w:r>
          <w:r>
            <w:fldChar w:fldCharType="separate"/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5</w:t>
          </w:r>
          <w:r>
            <w:rPr>
              <w:rFonts w:hint="default" w:ascii="新宋体" w:hAnsi="新宋体" w:eastAsia="新宋体" w:cs="新宋体"/>
              <w:szCs w:val="28"/>
              <w:lang w:val="en-US" w:eastAsia="zh-CN"/>
            </w:rPr>
            <w:t>.1.</w:t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用户信息</w:t>
          </w:r>
          <w:r>
            <w:tab/>
          </w:r>
          <w:r>
            <w:fldChar w:fldCharType="begin"/>
          </w:r>
          <w:r>
            <w:instrText xml:space="preserve"> PAGEREF _Toc16459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fldChar w:fldCharType="end"/>
          </w:r>
        </w:p>
        <w:p w14:paraId="2DEE398B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_Toc20650 </w:instrText>
          </w:r>
          <w:r>
            <w:fldChar w:fldCharType="separate"/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5</w:t>
          </w:r>
          <w:r>
            <w:rPr>
              <w:rFonts w:hint="default" w:ascii="新宋体" w:hAnsi="新宋体" w:eastAsia="新宋体" w:cs="新宋体"/>
              <w:szCs w:val="28"/>
              <w:lang w:val="en-US" w:eastAsia="zh-CN"/>
            </w:rPr>
            <w:t>.2.</w:t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账号安全</w:t>
          </w:r>
          <w:r>
            <w:tab/>
          </w:r>
          <w:r>
            <w:fldChar w:fldCharType="begin"/>
          </w:r>
          <w:r>
            <w:instrText xml:space="preserve"> PAGEREF _Toc20650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fldChar w:fldCharType="end"/>
          </w:r>
        </w:p>
        <w:p w14:paraId="7FED67D1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_Toc32309 </w:instrText>
          </w:r>
          <w:r>
            <w:fldChar w:fldCharType="separate"/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5</w:t>
          </w:r>
          <w:r>
            <w:rPr>
              <w:rFonts w:hint="default" w:ascii="新宋体" w:hAnsi="新宋体" w:eastAsia="新宋体" w:cs="新宋体"/>
              <w:szCs w:val="28"/>
              <w:lang w:val="en-US" w:eastAsia="zh-CN"/>
            </w:rPr>
            <w:t>.3.</w:t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我的足迹</w:t>
          </w:r>
          <w:r>
            <w:tab/>
          </w:r>
          <w:r>
            <w:fldChar w:fldCharType="begin"/>
          </w:r>
          <w:r>
            <w:instrText xml:space="preserve"> PAGEREF _Toc32309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fldChar w:fldCharType="end"/>
          </w:r>
        </w:p>
        <w:p w14:paraId="19E46691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_Toc27790 </w:instrText>
          </w:r>
          <w:r>
            <w:fldChar w:fldCharType="separate"/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5</w:t>
          </w:r>
          <w:r>
            <w:rPr>
              <w:rFonts w:hint="default" w:ascii="新宋体" w:hAnsi="新宋体" w:eastAsia="新宋体" w:cs="新宋体"/>
              <w:szCs w:val="28"/>
              <w:lang w:val="en-US" w:eastAsia="zh-CN"/>
            </w:rPr>
            <w:t>.4.</w:t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我的关注</w:t>
          </w:r>
          <w:r>
            <w:tab/>
          </w:r>
          <w:r>
            <w:fldChar w:fldCharType="begin"/>
          </w:r>
          <w:r>
            <w:instrText xml:space="preserve"> PAGEREF _Toc27790 \h </w:instrText>
          </w:r>
          <w:r>
            <w:fldChar w:fldCharType="separate"/>
          </w:r>
          <w:r>
            <w:t>- 18 -</w:t>
          </w:r>
          <w:r>
            <w:fldChar w:fldCharType="end"/>
          </w:r>
          <w:r>
            <w:fldChar w:fldCharType="end"/>
          </w:r>
        </w:p>
        <w:p w14:paraId="67D11C30">
          <w:pPr>
            <w:pStyle w:val="17"/>
            <w:tabs>
              <w:tab w:val="right" w:leader="dot" w:pos="9746"/>
              <w:tab w:val="clear" w:pos="720"/>
            </w:tabs>
          </w:pPr>
          <w:r>
            <w:fldChar w:fldCharType="begin"/>
          </w:r>
          <w:r>
            <w:instrText xml:space="preserve"> HYPERLINK \l _Toc17355 </w:instrText>
          </w:r>
          <w:r>
            <w:fldChar w:fldCharType="separate"/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5</w:t>
          </w:r>
          <w:r>
            <w:rPr>
              <w:rFonts w:hint="default" w:ascii="新宋体" w:hAnsi="新宋体" w:eastAsia="新宋体" w:cs="新宋体"/>
              <w:szCs w:val="28"/>
              <w:lang w:val="en-US" w:eastAsia="zh-CN"/>
            </w:rPr>
            <w:t>.5.</w:t>
          </w:r>
          <w:r>
            <w:rPr>
              <w:rFonts w:hint="eastAsia" w:ascii="新宋体" w:hAnsi="新宋体" w:eastAsia="新宋体" w:cs="新宋体"/>
              <w:szCs w:val="28"/>
              <w:lang w:val="en-US" w:eastAsia="zh-CN"/>
            </w:rPr>
            <w:t>消息中心</w:t>
          </w:r>
          <w:r>
            <w:tab/>
          </w:r>
          <w:r>
            <w:fldChar w:fldCharType="begin"/>
          </w:r>
          <w:r>
            <w:instrText xml:space="preserve"> PAGEREF _Toc17355 \h </w:instrText>
          </w:r>
          <w:r>
            <w:fldChar w:fldCharType="separate"/>
          </w:r>
          <w:r>
            <w:t>- 18 -</w:t>
          </w:r>
          <w:r>
            <w:fldChar w:fldCharType="end"/>
          </w:r>
          <w:r>
            <w:fldChar w:fldCharType="end"/>
          </w:r>
        </w:p>
        <w:p w14:paraId="3429D3ED">
          <w:r>
            <w:fldChar w:fldCharType="end"/>
          </w:r>
        </w:p>
      </w:sdtContent>
    </w:sdt>
    <w:p w14:paraId="2A500344"/>
    <w:p w14:paraId="64BC1E05"/>
    <w:p w14:paraId="7B4EE69B"/>
    <w:p w14:paraId="4AE6B4A2"/>
    <w:p w14:paraId="61A55D1A"/>
    <w:p w14:paraId="5E70714C"/>
    <w:p w14:paraId="15737561"/>
    <w:p w14:paraId="100F05C9"/>
    <w:p w14:paraId="3F09FC73"/>
    <w:p w14:paraId="063E6049"/>
    <w:p w14:paraId="0C718C0A"/>
    <w:p w14:paraId="0118CFEB"/>
    <w:p w14:paraId="41390DF8"/>
    <w:p w14:paraId="14456C58"/>
    <w:p w14:paraId="00E2F465"/>
    <w:p w14:paraId="1CA76095"/>
    <w:p w14:paraId="1E5B8DAB"/>
    <w:p w14:paraId="2B830385"/>
    <w:p w14:paraId="44817889"/>
    <w:p w14:paraId="4F570872"/>
    <w:p w14:paraId="1FE16CAF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20" w:lineRule="auto"/>
        <w:textAlignment w:val="auto"/>
        <w:rPr>
          <w:rFonts w:hint="eastAsia" w:ascii="新宋体" w:hAnsi="新宋体" w:eastAsia="新宋体" w:cs="新宋体"/>
          <w:sz w:val="44"/>
          <w:szCs w:val="44"/>
        </w:rPr>
      </w:pPr>
      <w:bookmarkStart w:id="1" w:name="_Toc116"/>
      <w:r>
        <w:rPr>
          <w:rFonts w:hint="eastAsia" w:ascii="新宋体" w:hAnsi="新宋体" w:eastAsia="新宋体" w:cs="新宋体"/>
          <w:sz w:val="44"/>
          <w:szCs w:val="44"/>
          <w:lang w:val="en-US" w:eastAsia="zh-CN"/>
        </w:rPr>
        <w:t>一、</w:t>
      </w:r>
      <w:r>
        <w:rPr>
          <w:rFonts w:hint="eastAsia" w:ascii="新宋体" w:hAnsi="新宋体" w:eastAsia="新宋体" w:cs="新宋体"/>
          <w:sz w:val="44"/>
          <w:szCs w:val="44"/>
        </w:rPr>
        <w:t>登录采购账号</w:t>
      </w:r>
      <w:bookmarkEnd w:id="1"/>
    </w:p>
    <w:p w14:paraId="641011A4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打开苏采云——政府采购一体化平台，选择“采购单位”页签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，</w:t>
      </w:r>
      <w:r>
        <w:rPr>
          <w:rFonts w:hint="eastAsia" w:ascii="新宋体" w:hAnsi="新宋体" w:eastAsia="新宋体" w:cs="新宋体"/>
          <w:sz w:val="28"/>
          <w:szCs w:val="28"/>
        </w:rPr>
        <w:t>选择账号登录方式，输入账号密码进行登录。</w:t>
      </w:r>
    </w:p>
    <w:p w14:paraId="0577019A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CA账号</w:t>
      </w:r>
      <w:bookmarkStart w:id="35" w:name="_GoBack"/>
      <w:bookmarkEnd w:id="35"/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与子账号的</w:t>
      </w: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区别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：</w:t>
      </w:r>
    </w:p>
    <w:p w14:paraId="1ECB5589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CA账号：</w:t>
      </w:r>
    </w:p>
    <w:p w14:paraId="3BCDAA06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977" w:firstLineChars="349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登录网址为：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fldChar w:fldCharType="begin"/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instrText xml:space="preserve"> HYPERLINK "http://jszfcg.jsczt.cn/jszc/" </w:instrTex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fldChar w:fldCharType="separate"/>
      </w:r>
      <w:r>
        <w:rPr>
          <w:rStyle w:val="26"/>
          <w:rFonts w:hint="eastAsia" w:ascii="新宋体" w:hAnsi="新宋体" w:eastAsia="新宋体" w:cs="新宋体"/>
          <w:sz w:val="28"/>
          <w:szCs w:val="28"/>
          <w:lang w:val="en-US" w:eastAsia="zh-CN"/>
        </w:rPr>
        <w:t>http://jszfcg.jsczt.cn/jszc/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fldChar w:fldCharType="end"/>
      </w:r>
    </w:p>
    <w:p w14:paraId="4BCFBA0E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977" w:firstLineChars="349"/>
        <w:textAlignment w:val="auto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登录方式为：通过</w:t>
      </w: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CA锁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登录，</w:t>
      </w:r>
    </w:p>
    <w:p w14:paraId="660D3AE3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drawing>
          <wp:inline distT="0" distB="0" distL="0" distR="0">
            <wp:extent cx="6188710" cy="32899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8A490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登录成功后，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在产品与服务中</w:t>
      </w:r>
      <w:r>
        <w:rPr>
          <w:rFonts w:hint="eastAsia" w:ascii="新宋体" w:hAnsi="新宋体" w:eastAsia="新宋体" w:cs="新宋体"/>
          <w:sz w:val="28"/>
          <w:szCs w:val="28"/>
        </w:rPr>
        <w:t>点击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“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小额零星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”</w:t>
      </w:r>
      <w:r>
        <w:rPr>
          <w:rFonts w:hint="eastAsia" w:ascii="新宋体" w:hAnsi="新宋体" w:eastAsia="新宋体" w:cs="新宋体"/>
          <w:sz w:val="28"/>
          <w:szCs w:val="28"/>
        </w:rPr>
        <w:t>下的“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服务类</w:t>
      </w:r>
      <w:r>
        <w:rPr>
          <w:rFonts w:hint="eastAsia" w:ascii="新宋体" w:hAnsi="新宋体" w:eastAsia="新宋体" w:cs="新宋体"/>
          <w:sz w:val="28"/>
          <w:szCs w:val="28"/>
        </w:rPr>
        <w:t>网上商城”，跳转至苏服采采购账号工作台页面。</w:t>
      </w:r>
    </w:p>
    <w:p w14:paraId="578FA23A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</w:pPr>
      <w:r>
        <w:drawing>
          <wp:inline distT="0" distB="0" distL="114300" distR="114300">
            <wp:extent cx="6180455" cy="2945765"/>
            <wp:effectExtent l="0" t="0" r="10795" b="698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59B93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</w:pPr>
    </w:p>
    <w:p w14:paraId="181FB915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</w:pPr>
    </w:p>
    <w:p w14:paraId="546517A2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子账号：</w:t>
      </w:r>
    </w:p>
    <w:p w14:paraId="2A25A9EA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977" w:firstLineChars="349"/>
        <w:textAlignment w:val="auto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登录网址为：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fldChar w:fldCharType="begin"/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instrText xml:space="preserve"> HYPERLINK "http://jszfcg.jsczt.cn/dspt/" </w:instrTex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fldChar w:fldCharType="separate"/>
      </w:r>
      <w:r>
        <w:rPr>
          <w:rStyle w:val="26"/>
          <w:rFonts w:hint="eastAsia" w:ascii="新宋体" w:hAnsi="新宋体" w:eastAsia="新宋体" w:cs="新宋体"/>
          <w:sz w:val="28"/>
          <w:szCs w:val="28"/>
          <w:lang w:val="en-US" w:eastAsia="zh-CN"/>
        </w:rPr>
        <w:t>http://jszfcg.jsczt.cn/dspt/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fldChar w:fldCharType="end"/>
      </w:r>
    </w:p>
    <w:p w14:paraId="6CFB09EE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977" w:firstLineChars="349"/>
        <w:textAlignment w:val="auto"/>
        <w:rPr>
          <w:rFonts w:hint="default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登录方式为：通过</w:t>
      </w: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账号密码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登录。</w:t>
      </w:r>
    </w:p>
    <w:p w14:paraId="00AE6EEA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default" w:ascii="新宋体" w:hAnsi="新宋体" w:eastAsia="新宋体" w:cs="新宋体"/>
          <w:sz w:val="28"/>
          <w:szCs w:val="28"/>
          <w:lang w:val="en-US" w:eastAsia="zh-CN"/>
        </w:rPr>
        <w:drawing>
          <wp:inline distT="0" distB="0" distL="114300" distR="114300">
            <wp:extent cx="6188710" cy="3619500"/>
            <wp:effectExtent l="0" t="0" r="2540" b="0"/>
            <wp:docPr id="1" name="图片 1" descr="a5af2682209dc758c35e1764ba3b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af2682209dc758c35e1764ba3b3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3D2C8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default" w:ascii="新宋体" w:hAnsi="新宋体" w:eastAsia="新宋体" w:cs="新宋体"/>
          <w:sz w:val="28"/>
          <w:szCs w:val="28"/>
          <w:lang w:val="en-US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子账号登录时需</w:t>
      </w: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要选择“服务类网上商城”页签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，登录成功后跳转到服务类网上商城平台。</w:t>
      </w:r>
    </w:p>
    <w:p w14:paraId="6184AC89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drawing>
          <wp:inline distT="0" distB="0" distL="0" distR="0">
            <wp:extent cx="6188710" cy="2833370"/>
            <wp:effectExtent l="0" t="0" r="2540" b="508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7D87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新宋体" w:hAnsi="新宋体" w:eastAsia="新宋体" w:cs="新宋体"/>
          <w:sz w:val="28"/>
          <w:szCs w:val="28"/>
        </w:rPr>
      </w:pPr>
    </w:p>
    <w:p w14:paraId="0A91C082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20" w:lineRule="auto"/>
        <w:textAlignment w:val="auto"/>
        <w:rPr>
          <w:rFonts w:hint="eastAsia" w:ascii="新宋体" w:hAnsi="新宋体" w:eastAsia="新宋体" w:cs="新宋体"/>
          <w:sz w:val="44"/>
          <w:szCs w:val="44"/>
          <w:lang w:val="en-US" w:eastAsia="zh-CN"/>
        </w:rPr>
      </w:pPr>
      <w:bookmarkStart w:id="2" w:name="_Toc4165"/>
      <w:r>
        <w:rPr>
          <w:rFonts w:hint="eastAsia" w:ascii="新宋体" w:hAnsi="新宋体" w:eastAsia="新宋体" w:cs="新宋体"/>
          <w:sz w:val="44"/>
          <w:szCs w:val="44"/>
          <w:lang w:val="en-US" w:eastAsia="zh-CN"/>
        </w:rPr>
        <w:t>二、采购</w:t>
      </w:r>
      <w:bookmarkEnd w:id="2"/>
    </w:p>
    <w:p w14:paraId="434974AB">
      <w:pPr>
        <w:pStyle w:val="3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bookmarkStart w:id="3" w:name="_Toc5237"/>
      <w:r>
        <w:rPr>
          <w:rFonts w:hint="eastAsia" w:ascii="新宋体" w:hAnsi="新宋体" w:eastAsia="新宋体" w:cs="新宋体"/>
          <w:sz w:val="28"/>
          <w:szCs w:val="28"/>
        </w:rPr>
        <w:t>工作台</w:t>
      </w:r>
      <w:bookmarkEnd w:id="3"/>
    </w:p>
    <w:p w14:paraId="6CE71560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江苏省</w:t>
      </w: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服务类网上商城客服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电话：</w:t>
      </w: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400-854-0093</w:t>
      </w:r>
    </w:p>
    <w:p w14:paraId="2836CDD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在</w:t>
      </w:r>
      <w:r>
        <w:rPr>
          <w:rFonts w:hint="eastAsia" w:ascii="新宋体" w:hAnsi="新宋体" w:eastAsia="新宋体" w:cs="新宋体"/>
          <w:sz w:val="28"/>
          <w:szCs w:val="28"/>
        </w:rPr>
        <w:t>采购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人的</w:t>
      </w:r>
      <w:r>
        <w:rPr>
          <w:rFonts w:hint="eastAsia" w:ascii="新宋体" w:hAnsi="新宋体" w:eastAsia="新宋体" w:cs="新宋体"/>
          <w:sz w:val="28"/>
          <w:szCs w:val="28"/>
        </w:rPr>
        <w:t>工作台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中可以快速管理前账号的重要信息，</w:t>
      </w:r>
      <w:r>
        <w:rPr>
          <w:rFonts w:hint="eastAsia" w:ascii="新宋体" w:hAnsi="新宋体" w:eastAsia="新宋体" w:cs="新宋体"/>
          <w:sz w:val="28"/>
          <w:szCs w:val="28"/>
        </w:rPr>
        <w:t>包括项目概况、待办事项、最近项目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、</w:t>
      </w:r>
      <w:r>
        <w:rPr>
          <w:rFonts w:hint="eastAsia" w:ascii="新宋体" w:hAnsi="新宋体" w:eastAsia="新宋体" w:cs="新宋体"/>
          <w:sz w:val="28"/>
          <w:szCs w:val="28"/>
        </w:rPr>
        <w:t>常用功能和公告通知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等</w:t>
      </w:r>
      <w:r>
        <w:rPr>
          <w:rFonts w:hint="eastAsia" w:ascii="新宋体" w:hAnsi="新宋体" w:eastAsia="新宋体" w:cs="新宋体"/>
          <w:sz w:val="28"/>
          <w:szCs w:val="28"/>
        </w:rPr>
        <w:t>。</w:t>
      </w:r>
    </w:p>
    <w:p w14:paraId="780C7BF6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</w:pPr>
      <w:r>
        <w:drawing>
          <wp:inline distT="0" distB="0" distL="114300" distR="114300">
            <wp:extent cx="6182360" cy="3908425"/>
            <wp:effectExtent l="0" t="0" r="8890" b="1587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0BB54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/>
        </w:rPr>
      </w:pPr>
    </w:p>
    <w:p w14:paraId="6B6AF776">
      <w:pPr>
        <w:pStyle w:val="3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bookmarkStart w:id="4" w:name="_Toc27307"/>
      <w:r>
        <w:rPr>
          <w:rFonts w:hint="eastAsia" w:ascii="新宋体" w:hAnsi="新宋体" w:eastAsia="新宋体" w:cs="新宋体"/>
          <w:sz w:val="28"/>
          <w:szCs w:val="28"/>
        </w:rPr>
        <w:t>采购计划</w:t>
      </w:r>
      <w:bookmarkEnd w:id="4"/>
    </w:p>
    <w:p w14:paraId="04D913A0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本平台不提供采购计划添加功能，采购计划需要在</w:t>
      </w:r>
      <w:r>
        <w:rPr>
          <w:rFonts w:hint="eastAsia" w:ascii="新宋体" w:hAnsi="新宋体" w:eastAsia="新宋体" w:cs="新宋体"/>
          <w:b/>
          <w:bCs/>
          <w:sz w:val="28"/>
          <w:szCs w:val="28"/>
          <w:lang w:eastAsia="zh-CN"/>
        </w:rPr>
        <w:t>财政一体化</w:t>
      </w: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平台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（第三方平台）上添加。</w:t>
      </w:r>
    </w:p>
    <w:p w14:paraId="1615E381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drawing>
          <wp:inline distT="0" distB="0" distL="114300" distR="114300">
            <wp:extent cx="6174105" cy="2968625"/>
            <wp:effectExtent l="0" t="0" r="17145" b="3175"/>
            <wp:docPr id="6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8D3A48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 w:ascii="新宋体" w:hAnsi="新宋体" w:eastAsia="新宋体" w:cs="新宋体"/>
          <w:sz w:val="28"/>
          <w:szCs w:val="28"/>
        </w:rPr>
      </w:pPr>
    </w:p>
    <w:p w14:paraId="756D2879">
      <w:pPr>
        <w:pStyle w:val="3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bookmarkStart w:id="5" w:name="_Toc1705"/>
      <w:r>
        <w:rPr>
          <w:rFonts w:hint="eastAsia" w:ascii="新宋体" w:hAnsi="新宋体" w:eastAsia="新宋体" w:cs="新宋体"/>
          <w:sz w:val="28"/>
          <w:szCs w:val="28"/>
        </w:rPr>
        <w:t>项目组建</w:t>
      </w:r>
      <w:bookmarkEnd w:id="5"/>
    </w:p>
    <w:p w14:paraId="0BC9109D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default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在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采购人</w:t>
      </w:r>
      <w:r>
        <w:rPr>
          <w:rFonts w:hint="eastAsia" w:ascii="新宋体" w:hAnsi="新宋体" w:eastAsia="新宋体" w:cs="新宋体"/>
          <w:sz w:val="28"/>
          <w:szCs w:val="28"/>
        </w:rPr>
        <w:t>工作台中，找到“采购”菜单下的项目组建模块，该模块下是项目组建列表。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点击“新增项目”可以组建新的项目。项目的组建需要经过</w:t>
      </w: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填写项目基本信息、编辑需求、编辑实质性要求、编辑评分因素</w:t>
      </w:r>
      <w:r>
        <w:rPr>
          <w:rFonts w:hint="eastAsia" w:ascii="新宋体" w:hAnsi="新宋体" w:eastAsia="新宋体" w:cs="新宋体"/>
          <w:b w:val="0"/>
          <w:bCs w:val="0"/>
          <w:sz w:val="28"/>
          <w:szCs w:val="28"/>
          <w:lang w:val="en-US" w:eastAsia="zh-CN"/>
        </w:rPr>
        <w:t>等多个步骤。</w:t>
      </w:r>
    </w:p>
    <w:p w14:paraId="7942C300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drawing>
          <wp:inline distT="0" distB="0" distL="0" distR="0">
            <wp:extent cx="6188710" cy="2642870"/>
            <wp:effectExtent l="0" t="0" r="2540" b="508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AF0E5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</w:p>
    <w:p w14:paraId="134ECB11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填写项目基本信息</w:t>
      </w:r>
    </w:p>
    <w:p w14:paraId="04CEFD22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b/>
          <w:bCs/>
          <w:color w:val="FF0000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平台提供多种比选方式，不同比选方式的流程也不同，鼠标悬浮可以查看对应的流程步骤，此处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以</w:t>
      </w:r>
      <w:r>
        <w:rPr>
          <w:rFonts w:hint="eastAsia" w:ascii="新宋体" w:hAnsi="新宋体" w:eastAsia="新宋体" w:cs="新宋体"/>
          <w:sz w:val="28"/>
          <w:szCs w:val="28"/>
        </w:rPr>
        <w:t>公开比选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为例</w:t>
      </w:r>
      <w:r>
        <w:rPr>
          <w:rFonts w:hint="eastAsia" w:ascii="新宋体" w:hAnsi="新宋体" w:eastAsia="新宋体" w:cs="新宋体"/>
          <w:sz w:val="28"/>
          <w:szCs w:val="28"/>
        </w:rPr>
        <w:t>。</w:t>
      </w:r>
    </w:p>
    <w:p w14:paraId="3507FCC0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</w:pPr>
      <w:r>
        <w:drawing>
          <wp:inline distT="0" distB="0" distL="114300" distR="114300">
            <wp:extent cx="6183630" cy="3002915"/>
            <wp:effectExtent l="0" t="0" r="7620" b="698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27992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/>
        </w:rPr>
      </w:pPr>
    </w:p>
    <w:p w14:paraId="7AE3F70C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编辑需求</w:t>
      </w:r>
    </w:p>
    <w:p w14:paraId="305B2309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ab/>
      </w:r>
      <w:r>
        <w:rPr>
          <w:rFonts w:hint="eastAsia" w:ascii="新宋体" w:hAnsi="新宋体" w:eastAsia="新宋体" w:cs="新宋体"/>
          <w:sz w:val="28"/>
          <w:szCs w:val="28"/>
        </w:rPr>
        <w:t>进入需求编制步骤后，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需要按项目需要编制项目需求。</w:t>
      </w:r>
    </w:p>
    <w:p w14:paraId="39117C40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编辑实质性要求</w:t>
      </w:r>
    </w:p>
    <w:p w14:paraId="191B08BC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  <w:lang w:val="en-US" w:eastAsia="zh-CN"/>
        </w:rPr>
        <w:tab/>
      </w: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</w:rPr>
        <w:t>实质性要求的内容属于供应商必须响应的内容。</w:t>
      </w:r>
      <w:r>
        <w:rPr>
          <w:rFonts w:hint="eastAsia" w:ascii="新宋体" w:hAnsi="新宋体" w:eastAsia="新宋体" w:cs="新宋体"/>
          <w:sz w:val="28"/>
          <w:szCs w:val="28"/>
        </w:rPr>
        <w:t>该步骤为选填项，如果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采购人</w:t>
      </w:r>
      <w:r>
        <w:rPr>
          <w:rFonts w:hint="eastAsia" w:ascii="新宋体" w:hAnsi="新宋体" w:eastAsia="新宋体" w:cs="新宋体"/>
          <w:sz w:val="28"/>
          <w:szCs w:val="28"/>
        </w:rPr>
        <w:t>不需要实质性要求则可以不添加。</w:t>
      </w:r>
    </w:p>
    <w:p w14:paraId="4D904CD0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编辑评分因素</w:t>
      </w:r>
    </w:p>
    <w:p w14:paraId="633B0DA4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供应商参与后评委将根据这些评分因素进行打分评选供应商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。</w:t>
      </w:r>
    </w:p>
    <w:p w14:paraId="019CC2AC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完成项目组建</w:t>
      </w:r>
    </w:p>
    <w:p w14:paraId="02C6247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项目组建完成后会暂存在项目组建模块列表中，</w:t>
      </w:r>
      <w:r>
        <w:rPr>
          <w:rStyle w:val="24"/>
          <w:rFonts w:hint="eastAsia" w:ascii="新宋体" w:hAnsi="新宋体" w:eastAsia="新宋体" w:cs="新宋体"/>
          <w:b w:val="0"/>
          <w:bCs/>
          <w:sz w:val="28"/>
          <w:szCs w:val="28"/>
          <w:lang w:eastAsia="zh-CN"/>
        </w:rPr>
        <w:t>采购人</w:t>
      </w:r>
      <w:r>
        <w:rPr>
          <w:rStyle w:val="24"/>
          <w:rFonts w:hint="eastAsia" w:ascii="新宋体" w:hAnsi="新宋体" w:eastAsia="新宋体" w:cs="新宋体"/>
          <w:b w:val="0"/>
          <w:bCs/>
          <w:sz w:val="28"/>
          <w:szCs w:val="28"/>
        </w:rPr>
        <w:t>点击列表中的 “执行” 按钮继续采购流程</w:t>
      </w:r>
      <w:r>
        <w:rPr>
          <w:rFonts w:hint="eastAsia" w:ascii="新宋体" w:hAnsi="新宋体" w:eastAsia="新宋体" w:cs="新宋体"/>
          <w:sz w:val="28"/>
          <w:szCs w:val="28"/>
        </w:rPr>
        <w:t>。 </w:t>
      </w:r>
    </w:p>
    <w:p w14:paraId="70E26BD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</w:p>
    <w:p w14:paraId="6442AF01">
      <w:pPr>
        <w:pStyle w:val="3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bookmarkStart w:id="6" w:name="_Toc16891"/>
      <w:r>
        <w:rPr>
          <w:rFonts w:hint="eastAsia" w:ascii="新宋体" w:hAnsi="新宋体" w:eastAsia="新宋体" w:cs="新宋体"/>
          <w:sz w:val="28"/>
          <w:szCs w:val="28"/>
        </w:rPr>
        <w:t>发布项目</w:t>
      </w:r>
      <w:bookmarkEnd w:id="6"/>
      <w:bookmarkStart w:id="7" w:name="_Toc168144512"/>
      <w:bookmarkEnd w:id="7"/>
      <w:bookmarkStart w:id="8" w:name="_Toc168143570"/>
      <w:bookmarkEnd w:id="8"/>
      <w:bookmarkStart w:id="9" w:name="_Toc168143708"/>
      <w:bookmarkEnd w:id="9"/>
      <w:bookmarkStart w:id="10" w:name="_Toc168155397"/>
      <w:bookmarkEnd w:id="10"/>
      <w:bookmarkStart w:id="11" w:name="_Toc168067547"/>
      <w:bookmarkEnd w:id="11"/>
      <w:bookmarkStart w:id="12" w:name="_Toc168142228"/>
      <w:bookmarkEnd w:id="12"/>
    </w:p>
    <w:p w14:paraId="36D674E0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bookmarkStart w:id="13" w:name="_Toc168143709"/>
      <w:bookmarkEnd w:id="13"/>
      <w:bookmarkStart w:id="14" w:name="_Toc168142229"/>
      <w:bookmarkEnd w:id="14"/>
      <w:bookmarkStart w:id="15" w:name="_Toc168143571"/>
      <w:bookmarkEnd w:id="15"/>
      <w:bookmarkStart w:id="16" w:name="_Toc168155398"/>
      <w:bookmarkEnd w:id="16"/>
      <w:bookmarkStart w:id="17" w:name="_Toc168067548"/>
      <w:bookmarkEnd w:id="17"/>
      <w:bookmarkStart w:id="18" w:name="_Toc168144513"/>
      <w:bookmarkEnd w:id="18"/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发布比选项目</w:t>
      </w:r>
    </w:p>
    <w:p w14:paraId="49AE0D1B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在项目组建模块菜单下，点击操作栏中的“执行”按钮，弹出“采购人承诺函”窗口，</w:t>
      </w: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</w:rPr>
        <w:t>需要确认采购人承诺函的内容</w:t>
      </w:r>
      <w:r>
        <w:rPr>
          <w:rFonts w:hint="eastAsia" w:ascii="新宋体" w:hAnsi="新宋体" w:eastAsia="新宋体" w:cs="新宋体"/>
          <w:sz w:val="28"/>
          <w:szCs w:val="28"/>
        </w:rPr>
        <w:t>才能继续发布项目。</w:t>
      </w:r>
    </w:p>
    <w:p w14:paraId="5EB87429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drawing>
          <wp:inline distT="0" distB="0" distL="0" distR="0">
            <wp:extent cx="6188075" cy="3929380"/>
            <wp:effectExtent l="0" t="0" r="3175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212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58C6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新宋体" w:hAnsi="新宋体" w:eastAsia="新宋体" w:cs="新宋体"/>
          <w:sz w:val="28"/>
          <w:szCs w:val="28"/>
        </w:rPr>
      </w:pPr>
    </w:p>
    <w:p w14:paraId="336F4042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设置时间节点</w:t>
      </w:r>
    </w:p>
    <w:p w14:paraId="734704A9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default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执行项目时需要设置相关各个时间节点和地址。</w:t>
      </w:r>
    </w:p>
    <w:p w14:paraId="6648816B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确认具体信息</w:t>
      </w:r>
    </w:p>
    <w:p w14:paraId="01C5BE9F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default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在确认具体信息步骤中可以浏览项目的关键信息，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待信息确认无误后执行下一步。</w:t>
      </w:r>
    </w:p>
    <w:p w14:paraId="2032A17B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执行成功</w:t>
      </w:r>
    </w:p>
    <w:p w14:paraId="3B9F1B63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执行成功后，便可</w:t>
      </w:r>
      <w:r>
        <w:rPr>
          <w:rFonts w:hint="eastAsia" w:ascii="新宋体" w:hAnsi="新宋体" w:eastAsia="新宋体" w:cs="新宋体"/>
          <w:sz w:val="28"/>
          <w:szCs w:val="28"/>
        </w:rPr>
        <w:t>点击“进入比选管理”按钮进入比选管理界面。</w:t>
      </w:r>
    </w:p>
    <w:p w14:paraId="11AFBA2E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等待供应商参与</w:t>
      </w:r>
    </w:p>
    <w:p w14:paraId="2DAD11BF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项目发布后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需要</w:t>
      </w:r>
      <w:r>
        <w:rPr>
          <w:rFonts w:hint="eastAsia" w:ascii="新宋体" w:hAnsi="新宋体" w:eastAsia="新宋体" w:cs="新宋体"/>
          <w:sz w:val="28"/>
          <w:szCs w:val="28"/>
        </w:rPr>
        <w:t>等待供应商参与。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根据不同的评审方式至少需要不同的响应时间。</w:t>
      </w:r>
    </w:p>
    <w:p w14:paraId="4C9873EC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查看发布的公告</w:t>
      </w:r>
    </w:p>
    <w:p w14:paraId="3F5B52C9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公开比选的项目，发布后，可以在门户首页的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公开比选</w:t>
      </w:r>
      <w:r>
        <w:rPr>
          <w:rFonts w:hint="eastAsia" w:ascii="新宋体" w:hAnsi="新宋体" w:eastAsia="新宋体" w:cs="新宋体"/>
          <w:sz w:val="28"/>
          <w:szCs w:val="28"/>
        </w:rPr>
        <w:t>模块中查看公告信息</w:t>
      </w:r>
    </w:p>
    <w:p w14:paraId="4A7E5ABC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</w:p>
    <w:p w14:paraId="42F1E8BD">
      <w:pPr>
        <w:pStyle w:val="3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bookmarkStart w:id="19" w:name="_Toc24719"/>
      <w:r>
        <w:rPr>
          <w:rFonts w:hint="eastAsia" w:ascii="新宋体" w:hAnsi="新宋体" w:eastAsia="新宋体" w:cs="新宋体"/>
          <w:sz w:val="28"/>
          <w:szCs w:val="28"/>
        </w:rPr>
        <w:t>更正比选</w:t>
      </w:r>
      <w:bookmarkEnd w:id="19"/>
    </w:p>
    <w:p w14:paraId="221DF218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项目执行之前的变更</w:t>
      </w:r>
    </w:p>
    <w:p w14:paraId="5B1674CF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default" w:ascii="新宋体" w:hAnsi="新宋体" w:eastAsia="新宋体" w:cs="新宋体"/>
          <w:color w:val="auto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在项目组建完成后，提交“执行”信息之前，项目随时可以修改，此时可以点击“编辑”按钮重新修改项目信息。</w:t>
      </w:r>
    </w:p>
    <w:p w14:paraId="3F5F70CF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</w:pPr>
      <w:r>
        <w:drawing>
          <wp:inline distT="0" distB="0" distL="114300" distR="114300">
            <wp:extent cx="6187440" cy="2889885"/>
            <wp:effectExtent l="0" t="0" r="3810" b="5715"/>
            <wp:docPr id="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44D47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/>
          <w:lang w:val="en-US" w:eastAsia="zh-CN"/>
        </w:rPr>
      </w:pPr>
    </w:p>
    <w:p w14:paraId="62CC72A8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default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响应开始之前的变更</w:t>
      </w:r>
    </w:p>
    <w:p w14:paraId="5292FF79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color w:val="FF0000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在供应商</w:t>
      </w: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</w:rPr>
        <w:t>响应开始时间之前</w:t>
      </w:r>
      <w:r>
        <w:rPr>
          <w:rFonts w:hint="eastAsia" w:ascii="新宋体" w:hAnsi="新宋体" w:eastAsia="新宋体" w:cs="新宋体"/>
          <w:color w:val="auto"/>
          <w:sz w:val="28"/>
          <w:szCs w:val="28"/>
        </w:rPr>
        <w:t>，可以点击“更正比选”执行更正流程。</w:t>
      </w:r>
    </w:p>
    <w:p w14:paraId="72F0AD44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drawing>
          <wp:inline distT="0" distB="0" distL="114300" distR="114300">
            <wp:extent cx="6177280" cy="3211195"/>
            <wp:effectExtent l="0" t="0" r="13970" b="8255"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5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321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E6B5B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 w:ascii="新宋体" w:hAnsi="新宋体" w:eastAsia="新宋体" w:cs="新宋体"/>
          <w:sz w:val="28"/>
          <w:szCs w:val="28"/>
        </w:rPr>
      </w:pPr>
    </w:p>
    <w:p w14:paraId="5E7458C7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default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响应截止之前的变更</w:t>
      </w:r>
    </w:p>
    <w:p w14:paraId="4A1FE717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default" w:ascii="新宋体" w:hAnsi="新宋体" w:eastAsia="新宋体" w:cs="新宋体"/>
          <w:color w:val="auto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响应开始时间以后，可以点击“</w:t>
      </w: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  <w:lang w:val="en-US" w:eastAsia="zh-CN"/>
        </w:rPr>
        <w:t>更多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”中的“更正比选”按钮进行变更。</w:t>
      </w:r>
    </w:p>
    <w:p w14:paraId="3750DE5F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 w:ascii="新宋体" w:hAnsi="新宋体" w:eastAsia="新宋体" w:cs="新宋体"/>
          <w:color w:val="auto"/>
          <w:sz w:val="28"/>
          <w:szCs w:val="28"/>
          <w:lang w:val="en-US" w:eastAsia="zh-CN"/>
        </w:rPr>
      </w:pPr>
      <w:r>
        <w:rPr>
          <w:color w:val="EE822F" w:themeColor="accent2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6186170" cy="2861310"/>
            <wp:effectExtent l="0" t="0" r="5080" b="1524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699C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</w:pPr>
    </w:p>
    <w:p w14:paraId="4C7B0EA7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变更公告</w:t>
      </w:r>
    </w:p>
    <w:p w14:paraId="64825382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比选变更后需要发变更公告，变更公告可以在门户首页“公告信息”的“更正公告”处查看。</w:t>
      </w:r>
    </w:p>
    <w:p w14:paraId="1EC153C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</w:pPr>
      <w:r>
        <w:drawing>
          <wp:inline distT="0" distB="0" distL="114300" distR="114300">
            <wp:extent cx="6178550" cy="3283585"/>
            <wp:effectExtent l="0" t="0" r="12700" b="12065"/>
            <wp:docPr id="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BF8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/>
          <w:lang w:val="en-US" w:eastAsia="zh-CN"/>
        </w:rPr>
      </w:pPr>
    </w:p>
    <w:p w14:paraId="22B350E9">
      <w:pPr>
        <w:pStyle w:val="3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bookmarkStart w:id="20" w:name="_Toc22503"/>
      <w:r>
        <w:rPr>
          <w:rFonts w:hint="eastAsia" w:ascii="新宋体" w:hAnsi="新宋体" w:eastAsia="新宋体" w:cs="新宋体"/>
          <w:sz w:val="28"/>
          <w:szCs w:val="28"/>
        </w:rPr>
        <w:t>比选管理</w:t>
      </w:r>
      <w:bookmarkEnd w:id="20"/>
    </w:p>
    <w:p w14:paraId="6C38B1C0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供应商响应中</w:t>
      </w:r>
    </w:p>
    <w:p w14:paraId="65DAC204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比选项目发布成功后，项目进入比选管理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中</w:t>
      </w:r>
      <w:r>
        <w:rPr>
          <w:rFonts w:hint="eastAsia" w:ascii="新宋体" w:hAnsi="新宋体" w:eastAsia="新宋体" w:cs="新宋体"/>
          <w:sz w:val="28"/>
          <w:szCs w:val="28"/>
        </w:rPr>
        <w:t>。</w:t>
      </w:r>
    </w:p>
    <w:p w14:paraId="77300640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在等待供应商参与响应的过程中，可以在响应供应商列表中点击“查看”按钮查看该供应商信息。</w:t>
      </w:r>
    </w:p>
    <w:p w14:paraId="0A443085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</w:pPr>
      <w:r>
        <w:drawing>
          <wp:inline distT="0" distB="0" distL="114300" distR="114300">
            <wp:extent cx="6186805" cy="2609850"/>
            <wp:effectExtent l="0" t="0" r="444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371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/>
        </w:rPr>
      </w:pPr>
    </w:p>
    <w:p w14:paraId="7155E9F9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资格审查</w:t>
      </w:r>
    </w:p>
    <w:p w14:paraId="131800DA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</w:rPr>
        <w:t>响应时间截止后</w:t>
      </w:r>
      <w:r>
        <w:rPr>
          <w:rFonts w:hint="eastAsia" w:ascii="新宋体" w:hAnsi="新宋体" w:eastAsia="新宋体" w:cs="新宋体"/>
          <w:color w:val="auto"/>
          <w:sz w:val="28"/>
          <w:szCs w:val="28"/>
        </w:rPr>
        <w:t>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采购人</w:t>
      </w:r>
      <w:r>
        <w:rPr>
          <w:rFonts w:hint="eastAsia" w:ascii="新宋体" w:hAnsi="新宋体" w:eastAsia="新宋体" w:cs="新宋体"/>
          <w:color w:val="auto"/>
          <w:sz w:val="28"/>
          <w:szCs w:val="28"/>
        </w:rPr>
        <w:t>才可以对参与的供应商进行资格审查。</w:t>
      </w:r>
    </w:p>
    <w:p w14:paraId="2BECAE12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在资格审查阶段中，点击供应商列表操作栏中的“审查”按钮可以弹出该供应商的资格审查窗口。</w:t>
      </w:r>
    </w:p>
    <w:p w14:paraId="1CE6DE5B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评审准备</w:t>
      </w:r>
    </w:p>
    <w:p w14:paraId="7FE39B0C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在评审准备阶段，</w:t>
      </w:r>
      <w:r>
        <w:rPr>
          <w:rStyle w:val="24"/>
          <w:rFonts w:hint="eastAsia" w:ascii="新宋体" w:hAnsi="新宋体" w:eastAsia="新宋体" w:cs="新宋体"/>
          <w:b w:val="0"/>
          <w:bCs/>
          <w:color w:val="auto"/>
          <w:sz w:val="28"/>
          <w:szCs w:val="28"/>
        </w:rPr>
        <w:t>需要选择</w:t>
      </w:r>
      <w:r>
        <w:rPr>
          <w:rStyle w:val="24"/>
          <w:rFonts w:hint="eastAsia" w:ascii="新宋体" w:hAnsi="新宋体" w:eastAsia="新宋体" w:cs="新宋体"/>
          <w:b w:val="0"/>
          <w:bCs/>
          <w:color w:val="auto"/>
          <w:sz w:val="28"/>
          <w:szCs w:val="28"/>
          <w:lang w:val="en-US" w:eastAsia="zh-CN"/>
        </w:rPr>
        <w:t>几个</w:t>
      </w:r>
      <w:r>
        <w:rPr>
          <w:rStyle w:val="24"/>
          <w:rFonts w:hint="eastAsia" w:ascii="新宋体" w:hAnsi="新宋体" w:eastAsia="新宋体" w:cs="新宋体"/>
          <w:b/>
          <w:bCs w:val="0"/>
          <w:color w:val="auto"/>
          <w:sz w:val="28"/>
          <w:szCs w:val="28"/>
        </w:rPr>
        <w:t>评审人</w:t>
      </w:r>
      <w:r>
        <w:rPr>
          <w:rStyle w:val="24"/>
          <w:rFonts w:hint="eastAsia" w:ascii="新宋体" w:hAnsi="新宋体" w:eastAsia="新宋体" w:cs="新宋体"/>
          <w:b/>
          <w:bCs w:val="0"/>
          <w:color w:val="auto"/>
          <w:sz w:val="28"/>
          <w:szCs w:val="28"/>
          <w:lang w:val="en-US" w:eastAsia="zh-CN"/>
        </w:rPr>
        <w:t>参与项目评审</w:t>
      </w:r>
      <w:r>
        <w:rPr>
          <w:rStyle w:val="24"/>
          <w:rFonts w:hint="eastAsia" w:ascii="新宋体" w:hAnsi="新宋体" w:eastAsia="新宋体" w:cs="新宋体"/>
          <w:b/>
          <w:bCs w:val="0"/>
          <w:color w:val="auto"/>
          <w:sz w:val="28"/>
          <w:szCs w:val="28"/>
        </w:rPr>
        <w:t>，</w:t>
      </w:r>
      <w:r>
        <w:rPr>
          <w:rStyle w:val="24"/>
          <w:rFonts w:hint="eastAsia" w:ascii="新宋体" w:hAnsi="新宋体" w:eastAsia="新宋体" w:cs="新宋体"/>
          <w:b w:val="0"/>
          <w:bCs/>
          <w:color w:val="auto"/>
          <w:sz w:val="28"/>
          <w:szCs w:val="28"/>
        </w:rPr>
        <w:t>评审人数</w:t>
      </w:r>
      <w:r>
        <w:rPr>
          <w:rStyle w:val="24"/>
          <w:rFonts w:hint="eastAsia" w:ascii="新宋体" w:hAnsi="新宋体" w:eastAsia="新宋体" w:cs="新宋体"/>
          <w:b w:val="0"/>
          <w:bCs/>
          <w:color w:val="auto"/>
          <w:sz w:val="28"/>
          <w:szCs w:val="28"/>
          <w:lang w:val="en-US" w:eastAsia="zh-CN"/>
        </w:rPr>
        <w:t>为基数</w:t>
      </w:r>
      <w:r>
        <w:rPr>
          <w:rFonts w:hint="eastAsia" w:ascii="新宋体" w:hAnsi="新宋体" w:eastAsia="新宋体" w:cs="新宋体"/>
          <w:sz w:val="28"/>
          <w:szCs w:val="28"/>
        </w:rPr>
        <w:t>。</w:t>
      </w:r>
    </w:p>
    <w:p w14:paraId="3735B805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</w:rPr>
        <w:t>评审人账号是由采购</w:t>
      </w: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  <w:lang w:eastAsia="zh-CN"/>
        </w:rPr>
        <w:t>CA账号</w:t>
      </w: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</w:rPr>
        <w:t>添加和管理的</w:t>
      </w:r>
      <w:r>
        <w:rPr>
          <w:rFonts w:hint="eastAsia" w:ascii="新宋体" w:hAnsi="新宋体" w:eastAsia="新宋体" w:cs="新宋体"/>
          <w:sz w:val="28"/>
          <w:szCs w:val="28"/>
        </w:rPr>
        <w:t>，请提前准备好评审人账号。</w:t>
      </w:r>
    </w:p>
    <w:p w14:paraId="17EFF34A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正式评审</w:t>
      </w:r>
    </w:p>
    <w:p w14:paraId="75747C05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正式评审</w:t>
      </w:r>
      <w:r>
        <w:rPr>
          <w:rFonts w:hint="eastAsia" w:ascii="新宋体" w:hAnsi="新宋体" w:eastAsia="新宋体" w:cs="新宋体"/>
          <w:sz w:val="28"/>
          <w:szCs w:val="28"/>
        </w:rPr>
        <w:t>阶段主要是由评审人登录评审工作台对供应商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其他响应信息</w:t>
      </w:r>
      <w:r>
        <w:rPr>
          <w:rFonts w:hint="eastAsia" w:ascii="新宋体" w:hAnsi="新宋体" w:eastAsia="新宋体" w:cs="新宋体"/>
          <w:sz w:val="28"/>
          <w:szCs w:val="28"/>
        </w:rPr>
        <w:t>进行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评审。</w:t>
      </w:r>
    </w:p>
    <w:p w14:paraId="788DC3A3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比选完成</w:t>
      </w:r>
    </w:p>
    <w:p w14:paraId="1DA529F4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选择完中选供应商后即可发送成交通知书，发送完成后即完成了比选。 </w:t>
      </w:r>
    </w:p>
    <w:p w14:paraId="04DC6AF4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执行履约</w:t>
      </w:r>
    </w:p>
    <w:p w14:paraId="5CFD2DD0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比选完成后</w:t>
      </w:r>
      <w:r>
        <w:rPr>
          <w:rFonts w:hint="eastAsia" w:ascii="新宋体" w:hAnsi="新宋体" w:eastAsia="新宋体" w:cs="新宋体"/>
          <w:sz w:val="28"/>
          <w:szCs w:val="28"/>
        </w:rPr>
        <w:t>可以在比选管理列表处点击“执行履约”按钮将项目流转入履约管理中。</w:t>
      </w:r>
    </w:p>
    <w:p w14:paraId="7D034EFD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</w:p>
    <w:p w14:paraId="19F30739">
      <w:pPr>
        <w:pStyle w:val="3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bookmarkStart w:id="21" w:name="_Toc27284"/>
      <w:r>
        <w:rPr>
          <w:rFonts w:hint="eastAsia" w:ascii="新宋体" w:hAnsi="新宋体" w:eastAsia="新宋体" w:cs="新宋体"/>
          <w:sz w:val="28"/>
          <w:szCs w:val="28"/>
        </w:rPr>
        <w:t>履约管理</w:t>
      </w:r>
      <w:bookmarkEnd w:id="21"/>
    </w:p>
    <w:p w14:paraId="1172A6A6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项目转入履约管理</w:t>
      </w:r>
    </w:p>
    <w:p w14:paraId="2A03F25C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公开比选、邀请比选和直选的项目，在比选管理流程结束后，点击列表操作栏中的“执行履约”可以将项目转入履约管理中。</w:t>
      </w:r>
    </w:p>
    <w:p w14:paraId="53D5174D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drawing>
          <wp:inline distT="0" distB="0" distL="114300" distR="114300">
            <wp:extent cx="6176010" cy="2611755"/>
            <wp:effectExtent l="0" t="0" r="0" b="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" r="5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新宋体" w:hAnsi="新宋体" w:eastAsia="新宋体" w:cs="新宋体"/>
          <w:sz w:val="28"/>
          <w:szCs w:val="28"/>
        </w:rPr>
        <w:t xml:space="preserve"> </w:t>
      </w:r>
    </w:p>
    <w:p w14:paraId="146B845F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 w:ascii="新宋体" w:hAnsi="新宋体" w:eastAsia="新宋体" w:cs="新宋体"/>
          <w:sz w:val="28"/>
          <w:szCs w:val="28"/>
        </w:rPr>
      </w:pPr>
    </w:p>
    <w:p w14:paraId="0ED14F06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签订合同</w:t>
      </w:r>
    </w:p>
    <w:p w14:paraId="46FB53DF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履约的第一步是签订合同，该阶段中需要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采购人</w:t>
      </w:r>
      <w:r>
        <w:rPr>
          <w:rFonts w:hint="eastAsia" w:ascii="新宋体" w:hAnsi="新宋体" w:eastAsia="新宋体" w:cs="新宋体"/>
          <w:sz w:val="28"/>
          <w:szCs w:val="28"/>
        </w:rPr>
        <w:t>填写合同的基本信息及上传合同文件等。</w:t>
      </w:r>
    </w:p>
    <w:p w14:paraId="0BED7756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color w:val="FF0000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合同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签订完成</w:t>
      </w:r>
      <w:r>
        <w:rPr>
          <w:rFonts w:hint="eastAsia" w:ascii="新宋体" w:hAnsi="新宋体" w:eastAsia="新宋体" w:cs="新宋体"/>
          <w:sz w:val="28"/>
          <w:szCs w:val="28"/>
        </w:rPr>
        <w:t>后，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采购人</w:t>
      </w:r>
      <w:r>
        <w:rPr>
          <w:rFonts w:hint="eastAsia" w:ascii="新宋体" w:hAnsi="新宋体" w:eastAsia="新宋体" w:cs="新宋体"/>
          <w:sz w:val="28"/>
          <w:szCs w:val="28"/>
        </w:rPr>
        <w:t>点击“下一步”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时</w:t>
      </w:r>
      <w:r>
        <w:rPr>
          <w:rFonts w:hint="eastAsia" w:ascii="新宋体" w:hAnsi="新宋体" w:eastAsia="新宋体" w:cs="新宋体"/>
          <w:sz w:val="28"/>
          <w:szCs w:val="28"/>
        </w:rPr>
        <w:t>系统会提示发布合同公告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。</w:t>
      </w:r>
      <w:r>
        <w:rPr>
          <w:rFonts w:hint="eastAsia" w:ascii="新宋体" w:hAnsi="新宋体" w:eastAsia="新宋体" w:cs="新宋体"/>
          <w:sz w:val="28"/>
          <w:szCs w:val="28"/>
        </w:rPr>
        <w:t>合同公告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发布</w:t>
      </w:r>
      <w:r>
        <w:rPr>
          <w:rFonts w:hint="eastAsia" w:ascii="新宋体" w:hAnsi="新宋体" w:eastAsia="新宋体" w:cs="新宋体"/>
          <w:sz w:val="28"/>
          <w:szCs w:val="28"/>
        </w:rPr>
        <w:t>后</w:t>
      </w: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</w:rPr>
        <w:t>将会在门户网站上展示</w:t>
      </w: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  <w:lang w:val="en-US" w:eastAsia="zh-CN"/>
        </w:rPr>
        <w:t>公告信息</w:t>
      </w: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</w:rPr>
        <w:t>。</w:t>
      </w:r>
      <w:r>
        <w:rPr>
          <w:rFonts w:hint="eastAsia" w:ascii="新宋体" w:hAnsi="新宋体" w:eastAsia="新宋体" w:cs="新宋体"/>
          <w:color w:val="FF0000"/>
          <w:sz w:val="28"/>
          <w:szCs w:val="28"/>
        </w:rPr>
        <w:t xml:space="preserve"> </w:t>
      </w:r>
    </w:p>
    <w:p w14:paraId="0F7F221B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应付账款</w:t>
      </w:r>
    </w:p>
    <w:p w14:paraId="72DF6551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供应商提供服务完某个期次后，会向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采购人</w:t>
      </w:r>
      <w:r>
        <w:rPr>
          <w:rFonts w:hint="eastAsia" w:ascii="新宋体" w:hAnsi="新宋体" w:eastAsia="新宋体" w:cs="新宋体"/>
          <w:sz w:val="28"/>
          <w:szCs w:val="28"/>
        </w:rPr>
        <w:t>申请该期次的账款。</w:t>
      </w:r>
    </w:p>
    <w:p w14:paraId="0C9FEBA5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在应付账款阶段中，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采购人</w:t>
      </w:r>
      <w:r>
        <w:rPr>
          <w:rFonts w:hint="eastAsia" w:ascii="新宋体" w:hAnsi="新宋体" w:eastAsia="新宋体" w:cs="新宋体"/>
          <w:sz w:val="28"/>
          <w:szCs w:val="28"/>
        </w:rPr>
        <w:t>可以查看供应商的账款申请及相关凭证。</w:t>
      </w:r>
    </w:p>
    <w:p w14:paraId="5B510CF7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项目验收</w:t>
      </w:r>
    </w:p>
    <w:p w14:paraId="27CC3F69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供应商完成服务后，由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采购人</w:t>
      </w:r>
      <w:r>
        <w:rPr>
          <w:rFonts w:hint="eastAsia" w:ascii="新宋体" w:hAnsi="新宋体" w:eastAsia="新宋体" w:cs="新宋体"/>
          <w:sz w:val="28"/>
          <w:szCs w:val="28"/>
        </w:rPr>
        <w:t>线下验收项目，并在线上项目验收阶段中填写验收日期并上传验收报告，验收报告只能是不超过10M的pdf文件。</w:t>
      </w:r>
    </w:p>
    <w:p w14:paraId="6CA39B61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供应商评价</w:t>
      </w:r>
    </w:p>
    <w:p w14:paraId="281EE385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项目验收完毕后，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采购人</w:t>
      </w:r>
      <w:r>
        <w:rPr>
          <w:rFonts w:hint="eastAsia" w:ascii="新宋体" w:hAnsi="新宋体" w:eastAsia="新宋体" w:cs="新宋体"/>
          <w:sz w:val="28"/>
          <w:szCs w:val="28"/>
        </w:rPr>
        <w:t>需要对供应商进行评价，每个评分点最高可得5分，系统会根据各项得分计算出综合得分。</w:t>
      </w:r>
    </w:p>
    <w:p w14:paraId="23DB3539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支付尾款</w:t>
      </w:r>
    </w:p>
    <w:p w14:paraId="25846815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采购人</w:t>
      </w:r>
      <w:r>
        <w:rPr>
          <w:rFonts w:hint="eastAsia" w:ascii="新宋体" w:hAnsi="新宋体" w:eastAsia="新宋体" w:cs="新宋体"/>
          <w:sz w:val="28"/>
          <w:szCs w:val="28"/>
        </w:rPr>
        <w:t>给供应商评价完毕后，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根据配置可能需要支付尾款</w:t>
      </w:r>
      <w:r>
        <w:rPr>
          <w:rFonts w:hint="eastAsia" w:ascii="新宋体" w:hAnsi="新宋体" w:eastAsia="新宋体" w:cs="新宋体"/>
          <w:sz w:val="28"/>
          <w:szCs w:val="28"/>
        </w:rPr>
        <w:t>。 </w:t>
      </w:r>
    </w:p>
    <w:p w14:paraId="4EAB6B04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项目归档</w:t>
      </w:r>
    </w:p>
    <w:p w14:paraId="13D2B2CF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履约结束后，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采购人</w:t>
      </w:r>
      <w:r>
        <w:rPr>
          <w:rFonts w:hint="eastAsia" w:ascii="新宋体" w:hAnsi="新宋体" w:eastAsia="新宋体" w:cs="新宋体"/>
          <w:color w:val="auto"/>
          <w:sz w:val="28"/>
          <w:szCs w:val="28"/>
        </w:rPr>
        <w:t>可以点击“项目归档”</w:t>
      </w: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</w:rPr>
        <w:t>将项目移入项目档案模块中管理</w:t>
      </w:r>
      <w:r>
        <w:rPr>
          <w:rFonts w:hint="eastAsia" w:ascii="新宋体" w:hAnsi="新宋体" w:eastAsia="新宋体" w:cs="新宋体"/>
          <w:color w:val="auto"/>
          <w:sz w:val="28"/>
          <w:szCs w:val="28"/>
        </w:rPr>
        <w:t>。</w:t>
      </w:r>
      <w:r>
        <w:rPr>
          <w:rFonts w:hint="eastAsia" w:ascii="新宋体" w:hAnsi="新宋体" w:eastAsia="新宋体" w:cs="新宋体"/>
          <w:sz w:val="28"/>
          <w:szCs w:val="28"/>
        </w:rPr>
        <w:t>至此，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当前</w:t>
      </w:r>
      <w:r>
        <w:rPr>
          <w:rFonts w:hint="eastAsia" w:ascii="新宋体" w:hAnsi="新宋体" w:eastAsia="新宋体" w:cs="新宋体"/>
          <w:sz w:val="28"/>
          <w:szCs w:val="28"/>
        </w:rPr>
        <w:t>项目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的</w:t>
      </w:r>
      <w:r>
        <w:rPr>
          <w:rFonts w:hint="eastAsia" w:ascii="新宋体" w:hAnsi="新宋体" w:eastAsia="新宋体" w:cs="新宋体"/>
          <w:sz w:val="28"/>
          <w:szCs w:val="28"/>
        </w:rPr>
        <w:t>流程便已结束。</w:t>
      </w:r>
    </w:p>
    <w:p w14:paraId="3B449BB6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</w:p>
    <w:p w14:paraId="7BC1AF63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20" w:lineRule="auto"/>
        <w:textAlignment w:val="auto"/>
        <w:rPr>
          <w:rFonts w:hint="eastAsia" w:ascii="新宋体" w:hAnsi="新宋体" w:eastAsia="新宋体" w:cs="新宋体"/>
          <w:sz w:val="44"/>
          <w:szCs w:val="44"/>
          <w:lang w:val="en-US" w:eastAsia="zh-CN"/>
        </w:rPr>
      </w:pPr>
      <w:bookmarkStart w:id="22" w:name="_Toc12960"/>
      <w:r>
        <w:rPr>
          <w:rFonts w:hint="eastAsia" w:ascii="新宋体" w:hAnsi="新宋体" w:eastAsia="新宋体" w:cs="新宋体"/>
          <w:sz w:val="44"/>
          <w:szCs w:val="44"/>
          <w:lang w:val="en-US" w:eastAsia="zh-CN"/>
        </w:rPr>
        <w:t>三、管理</w:t>
      </w:r>
      <w:bookmarkEnd w:id="22"/>
    </w:p>
    <w:p w14:paraId="55BE8687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bookmarkStart w:id="23" w:name="_Toc23477"/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3.1.</w:t>
      </w:r>
      <w:r>
        <w:rPr>
          <w:rFonts w:hint="eastAsia" w:ascii="新宋体" w:hAnsi="新宋体" w:eastAsia="新宋体" w:cs="新宋体"/>
          <w:sz w:val="28"/>
          <w:szCs w:val="28"/>
        </w:rPr>
        <w:t>评审人管理</w:t>
      </w:r>
      <w:bookmarkEnd w:id="23"/>
    </w:p>
    <w:p w14:paraId="4FE5006B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2" w:firstLineChars="200"/>
        <w:textAlignment w:val="auto"/>
        <w:rPr>
          <w:rFonts w:hint="eastAsia" w:ascii="新宋体" w:hAnsi="新宋体" w:eastAsia="新宋体" w:cs="新宋体"/>
          <w:b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</w:rPr>
        <w:t>评审人账号在“评审人管理”中创建。</w:t>
      </w:r>
    </w:p>
    <w:p w14:paraId="7CD59588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在评审人管理界面中：点击“添加”按钮添加新的评审人账号。</w:t>
      </w:r>
    </w:p>
    <w:p w14:paraId="0A91E24B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请注意列表中的状态，</w:t>
      </w:r>
      <w:r>
        <w:rPr>
          <w:rFonts w:hint="eastAsia" w:ascii="新宋体" w:hAnsi="新宋体" w:eastAsia="新宋体" w:cs="新宋体"/>
          <w:color w:val="auto"/>
          <w:sz w:val="28"/>
          <w:szCs w:val="28"/>
        </w:rPr>
        <w:t>列表中状态为“启用”的账号可以</w:t>
      </w: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</w:rPr>
        <w:t>正常使用</w:t>
      </w:r>
      <w:r>
        <w:rPr>
          <w:rFonts w:hint="eastAsia" w:ascii="新宋体" w:hAnsi="新宋体" w:eastAsia="新宋体" w:cs="新宋体"/>
          <w:color w:val="auto"/>
          <w:sz w:val="28"/>
          <w:szCs w:val="28"/>
        </w:rPr>
        <w:t>，而状态为“禁用”的则</w:t>
      </w:r>
      <w:r>
        <w:rPr>
          <w:rFonts w:hint="eastAsia" w:ascii="新宋体" w:hAnsi="新宋体" w:eastAsia="新宋体" w:cs="新宋体"/>
          <w:b/>
          <w:bCs/>
          <w:color w:val="auto"/>
          <w:sz w:val="28"/>
          <w:szCs w:val="28"/>
        </w:rPr>
        <w:t>暂停使用</w:t>
      </w:r>
      <w:r>
        <w:rPr>
          <w:rFonts w:hint="eastAsia" w:ascii="新宋体" w:hAnsi="新宋体" w:eastAsia="新宋体" w:cs="新宋体"/>
          <w:color w:val="auto"/>
          <w:sz w:val="28"/>
          <w:szCs w:val="28"/>
        </w:rPr>
        <w:t>。</w:t>
      </w:r>
    </w:p>
    <w:p w14:paraId="3A5AC28D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drawing>
          <wp:inline distT="0" distB="0" distL="0" distR="0">
            <wp:extent cx="6188710" cy="1703705"/>
            <wp:effectExtent l="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C47B8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 w:ascii="新宋体" w:hAnsi="新宋体" w:eastAsia="新宋体" w:cs="新宋体"/>
          <w:sz w:val="28"/>
          <w:szCs w:val="28"/>
        </w:rPr>
      </w:pPr>
    </w:p>
    <w:p w14:paraId="45872CF6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/>
        <w:textAlignment w:val="auto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bookmarkStart w:id="24" w:name="_Toc6262"/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3.2.项目信息</w:t>
      </w:r>
      <w:bookmarkEnd w:id="24"/>
    </w:p>
    <w:p w14:paraId="17377761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</w:pP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采购人</w:t>
      </w:r>
      <w:r>
        <w:rPr>
          <w:rFonts w:hint="eastAsia" w:ascii="新宋体" w:hAnsi="新宋体" w:eastAsia="新宋体" w:cs="新宋体"/>
          <w:sz w:val="28"/>
          <w:szCs w:val="28"/>
        </w:rPr>
        <w:t>可以通过“项目信息”菜单查看本部门采购人的</w:t>
      </w:r>
      <w:r>
        <w:rPr>
          <w:rFonts w:hint="eastAsia" w:ascii="新宋体" w:hAnsi="新宋体" w:eastAsia="新宋体" w:cs="新宋体"/>
          <w:b/>
          <w:bCs/>
          <w:sz w:val="28"/>
          <w:szCs w:val="28"/>
        </w:rPr>
        <w:t>采购情况</w:t>
      </w:r>
      <w:r>
        <w:rPr>
          <w:rFonts w:hint="eastAsia" w:ascii="新宋体" w:hAnsi="新宋体" w:eastAsia="新宋体" w:cs="新宋体"/>
          <w:sz w:val="28"/>
          <w:szCs w:val="28"/>
        </w:rPr>
        <w:t>，通过列表数据还可以了解项目采用的</w:t>
      </w:r>
      <w:r>
        <w:rPr>
          <w:rFonts w:hint="eastAsia" w:ascii="新宋体" w:hAnsi="新宋体" w:eastAsia="新宋体" w:cs="新宋体"/>
          <w:b/>
          <w:bCs/>
          <w:sz w:val="28"/>
          <w:szCs w:val="28"/>
        </w:rPr>
        <w:t>比选方式</w:t>
      </w:r>
      <w:r>
        <w:rPr>
          <w:rFonts w:hint="eastAsia" w:ascii="新宋体" w:hAnsi="新宋体" w:eastAsia="新宋体" w:cs="新宋体"/>
          <w:sz w:val="28"/>
          <w:szCs w:val="28"/>
        </w:rPr>
        <w:t>以及</w:t>
      </w:r>
      <w:r>
        <w:rPr>
          <w:rFonts w:hint="eastAsia" w:ascii="新宋体" w:hAnsi="新宋体" w:eastAsia="新宋体" w:cs="新宋体"/>
          <w:b/>
          <w:bCs/>
          <w:sz w:val="28"/>
          <w:szCs w:val="28"/>
        </w:rPr>
        <w:t>项目所处的状态</w:t>
      </w:r>
      <w:r>
        <w:rPr>
          <w:rFonts w:hint="eastAsia" w:ascii="新宋体" w:hAnsi="新宋体" w:eastAsia="新宋体" w:cs="新宋体"/>
          <w:sz w:val="28"/>
          <w:szCs w:val="28"/>
        </w:rPr>
        <w:t>。</w:t>
      </w:r>
      <w:r>
        <w:drawing>
          <wp:inline distT="0" distB="0" distL="114300" distR="114300">
            <wp:extent cx="6187440" cy="3209925"/>
            <wp:effectExtent l="0" t="0" r="3810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F38F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480" w:firstLineChars="200"/>
        <w:textAlignment w:val="auto"/>
        <w:rPr>
          <w:rFonts w:hint="eastAsia"/>
        </w:rPr>
      </w:pPr>
    </w:p>
    <w:p w14:paraId="55AE3E55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/>
        <w:textAlignment w:val="auto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bookmarkStart w:id="25" w:name="_Toc18216"/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3.3</w:t>
      </w:r>
      <w:r>
        <w:rPr>
          <w:rFonts w:hint="default" w:ascii="新宋体" w:hAnsi="新宋体" w:eastAsia="新宋体" w:cs="新宋体"/>
          <w:sz w:val="28"/>
          <w:szCs w:val="28"/>
          <w:lang w:val="en-US" w:eastAsia="zh-CN"/>
        </w:rPr>
        <w:t>.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合同信息</w:t>
      </w:r>
      <w:bookmarkEnd w:id="25"/>
    </w:p>
    <w:p w14:paraId="6347B42A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本部门采购签署过的合同可以在</w:t>
      </w:r>
      <w:r>
        <w:rPr>
          <w:rFonts w:hint="eastAsia" w:ascii="新宋体" w:hAnsi="新宋体" w:eastAsia="新宋体" w:cs="新宋体"/>
          <w:b/>
          <w:bCs/>
          <w:sz w:val="28"/>
          <w:szCs w:val="28"/>
        </w:rPr>
        <w:t>合同信息</w:t>
      </w:r>
      <w:r>
        <w:rPr>
          <w:rFonts w:hint="eastAsia" w:ascii="新宋体" w:hAnsi="新宋体" w:eastAsia="新宋体" w:cs="新宋体"/>
          <w:sz w:val="28"/>
          <w:szCs w:val="28"/>
        </w:rPr>
        <w:t>中查看。点击 “查看” 可以查看合同</w:t>
      </w:r>
      <w:r>
        <w:rPr>
          <w:rFonts w:hint="eastAsia" w:ascii="新宋体" w:hAnsi="新宋体" w:eastAsia="新宋体" w:cs="新宋体"/>
          <w:b/>
          <w:bCs/>
          <w:sz w:val="28"/>
          <w:szCs w:val="28"/>
        </w:rPr>
        <w:t>详细信息</w:t>
      </w:r>
      <w:r>
        <w:rPr>
          <w:rFonts w:hint="eastAsia" w:ascii="新宋体" w:hAnsi="新宋体" w:eastAsia="新宋体" w:cs="新宋体"/>
          <w:sz w:val="28"/>
          <w:szCs w:val="28"/>
        </w:rPr>
        <w:t>。</w:t>
      </w:r>
    </w:p>
    <w:p w14:paraId="3B2EA5FA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</w:pPr>
      <w:r>
        <w:drawing>
          <wp:inline distT="0" distB="0" distL="114300" distR="114300">
            <wp:extent cx="6184900" cy="2904490"/>
            <wp:effectExtent l="0" t="0" r="6350" b="1016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5A138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/>
        </w:rPr>
      </w:pPr>
    </w:p>
    <w:p w14:paraId="62F74793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/>
        <w:textAlignment w:val="auto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bookmarkStart w:id="26" w:name="_Toc9571"/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3.4</w:t>
      </w:r>
      <w:r>
        <w:rPr>
          <w:rFonts w:hint="default" w:ascii="新宋体" w:hAnsi="新宋体" w:eastAsia="新宋体" w:cs="新宋体"/>
          <w:sz w:val="28"/>
          <w:szCs w:val="28"/>
          <w:lang w:val="en-US" w:eastAsia="zh-CN"/>
        </w:rPr>
        <w:t>.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账款信息</w:t>
      </w:r>
      <w:bookmarkEnd w:id="26"/>
    </w:p>
    <w:p w14:paraId="58ED8843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列表中支付状态显示当前项目是否支付。</w:t>
      </w:r>
    </w:p>
    <w:p w14:paraId="553D20EC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点击“查看凭证”可以查看发票、付款凭证及收款凭证。</w:t>
      </w:r>
    </w:p>
    <w:p w14:paraId="6A610942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表格底部统计项目的账款情况，其中，</w:t>
      </w:r>
      <w:r>
        <w:rPr>
          <w:rFonts w:hint="eastAsia" w:ascii="新宋体" w:hAnsi="新宋体" w:eastAsia="新宋体" w:cs="新宋体"/>
          <w:b/>
          <w:bCs/>
          <w:sz w:val="28"/>
          <w:szCs w:val="28"/>
        </w:rPr>
        <w:t>合计为本页数据的账款总和，总计为部门下所有数据的账款总和</w:t>
      </w:r>
      <w:r>
        <w:rPr>
          <w:rFonts w:hint="eastAsia" w:ascii="新宋体" w:hAnsi="新宋体" w:eastAsia="新宋体" w:cs="新宋体"/>
          <w:sz w:val="28"/>
          <w:szCs w:val="28"/>
        </w:rPr>
        <w:t>。</w:t>
      </w:r>
    </w:p>
    <w:p w14:paraId="517B111D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</w:pPr>
      <w:r>
        <w:drawing>
          <wp:inline distT="0" distB="0" distL="114300" distR="114300">
            <wp:extent cx="6185535" cy="2044065"/>
            <wp:effectExtent l="0" t="0" r="5715" b="133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1C8CA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/>
        </w:rPr>
      </w:pPr>
    </w:p>
    <w:p w14:paraId="4065E5F9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20" w:lineRule="auto"/>
        <w:textAlignment w:val="auto"/>
        <w:rPr>
          <w:rFonts w:hint="eastAsia" w:ascii="新宋体" w:hAnsi="新宋体" w:eastAsia="新宋体" w:cs="新宋体"/>
          <w:sz w:val="44"/>
          <w:szCs w:val="44"/>
          <w:lang w:val="en-US" w:eastAsia="zh-CN"/>
        </w:rPr>
      </w:pPr>
      <w:bookmarkStart w:id="27" w:name="_Toc16426"/>
      <w:r>
        <w:rPr>
          <w:rFonts w:hint="eastAsia" w:ascii="新宋体" w:hAnsi="新宋体" w:eastAsia="新宋体" w:cs="新宋体"/>
          <w:sz w:val="44"/>
          <w:szCs w:val="44"/>
          <w:lang w:val="en-US" w:eastAsia="zh-CN"/>
        </w:rPr>
        <w:t>四、统计</w:t>
      </w:r>
      <w:bookmarkEnd w:id="27"/>
    </w:p>
    <w:p w14:paraId="50FFEE22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/>
        <w:textAlignment w:val="auto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bookmarkStart w:id="28" w:name="_Toc12827"/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4.</w:t>
      </w:r>
      <w:r>
        <w:rPr>
          <w:rFonts w:hint="default" w:ascii="新宋体" w:hAnsi="新宋体" w:eastAsia="新宋体" w:cs="新宋体"/>
          <w:sz w:val="28"/>
          <w:szCs w:val="28"/>
          <w:lang w:val="en-US" w:eastAsia="zh-CN"/>
        </w:rPr>
        <w:t>1.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数据看板</w:t>
      </w:r>
      <w:bookmarkEnd w:id="28"/>
    </w:p>
    <w:p w14:paraId="46056FE8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数据看板中可以直观了解到您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部门</w:t>
      </w:r>
      <w:r>
        <w:rPr>
          <w:rFonts w:hint="eastAsia" w:ascii="新宋体" w:hAnsi="新宋体" w:eastAsia="新宋体" w:cs="新宋体"/>
          <w:sz w:val="28"/>
          <w:szCs w:val="28"/>
        </w:rPr>
        <w:t>的采购情况，包括：比选数量、项目类型比例、服务品目金额排名等。</w:t>
      </w:r>
    </w:p>
    <w:p w14:paraId="094E17A7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在每项数据的右上角，可以</w:t>
      </w:r>
      <w:r>
        <w:rPr>
          <w:rFonts w:hint="eastAsia" w:ascii="新宋体" w:hAnsi="新宋体" w:eastAsia="新宋体" w:cs="新宋体"/>
          <w:b/>
          <w:bCs/>
          <w:sz w:val="28"/>
          <w:szCs w:val="28"/>
        </w:rPr>
        <w:t>点击详情按钮</w:t>
      </w:r>
      <w:r>
        <w:rPr>
          <w:rFonts w:hint="eastAsia" w:ascii="新宋体" w:hAnsi="新宋体" w:eastAsia="新宋体" w:cs="新宋体"/>
          <w:sz w:val="28"/>
          <w:szCs w:val="28"/>
        </w:rPr>
        <w:t>查看该数据的详情信息。</w:t>
      </w:r>
    </w:p>
    <w:p w14:paraId="3971B31D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</w:pPr>
      <w:r>
        <w:drawing>
          <wp:inline distT="0" distB="0" distL="114300" distR="114300">
            <wp:extent cx="6182360" cy="2987040"/>
            <wp:effectExtent l="0" t="0" r="8890" b="381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75597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/>
        </w:rPr>
      </w:pPr>
    </w:p>
    <w:p w14:paraId="54E81531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20" w:lineRule="auto"/>
        <w:textAlignment w:val="auto"/>
        <w:rPr>
          <w:rFonts w:hint="eastAsia" w:ascii="新宋体" w:hAnsi="新宋体" w:eastAsia="新宋体" w:cs="新宋体"/>
          <w:sz w:val="44"/>
          <w:szCs w:val="44"/>
          <w:lang w:val="en-US" w:eastAsia="zh-CN"/>
        </w:rPr>
      </w:pPr>
      <w:bookmarkStart w:id="29" w:name="_Toc11626"/>
      <w:r>
        <w:rPr>
          <w:rFonts w:hint="eastAsia" w:ascii="新宋体" w:hAnsi="新宋体" w:eastAsia="新宋体" w:cs="新宋体"/>
          <w:sz w:val="44"/>
          <w:szCs w:val="44"/>
          <w:lang w:val="en-US" w:eastAsia="zh-CN"/>
        </w:rPr>
        <w:t>五、用户</w:t>
      </w:r>
      <w:bookmarkEnd w:id="29"/>
    </w:p>
    <w:p w14:paraId="1B2F066C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/>
        <w:textAlignment w:val="auto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bookmarkStart w:id="30" w:name="_Toc16459"/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</w:t>
      </w:r>
      <w:r>
        <w:rPr>
          <w:rFonts w:hint="default" w:ascii="新宋体" w:hAnsi="新宋体" w:eastAsia="新宋体" w:cs="新宋体"/>
          <w:sz w:val="28"/>
          <w:szCs w:val="28"/>
          <w:lang w:val="en-US" w:eastAsia="zh-CN"/>
        </w:rPr>
        <w:t>.1.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用户信息</w:t>
      </w:r>
      <w:bookmarkEnd w:id="30"/>
    </w:p>
    <w:p w14:paraId="7FA5EEAE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用户信息中可以</w:t>
      </w:r>
      <w:r>
        <w:rPr>
          <w:rFonts w:hint="eastAsia" w:ascii="新宋体" w:hAnsi="新宋体" w:eastAsia="新宋体" w:cs="新宋体"/>
          <w:b/>
          <w:bCs/>
          <w:sz w:val="28"/>
          <w:szCs w:val="28"/>
        </w:rPr>
        <w:t>修改</w:t>
      </w:r>
      <w:r>
        <w:rPr>
          <w:rFonts w:hint="eastAsia" w:ascii="新宋体" w:hAnsi="新宋体" w:eastAsia="新宋体" w:cs="新宋体"/>
          <w:b/>
          <w:bCs/>
          <w:sz w:val="28"/>
          <w:szCs w:val="28"/>
          <w:lang w:eastAsia="zh-CN"/>
        </w:rPr>
        <w:t>采购人</w:t>
      </w:r>
      <w:r>
        <w:rPr>
          <w:rFonts w:hint="eastAsia" w:ascii="新宋体" w:hAnsi="新宋体" w:eastAsia="新宋体" w:cs="新宋体"/>
          <w:b/>
          <w:bCs/>
          <w:sz w:val="28"/>
          <w:szCs w:val="28"/>
        </w:rPr>
        <w:t>的相关信息</w:t>
      </w:r>
      <w:r>
        <w:rPr>
          <w:rFonts w:hint="eastAsia" w:ascii="新宋体" w:hAnsi="新宋体" w:eastAsia="新宋体" w:cs="新宋体"/>
          <w:sz w:val="28"/>
          <w:szCs w:val="28"/>
        </w:rPr>
        <w:t>包括头像、姓名和职务。</w:t>
      </w:r>
    </w:p>
    <w:p w14:paraId="47CA16D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新宋体" w:hAnsi="新宋体" w:eastAsia="新宋体" w:cs="新宋体"/>
          <w:kern w:val="0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kern w:val="0"/>
          <w:sz w:val="28"/>
          <w:szCs w:val="28"/>
          <w:lang w:val="en-US" w:eastAsia="zh-CN" w:bidi="ar-SA"/>
        </w:rPr>
        <w:drawing>
          <wp:inline distT="0" distB="0" distL="0" distR="0">
            <wp:extent cx="6188710" cy="260159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DD4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</w:p>
    <w:p w14:paraId="475BC9EA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/>
        <w:textAlignment w:val="auto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bookmarkStart w:id="31" w:name="_Toc20650"/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</w:t>
      </w:r>
      <w:r>
        <w:rPr>
          <w:rFonts w:hint="default" w:ascii="新宋体" w:hAnsi="新宋体" w:eastAsia="新宋体" w:cs="新宋体"/>
          <w:sz w:val="28"/>
          <w:szCs w:val="28"/>
          <w:lang w:val="en-US" w:eastAsia="zh-CN"/>
        </w:rPr>
        <w:t>.2.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账号安全</w:t>
      </w:r>
      <w:bookmarkEnd w:id="31"/>
    </w:p>
    <w:p w14:paraId="2809AB8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可以在账号安全中修改</w:t>
      </w:r>
      <w:r>
        <w:rPr>
          <w:rFonts w:hint="eastAsia" w:ascii="新宋体" w:hAnsi="新宋体" w:eastAsia="新宋体" w:cs="新宋体"/>
          <w:b/>
          <w:bCs/>
          <w:sz w:val="28"/>
          <w:szCs w:val="28"/>
        </w:rPr>
        <w:t>当前账号绑定的手机号</w:t>
      </w:r>
      <w:r>
        <w:rPr>
          <w:rFonts w:hint="eastAsia" w:ascii="新宋体" w:hAnsi="新宋体" w:eastAsia="新宋体" w:cs="新宋体"/>
          <w:sz w:val="28"/>
          <w:szCs w:val="28"/>
        </w:rPr>
        <w:t>。</w:t>
      </w:r>
    </w:p>
    <w:p w14:paraId="05185557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drawing>
          <wp:inline distT="0" distB="0" distL="0" distR="0">
            <wp:extent cx="6188710" cy="182753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D27D0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 w:ascii="新宋体" w:hAnsi="新宋体" w:eastAsia="新宋体" w:cs="新宋体"/>
          <w:sz w:val="28"/>
          <w:szCs w:val="28"/>
        </w:rPr>
      </w:pPr>
    </w:p>
    <w:p w14:paraId="2B9F5D28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/>
        <w:textAlignment w:val="auto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bookmarkStart w:id="32" w:name="_Toc32309"/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</w:t>
      </w:r>
      <w:r>
        <w:rPr>
          <w:rFonts w:hint="default" w:ascii="新宋体" w:hAnsi="新宋体" w:eastAsia="新宋体" w:cs="新宋体"/>
          <w:sz w:val="28"/>
          <w:szCs w:val="28"/>
          <w:lang w:val="en-US" w:eastAsia="zh-CN"/>
        </w:rPr>
        <w:t>.3.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我的足迹</w:t>
      </w:r>
      <w:bookmarkEnd w:id="32"/>
    </w:p>
    <w:p w14:paraId="7A37BB7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可以在我的足迹中查看</w:t>
      </w:r>
      <w:r>
        <w:rPr>
          <w:rFonts w:hint="eastAsia" w:ascii="新宋体" w:hAnsi="新宋体" w:eastAsia="新宋体" w:cs="新宋体"/>
          <w:b/>
          <w:bCs/>
          <w:sz w:val="28"/>
          <w:szCs w:val="28"/>
        </w:rPr>
        <w:t>曾经浏览过的</w:t>
      </w:r>
      <w:r>
        <w:rPr>
          <w:rFonts w:hint="eastAsia" w:ascii="新宋体" w:hAnsi="新宋体" w:eastAsia="新宋体" w:cs="新宋体"/>
          <w:sz w:val="28"/>
          <w:szCs w:val="28"/>
        </w:rPr>
        <w:t>供应商信息，方便再次查找。</w:t>
      </w:r>
    </w:p>
    <w:p w14:paraId="58CF8EAF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drawing>
          <wp:inline distT="0" distB="0" distL="114300" distR="114300">
            <wp:extent cx="6182360" cy="2459355"/>
            <wp:effectExtent l="0" t="0" r="8890" b="1714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79C5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</w:p>
    <w:p w14:paraId="1BEDA36F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/>
        <w:textAlignment w:val="auto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bookmarkStart w:id="33" w:name="_Toc27790"/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</w:t>
      </w:r>
      <w:r>
        <w:rPr>
          <w:rFonts w:hint="default" w:ascii="新宋体" w:hAnsi="新宋体" w:eastAsia="新宋体" w:cs="新宋体"/>
          <w:sz w:val="28"/>
          <w:szCs w:val="28"/>
          <w:lang w:val="en-US" w:eastAsia="zh-CN"/>
        </w:rPr>
        <w:t>.4.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我的关注</w:t>
      </w:r>
      <w:bookmarkEnd w:id="33"/>
    </w:p>
    <w:p w14:paraId="3AC93DC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可以在我的关注中管理当前账号所</w:t>
      </w:r>
      <w:r>
        <w:rPr>
          <w:rFonts w:hint="eastAsia" w:ascii="新宋体" w:hAnsi="新宋体" w:eastAsia="新宋体" w:cs="新宋体"/>
          <w:b/>
          <w:bCs/>
          <w:sz w:val="28"/>
          <w:szCs w:val="28"/>
        </w:rPr>
        <w:t>关注的服务及店铺</w:t>
      </w:r>
      <w:r>
        <w:rPr>
          <w:rFonts w:hint="eastAsia" w:ascii="新宋体" w:hAnsi="新宋体" w:eastAsia="新宋体" w:cs="新宋体"/>
          <w:sz w:val="28"/>
          <w:szCs w:val="28"/>
        </w:rPr>
        <w:t>（供应商）信息。</w:t>
      </w:r>
    </w:p>
    <w:p w14:paraId="04ABD341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drawing>
          <wp:inline distT="0" distB="0" distL="114300" distR="114300">
            <wp:extent cx="6178550" cy="2444750"/>
            <wp:effectExtent l="0" t="0" r="12700" b="1270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D60B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</w:p>
    <w:p w14:paraId="35EF6926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/>
        <w:textAlignment w:val="auto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bookmarkStart w:id="34" w:name="_Toc17355"/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</w:t>
      </w:r>
      <w:r>
        <w:rPr>
          <w:rFonts w:hint="default" w:ascii="新宋体" w:hAnsi="新宋体" w:eastAsia="新宋体" w:cs="新宋体"/>
          <w:sz w:val="28"/>
          <w:szCs w:val="28"/>
          <w:lang w:val="en-US" w:eastAsia="zh-CN"/>
        </w:rPr>
        <w:t>.5.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消息中心</w:t>
      </w:r>
      <w:bookmarkEnd w:id="34"/>
    </w:p>
    <w:p w14:paraId="5FBDA24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textAlignment w:val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可以在消息中心查看</w:t>
      </w:r>
      <w:r>
        <w:rPr>
          <w:rFonts w:hint="eastAsia" w:ascii="新宋体" w:hAnsi="新宋体" w:eastAsia="新宋体" w:cs="新宋体"/>
          <w:b/>
          <w:bCs/>
          <w:sz w:val="28"/>
          <w:szCs w:val="28"/>
          <w:lang w:eastAsia="zh-CN"/>
        </w:rPr>
        <w:t>采购人</w:t>
      </w:r>
      <w:r>
        <w:rPr>
          <w:rFonts w:hint="eastAsia" w:ascii="新宋体" w:hAnsi="新宋体" w:eastAsia="新宋体" w:cs="新宋体"/>
          <w:b/>
          <w:bCs/>
          <w:sz w:val="28"/>
          <w:szCs w:val="28"/>
        </w:rPr>
        <w:t>收到的消息提醒</w:t>
      </w:r>
      <w:r>
        <w:rPr>
          <w:rFonts w:hint="eastAsia" w:ascii="新宋体" w:hAnsi="新宋体" w:eastAsia="新宋体" w:cs="新宋体"/>
          <w:sz w:val="28"/>
          <w:szCs w:val="28"/>
        </w:rPr>
        <w:t>，点击“查看”按钮可以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查看相关信息</w:t>
      </w:r>
      <w:r>
        <w:rPr>
          <w:rFonts w:hint="eastAsia" w:ascii="新宋体" w:hAnsi="新宋体" w:eastAsia="新宋体" w:cs="新宋体"/>
          <w:sz w:val="28"/>
          <w:szCs w:val="28"/>
        </w:rPr>
        <w:t>。</w:t>
      </w:r>
    </w:p>
    <w:p w14:paraId="042E3935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 w:firstLineChars="0"/>
        <w:textAlignment w:val="auto"/>
        <w:rPr>
          <w:rFonts w:hint="eastAsia" w:ascii="新宋体" w:hAnsi="新宋体" w:eastAsia="新宋体" w:cs="新宋体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6176010" cy="2313940"/>
            <wp:effectExtent l="0" t="0" r="15240" b="1016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567" w:footer="1134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A6C0B4">
    <w:pPr>
      <w:pStyle w:val="1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9" name="文本框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82256E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- 5 -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3P/FAtAgAAWQ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O3P/FA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82256E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- 5 -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2D6E0">
    <w:pPr>
      <w:pStyle w:val="13"/>
      <w:rPr>
        <w:rFonts w:hint="eastAsia"/>
        <w:lang w:val="en-US" w:eastAsia="zh-CN"/>
      </w:rPr>
    </w:pPr>
  </w:p>
  <w:p w14:paraId="7528E3F9">
    <w:pPr>
      <w:pStyle w:val="13"/>
      <w:rPr>
        <w:rFonts w:hint="eastAsia"/>
      </w:rPr>
    </w:pPr>
    <w:r>
      <w:rPr>
        <w:rFonts w:hint="eastAsia"/>
        <w:lang w:val="en-US" w:eastAsia="zh-CN"/>
      </w:rPr>
      <w:t>江苏省</w:t>
    </w:r>
    <w:r>
      <w:rPr>
        <w:rFonts w:hint="eastAsia"/>
      </w:rPr>
      <w:t>服务类网上商城-采购人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AE3CA0"/>
    <w:multiLevelType w:val="multilevel"/>
    <w:tmpl w:val="07AE3CA0"/>
    <w:lvl w:ilvl="0" w:tentative="0">
      <w:start w:val="1"/>
      <w:numFmt w:val="japaneseCounting"/>
      <w:pStyle w:val="2"/>
      <w:lvlText w:val="%1、"/>
      <w:lvlJc w:val="left"/>
      <w:pPr>
        <w:ind w:left="132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9302473"/>
    <w:multiLevelType w:val="multilevel"/>
    <w:tmpl w:val="39302473"/>
    <w:lvl w:ilvl="0" w:tentative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Q0NjdkYjU0NDJiMjhlNWM3YjJhY2NkNWMyOGMxYzkifQ=="/>
  </w:docVars>
  <w:rsids>
    <w:rsidRoot w:val="0003130B"/>
    <w:rsid w:val="00004286"/>
    <w:rsid w:val="00005FA2"/>
    <w:rsid w:val="00006871"/>
    <w:rsid w:val="0003130B"/>
    <w:rsid w:val="00045876"/>
    <w:rsid w:val="00071F10"/>
    <w:rsid w:val="000A01A8"/>
    <w:rsid w:val="000A34B2"/>
    <w:rsid w:val="000A3AA0"/>
    <w:rsid w:val="000C345C"/>
    <w:rsid w:val="000D4571"/>
    <w:rsid w:val="000E2C61"/>
    <w:rsid w:val="000F3B8B"/>
    <w:rsid w:val="001152C5"/>
    <w:rsid w:val="00117383"/>
    <w:rsid w:val="001329BD"/>
    <w:rsid w:val="001375B7"/>
    <w:rsid w:val="001A20DE"/>
    <w:rsid w:val="001B61BC"/>
    <w:rsid w:val="001C65B6"/>
    <w:rsid w:val="001C726D"/>
    <w:rsid w:val="001D178C"/>
    <w:rsid w:val="001D19FB"/>
    <w:rsid w:val="00206F8D"/>
    <w:rsid w:val="00210AA1"/>
    <w:rsid w:val="0022202B"/>
    <w:rsid w:val="002A6FB7"/>
    <w:rsid w:val="002C22E1"/>
    <w:rsid w:val="002D05AF"/>
    <w:rsid w:val="002D75A8"/>
    <w:rsid w:val="002F0323"/>
    <w:rsid w:val="00341DED"/>
    <w:rsid w:val="003508B8"/>
    <w:rsid w:val="0035215D"/>
    <w:rsid w:val="00362560"/>
    <w:rsid w:val="00363833"/>
    <w:rsid w:val="00366171"/>
    <w:rsid w:val="00373719"/>
    <w:rsid w:val="003A3DF1"/>
    <w:rsid w:val="003A7D4C"/>
    <w:rsid w:val="003C3F54"/>
    <w:rsid w:val="003C648F"/>
    <w:rsid w:val="003C6901"/>
    <w:rsid w:val="003F38EF"/>
    <w:rsid w:val="003F496E"/>
    <w:rsid w:val="00402883"/>
    <w:rsid w:val="00403C7E"/>
    <w:rsid w:val="00407564"/>
    <w:rsid w:val="00420D99"/>
    <w:rsid w:val="00423BB2"/>
    <w:rsid w:val="00430328"/>
    <w:rsid w:val="0043550E"/>
    <w:rsid w:val="0044671D"/>
    <w:rsid w:val="00450824"/>
    <w:rsid w:val="0045756C"/>
    <w:rsid w:val="00494274"/>
    <w:rsid w:val="004977B2"/>
    <w:rsid w:val="004A2433"/>
    <w:rsid w:val="004A2549"/>
    <w:rsid w:val="004B55B3"/>
    <w:rsid w:val="004C2C6D"/>
    <w:rsid w:val="004C7F47"/>
    <w:rsid w:val="004D6B41"/>
    <w:rsid w:val="004D6C6C"/>
    <w:rsid w:val="004E5A66"/>
    <w:rsid w:val="00500813"/>
    <w:rsid w:val="00500A15"/>
    <w:rsid w:val="00507B1C"/>
    <w:rsid w:val="00535281"/>
    <w:rsid w:val="00541955"/>
    <w:rsid w:val="005516A9"/>
    <w:rsid w:val="00565908"/>
    <w:rsid w:val="00590C5F"/>
    <w:rsid w:val="005A05E4"/>
    <w:rsid w:val="005A2F1A"/>
    <w:rsid w:val="005D0320"/>
    <w:rsid w:val="005D343A"/>
    <w:rsid w:val="005D56E0"/>
    <w:rsid w:val="005E2204"/>
    <w:rsid w:val="005F1F40"/>
    <w:rsid w:val="006006E6"/>
    <w:rsid w:val="0060586D"/>
    <w:rsid w:val="00606FA3"/>
    <w:rsid w:val="00612F49"/>
    <w:rsid w:val="006359ED"/>
    <w:rsid w:val="00642FBA"/>
    <w:rsid w:val="00653D7A"/>
    <w:rsid w:val="00657C42"/>
    <w:rsid w:val="00665685"/>
    <w:rsid w:val="00671344"/>
    <w:rsid w:val="00697518"/>
    <w:rsid w:val="006A4E54"/>
    <w:rsid w:val="006A4E63"/>
    <w:rsid w:val="006D3651"/>
    <w:rsid w:val="006F43B4"/>
    <w:rsid w:val="00731739"/>
    <w:rsid w:val="007351AD"/>
    <w:rsid w:val="0075269B"/>
    <w:rsid w:val="00763AFB"/>
    <w:rsid w:val="00763C2D"/>
    <w:rsid w:val="00770B63"/>
    <w:rsid w:val="0077357F"/>
    <w:rsid w:val="00782C37"/>
    <w:rsid w:val="007A581D"/>
    <w:rsid w:val="007C5591"/>
    <w:rsid w:val="007D6168"/>
    <w:rsid w:val="007F0128"/>
    <w:rsid w:val="008040A6"/>
    <w:rsid w:val="008058A1"/>
    <w:rsid w:val="00840081"/>
    <w:rsid w:val="008400E1"/>
    <w:rsid w:val="00846A24"/>
    <w:rsid w:val="0085659B"/>
    <w:rsid w:val="008765CC"/>
    <w:rsid w:val="008808E0"/>
    <w:rsid w:val="008A1356"/>
    <w:rsid w:val="008B22D3"/>
    <w:rsid w:val="008B59A8"/>
    <w:rsid w:val="008E5613"/>
    <w:rsid w:val="008F4734"/>
    <w:rsid w:val="00905246"/>
    <w:rsid w:val="00914276"/>
    <w:rsid w:val="0094438D"/>
    <w:rsid w:val="00962030"/>
    <w:rsid w:val="00967396"/>
    <w:rsid w:val="009678AF"/>
    <w:rsid w:val="00974C01"/>
    <w:rsid w:val="0098183F"/>
    <w:rsid w:val="00987610"/>
    <w:rsid w:val="00991FCD"/>
    <w:rsid w:val="009B0207"/>
    <w:rsid w:val="009F273F"/>
    <w:rsid w:val="009F4057"/>
    <w:rsid w:val="009F6143"/>
    <w:rsid w:val="00A14198"/>
    <w:rsid w:val="00A26832"/>
    <w:rsid w:val="00A37B79"/>
    <w:rsid w:val="00A41735"/>
    <w:rsid w:val="00A44C40"/>
    <w:rsid w:val="00A955FF"/>
    <w:rsid w:val="00AB25B7"/>
    <w:rsid w:val="00AD7205"/>
    <w:rsid w:val="00B05B3E"/>
    <w:rsid w:val="00B12B50"/>
    <w:rsid w:val="00B20FEF"/>
    <w:rsid w:val="00B261D1"/>
    <w:rsid w:val="00B36581"/>
    <w:rsid w:val="00B52638"/>
    <w:rsid w:val="00B66BEB"/>
    <w:rsid w:val="00B733DE"/>
    <w:rsid w:val="00B739F0"/>
    <w:rsid w:val="00B75738"/>
    <w:rsid w:val="00B7697A"/>
    <w:rsid w:val="00B776CD"/>
    <w:rsid w:val="00BA21C7"/>
    <w:rsid w:val="00BC148C"/>
    <w:rsid w:val="00BC5FDD"/>
    <w:rsid w:val="00BD1868"/>
    <w:rsid w:val="00BD538D"/>
    <w:rsid w:val="00BE69DF"/>
    <w:rsid w:val="00BF00F9"/>
    <w:rsid w:val="00C10977"/>
    <w:rsid w:val="00C14B58"/>
    <w:rsid w:val="00C3424B"/>
    <w:rsid w:val="00C45B97"/>
    <w:rsid w:val="00C70334"/>
    <w:rsid w:val="00CA1C3B"/>
    <w:rsid w:val="00CA4AE8"/>
    <w:rsid w:val="00CD36C4"/>
    <w:rsid w:val="00CE6CB8"/>
    <w:rsid w:val="00CF05B0"/>
    <w:rsid w:val="00D0132C"/>
    <w:rsid w:val="00D04ADD"/>
    <w:rsid w:val="00D05B75"/>
    <w:rsid w:val="00D13751"/>
    <w:rsid w:val="00D243C1"/>
    <w:rsid w:val="00D3160D"/>
    <w:rsid w:val="00D44AE9"/>
    <w:rsid w:val="00D502A2"/>
    <w:rsid w:val="00D51B35"/>
    <w:rsid w:val="00D522BB"/>
    <w:rsid w:val="00D53EBD"/>
    <w:rsid w:val="00D62D69"/>
    <w:rsid w:val="00D831DD"/>
    <w:rsid w:val="00D86BC9"/>
    <w:rsid w:val="00DA7C37"/>
    <w:rsid w:val="00DD1B97"/>
    <w:rsid w:val="00DD40EF"/>
    <w:rsid w:val="00DD7C2A"/>
    <w:rsid w:val="00DE19A6"/>
    <w:rsid w:val="00DF3068"/>
    <w:rsid w:val="00E0020A"/>
    <w:rsid w:val="00E06322"/>
    <w:rsid w:val="00E21DFF"/>
    <w:rsid w:val="00E25256"/>
    <w:rsid w:val="00E26979"/>
    <w:rsid w:val="00E327A1"/>
    <w:rsid w:val="00E37779"/>
    <w:rsid w:val="00E51594"/>
    <w:rsid w:val="00E5395D"/>
    <w:rsid w:val="00E547A8"/>
    <w:rsid w:val="00E76CAE"/>
    <w:rsid w:val="00E923EB"/>
    <w:rsid w:val="00EA6201"/>
    <w:rsid w:val="00EC21F8"/>
    <w:rsid w:val="00EE01DA"/>
    <w:rsid w:val="00EF7898"/>
    <w:rsid w:val="00F01281"/>
    <w:rsid w:val="00F31A10"/>
    <w:rsid w:val="00F33CAA"/>
    <w:rsid w:val="00F54A52"/>
    <w:rsid w:val="00F54A85"/>
    <w:rsid w:val="00F55C10"/>
    <w:rsid w:val="00F56DA0"/>
    <w:rsid w:val="00F601A5"/>
    <w:rsid w:val="00FA1AEE"/>
    <w:rsid w:val="00FA4DB9"/>
    <w:rsid w:val="00FA59C9"/>
    <w:rsid w:val="00FB0B80"/>
    <w:rsid w:val="00FB7F41"/>
    <w:rsid w:val="00FC39D5"/>
    <w:rsid w:val="00FC46FB"/>
    <w:rsid w:val="00FD34AF"/>
    <w:rsid w:val="00FD5847"/>
    <w:rsid w:val="00FD698C"/>
    <w:rsid w:val="00FF5411"/>
    <w:rsid w:val="01493DC1"/>
    <w:rsid w:val="017B30A1"/>
    <w:rsid w:val="01D044C7"/>
    <w:rsid w:val="033A34DD"/>
    <w:rsid w:val="03666DB6"/>
    <w:rsid w:val="037405E1"/>
    <w:rsid w:val="03DF1EFE"/>
    <w:rsid w:val="04640655"/>
    <w:rsid w:val="04AA1196"/>
    <w:rsid w:val="04F75026"/>
    <w:rsid w:val="051A7A9A"/>
    <w:rsid w:val="05351F39"/>
    <w:rsid w:val="06592D0B"/>
    <w:rsid w:val="06681BC1"/>
    <w:rsid w:val="07933886"/>
    <w:rsid w:val="0882644F"/>
    <w:rsid w:val="08E1775B"/>
    <w:rsid w:val="09056996"/>
    <w:rsid w:val="091925B0"/>
    <w:rsid w:val="09296FDC"/>
    <w:rsid w:val="0A0334A7"/>
    <w:rsid w:val="0AF71DB6"/>
    <w:rsid w:val="0C1C614B"/>
    <w:rsid w:val="0DCE6B40"/>
    <w:rsid w:val="0E1F292A"/>
    <w:rsid w:val="0E1F50D1"/>
    <w:rsid w:val="0E660F01"/>
    <w:rsid w:val="0F2A1108"/>
    <w:rsid w:val="0FE72F86"/>
    <w:rsid w:val="118C0161"/>
    <w:rsid w:val="121E4F9A"/>
    <w:rsid w:val="12770FE6"/>
    <w:rsid w:val="14130828"/>
    <w:rsid w:val="142F5D98"/>
    <w:rsid w:val="1576178C"/>
    <w:rsid w:val="16424965"/>
    <w:rsid w:val="17E41BD0"/>
    <w:rsid w:val="19472977"/>
    <w:rsid w:val="1A317FF8"/>
    <w:rsid w:val="1A3373CD"/>
    <w:rsid w:val="1B316588"/>
    <w:rsid w:val="1CBC5746"/>
    <w:rsid w:val="1DEA375D"/>
    <w:rsid w:val="1E0068A1"/>
    <w:rsid w:val="1E110B88"/>
    <w:rsid w:val="1EA67BD5"/>
    <w:rsid w:val="1F2D7B6A"/>
    <w:rsid w:val="1F7F4D00"/>
    <w:rsid w:val="20AA0DA5"/>
    <w:rsid w:val="20CF76DE"/>
    <w:rsid w:val="213405BE"/>
    <w:rsid w:val="215306CC"/>
    <w:rsid w:val="221A2ACC"/>
    <w:rsid w:val="22590985"/>
    <w:rsid w:val="22795FC2"/>
    <w:rsid w:val="22D3433D"/>
    <w:rsid w:val="23240D62"/>
    <w:rsid w:val="23906919"/>
    <w:rsid w:val="24F627AC"/>
    <w:rsid w:val="254E56D7"/>
    <w:rsid w:val="2569152D"/>
    <w:rsid w:val="25E965C8"/>
    <w:rsid w:val="28901692"/>
    <w:rsid w:val="28B37EF7"/>
    <w:rsid w:val="29262ECD"/>
    <w:rsid w:val="298760C9"/>
    <w:rsid w:val="29CE19AB"/>
    <w:rsid w:val="29CF4022"/>
    <w:rsid w:val="29DD575C"/>
    <w:rsid w:val="2A8B44A9"/>
    <w:rsid w:val="2AE01F34"/>
    <w:rsid w:val="2B063D7C"/>
    <w:rsid w:val="2B367DA6"/>
    <w:rsid w:val="2C09078B"/>
    <w:rsid w:val="2C6627B1"/>
    <w:rsid w:val="2C8473F5"/>
    <w:rsid w:val="2DCC1B3F"/>
    <w:rsid w:val="2DD65871"/>
    <w:rsid w:val="2E3B1738"/>
    <w:rsid w:val="2FF72673"/>
    <w:rsid w:val="305F349E"/>
    <w:rsid w:val="311C36E8"/>
    <w:rsid w:val="3140050D"/>
    <w:rsid w:val="317C04DD"/>
    <w:rsid w:val="32297873"/>
    <w:rsid w:val="322A18D1"/>
    <w:rsid w:val="346825E6"/>
    <w:rsid w:val="358A42A9"/>
    <w:rsid w:val="384201FC"/>
    <w:rsid w:val="39341F3B"/>
    <w:rsid w:val="3A2C3E7D"/>
    <w:rsid w:val="3B680DE4"/>
    <w:rsid w:val="3C2B2771"/>
    <w:rsid w:val="3C371BD0"/>
    <w:rsid w:val="3CB365D0"/>
    <w:rsid w:val="3F3968F2"/>
    <w:rsid w:val="424E2DF4"/>
    <w:rsid w:val="425E6482"/>
    <w:rsid w:val="44133471"/>
    <w:rsid w:val="46A461DD"/>
    <w:rsid w:val="487D096B"/>
    <w:rsid w:val="49DE22B9"/>
    <w:rsid w:val="4A3A2F55"/>
    <w:rsid w:val="4A72422B"/>
    <w:rsid w:val="4AAF0851"/>
    <w:rsid w:val="4BB14EEC"/>
    <w:rsid w:val="4BCD07AA"/>
    <w:rsid w:val="4C0264E9"/>
    <w:rsid w:val="4D236792"/>
    <w:rsid w:val="4D994744"/>
    <w:rsid w:val="4DE9153C"/>
    <w:rsid w:val="4E2057C2"/>
    <w:rsid w:val="4F97370D"/>
    <w:rsid w:val="500452B3"/>
    <w:rsid w:val="507F57B2"/>
    <w:rsid w:val="50F740D7"/>
    <w:rsid w:val="51584ABF"/>
    <w:rsid w:val="51DB31D3"/>
    <w:rsid w:val="53216D58"/>
    <w:rsid w:val="54AF1EB6"/>
    <w:rsid w:val="551721B3"/>
    <w:rsid w:val="55D333ED"/>
    <w:rsid w:val="56420481"/>
    <w:rsid w:val="568278A4"/>
    <w:rsid w:val="56F97FED"/>
    <w:rsid w:val="577C5A05"/>
    <w:rsid w:val="57DC3D45"/>
    <w:rsid w:val="585C7F9C"/>
    <w:rsid w:val="587B6A7C"/>
    <w:rsid w:val="596A669D"/>
    <w:rsid w:val="59984DB4"/>
    <w:rsid w:val="59C26D2D"/>
    <w:rsid w:val="5A794434"/>
    <w:rsid w:val="5AFA77E7"/>
    <w:rsid w:val="5CCD6BA5"/>
    <w:rsid w:val="5D491B74"/>
    <w:rsid w:val="5D5774AD"/>
    <w:rsid w:val="5D600B2F"/>
    <w:rsid w:val="5D621C0B"/>
    <w:rsid w:val="5DD96E5B"/>
    <w:rsid w:val="5E844DCA"/>
    <w:rsid w:val="5F4D4E88"/>
    <w:rsid w:val="5F734A03"/>
    <w:rsid w:val="6006150D"/>
    <w:rsid w:val="60BD3BA3"/>
    <w:rsid w:val="6122613F"/>
    <w:rsid w:val="618D5E09"/>
    <w:rsid w:val="61EB2F80"/>
    <w:rsid w:val="62F724E7"/>
    <w:rsid w:val="646F3406"/>
    <w:rsid w:val="64AF5C1A"/>
    <w:rsid w:val="64F669BA"/>
    <w:rsid w:val="653124D3"/>
    <w:rsid w:val="65D10B2F"/>
    <w:rsid w:val="65FB3463"/>
    <w:rsid w:val="66AC5847"/>
    <w:rsid w:val="66E778EF"/>
    <w:rsid w:val="67046590"/>
    <w:rsid w:val="68110B01"/>
    <w:rsid w:val="698F3315"/>
    <w:rsid w:val="69CB7928"/>
    <w:rsid w:val="6A9E1079"/>
    <w:rsid w:val="6AB5145C"/>
    <w:rsid w:val="6C4B2EA0"/>
    <w:rsid w:val="6C775414"/>
    <w:rsid w:val="6CC03207"/>
    <w:rsid w:val="6E436467"/>
    <w:rsid w:val="6FCF7DA3"/>
    <w:rsid w:val="70321517"/>
    <w:rsid w:val="70A560D2"/>
    <w:rsid w:val="72D31A37"/>
    <w:rsid w:val="737F26D8"/>
    <w:rsid w:val="73804B31"/>
    <w:rsid w:val="76F9346F"/>
    <w:rsid w:val="779808E0"/>
    <w:rsid w:val="7A1341E4"/>
    <w:rsid w:val="7A1B6A8E"/>
    <w:rsid w:val="7B2E5D41"/>
    <w:rsid w:val="7D0C6755"/>
    <w:rsid w:val="7E9C67D7"/>
    <w:rsid w:val="7F923252"/>
    <w:rsid w:val="7FBE7134"/>
    <w:rsid w:val="7FD4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tabs>
        <w:tab w:val="left" w:pos="720"/>
      </w:tabs>
      <w:jc w:val="both"/>
    </w:pPr>
    <w:rPr>
      <w:rFonts w:ascii="宋体" w:hAnsi="宋体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33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36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szCs w:val="22"/>
    </w:rPr>
  </w:style>
  <w:style w:type="paragraph" w:styleId="8">
    <w:name w:val="toc 5"/>
    <w:basedOn w:val="1"/>
    <w:next w:val="1"/>
    <w:autoRedefine/>
    <w:unhideWhenUsed/>
    <w:qFormat/>
    <w:uiPriority w:val="39"/>
    <w:pPr>
      <w:ind w:left="1680" w:leftChars="800"/>
    </w:pPr>
    <w:rPr>
      <w:szCs w:val="22"/>
    </w:r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toc 8"/>
    <w:basedOn w:val="1"/>
    <w:next w:val="1"/>
    <w:autoRedefine/>
    <w:unhideWhenUsed/>
    <w:qFormat/>
    <w:uiPriority w:val="39"/>
    <w:pPr>
      <w:ind w:left="2940" w:leftChars="1400"/>
    </w:pPr>
    <w:rPr>
      <w:szCs w:val="22"/>
    </w:rPr>
  </w:style>
  <w:style w:type="paragraph" w:styleId="11">
    <w:name w:val="Balloon Text"/>
    <w:basedOn w:val="1"/>
    <w:link w:val="30"/>
    <w:qFormat/>
    <w:uiPriority w:val="0"/>
    <w:rPr>
      <w:sz w:val="18"/>
      <w:szCs w:val="18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toc 1"/>
    <w:basedOn w:val="1"/>
    <w:next w:val="1"/>
    <w:qFormat/>
    <w:uiPriority w:val="39"/>
  </w:style>
  <w:style w:type="paragraph" w:styleId="15">
    <w:name w:val="toc 4"/>
    <w:basedOn w:val="1"/>
    <w:next w:val="1"/>
    <w:autoRedefine/>
    <w:unhideWhenUsed/>
    <w:qFormat/>
    <w:uiPriority w:val="39"/>
    <w:pPr>
      <w:ind w:left="1260" w:leftChars="600"/>
    </w:pPr>
    <w:rPr>
      <w:szCs w:val="22"/>
    </w:rPr>
  </w:style>
  <w:style w:type="paragraph" w:styleId="16">
    <w:name w:val="toc 6"/>
    <w:basedOn w:val="1"/>
    <w:next w:val="1"/>
    <w:autoRedefine/>
    <w:unhideWhenUsed/>
    <w:qFormat/>
    <w:uiPriority w:val="39"/>
    <w:pPr>
      <w:ind w:left="2100" w:leftChars="1000"/>
    </w:pPr>
    <w:rPr>
      <w:szCs w:val="22"/>
    </w:rPr>
  </w:style>
  <w:style w:type="paragraph" w:styleId="17">
    <w:name w:val="toc 2"/>
    <w:basedOn w:val="1"/>
    <w:next w:val="1"/>
    <w:qFormat/>
    <w:uiPriority w:val="39"/>
    <w:pPr>
      <w:ind w:left="420" w:leftChars="200"/>
    </w:pPr>
  </w:style>
  <w:style w:type="paragraph" w:styleId="18">
    <w:name w:val="toc 9"/>
    <w:basedOn w:val="1"/>
    <w:next w:val="1"/>
    <w:autoRedefine/>
    <w:unhideWhenUsed/>
    <w:qFormat/>
    <w:uiPriority w:val="39"/>
    <w:pPr>
      <w:ind w:left="3360" w:leftChars="1600"/>
    </w:pPr>
    <w:rPr>
      <w:szCs w:val="22"/>
    </w:rPr>
  </w:style>
  <w:style w:type="paragraph" w:styleId="1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paragraph" w:styleId="20">
    <w:name w:val="Title"/>
    <w:basedOn w:val="1"/>
    <w:next w:val="1"/>
    <w:link w:val="34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22">
    <w:name w:val="Table Grid"/>
    <w:basedOn w:val="2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Strong"/>
    <w:basedOn w:val="23"/>
    <w:qFormat/>
    <w:uiPriority w:val="0"/>
    <w:rPr>
      <w:b/>
    </w:rPr>
  </w:style>
  <w:style w:type="character" w:styleId="25">
    <w:name w:val="FollowedHyperlink"/>
    <w:basedOn w:val="23"/>
    <w:qFormat/>
    <w:uiPriority w:val="0"/>
    <w:rPr>
      <w:color w:val="7E1FAD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Hyperlink"/>
    <w:basedOn w:val="23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2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9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30">
    <w:name w:val="批注框文本 字符"/>
    <w:basedOn w:val="23"/>
    <w:link w:val="11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1">
    <w:name w:val="Unresolved Mention"/>
    <w:basedOn w:val="23"/>
    <w:semiHidden/>
    <w:unhideWhenUsed/>
    <w:qFormat/>
    <w:uiPriority w:val="99"/>
    <w:rPr>
      <w:color w:val="605E5C"/>
      <w:shd w:val="clear" w:color="auto" w:fill="E1DFDD"/>
    </w:rPr>
  </w:style>
  <w:style w:type="paragraph" w:styleId="3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33">
    <w:name w:val="标题 3 字符"/>
    <w:basedOn w:val="23"/>
    <w:link w:val="4"/>
    <w:qFormat/>
    <w:uiPriority w:val="0"/>
    <w:rPr>
      <w:rFonts w:asciiTheme="minorHAnsi" w:hAnsiTheme="minorHAnsi" w:eastAsiaTheme="minorEastAsia" w:cstheme="minorBidi"/>
      <w:b/>
      <w:kern w:val="2"/>
      <w:sz w:val="32"/>
      <w:szCs w:val="24"/>
    </w:rPr>
  </w:style>
  <w:style w:type="character" w:customStyle="1" w:styleId="34">
    <w:name w:val="标题 字符"/>
    <w:basedOn w:val="23"/>
    <w:link w:val="20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35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54A1" w:themeColor="accent1" w:themeShade="BF"/>
      <w:kern w:val="0"/>
      <w:sz w:val="32"/>
      <w:szCs w:val="32"/>
    </w:rPr>
  </w:style>
  <w:style w:type="character" w:customStyle="1" w:styleId="36">
    <w:name w:val="标题 5 字符"/>
    <w:basedOn w:val="23"/>
    <w:link w:val="6"/>
    <w:qFormat/>
    <w:uiPriority w:val="0"/>
    <w:rPr>
      <w:rFonts w:asciiTheme="minorHAnsi" w:hAnsiTheme="minorHAnsi" w:eastAsiaTheme="minorEastAsia" w:cstheme="min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362350-D4D7-4C9A-9A92-2C7D443E13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20</Pages>
  <Words>2578</Words>
  <Characters>2710</Characters>
  <Lines>293</Lines>
  <Paragraphs>82</Paragraphs>
  <TotalTime>118</TotalTime>
  <ScaleCrop>false</ScaleCrop>
  <LinksUpToDate>false</LinksUpToDate>
  <CharactersWithSpaces>2838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2024-06-01T06:30:00Z</dcterms:created>
  <dc:creator>咕咕</dc:creator>
  <cp:lastModifiedBy>服务类网上商城</cp:lastModifiedBy>
  <dcterms:modified xsi:type="dcterms:W3CDTF">2024-08-13T05:17:04Z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69B5A3A1AC0549F5AD30A171549F8572_12</vt:lpwstr>
  </property>
</Properties>
</file>