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E652A">
      <w:pPr>
        <w:pStyle w:val="49"/>
        <w:keepNext w:val="0"/>
        <w:keepLines w:val="0"/>
        <w:pageBreakBefore w:val="0"/>
        <w:widowControl/>
        <w:spacing w:after="100" w:afterAutospacing="1" w:line="240" w:lineRule="auto"/>
        <w:jc w:val="left"/>
        <w:rPr>
          <w:rFonts w:hint="eastAsia" w:ascii="宋体" w:hAnsi="宋体" w:eastAsia="宋体" w:cs="宋体"/>
          <w:b/>
          <w:color w:val="000000" w:themeColor="text1"/>
          <w:sz w:val="72"/>
          <w:szCs w:val="72"/>
          <w:highlight w:val="none"/>
          <w:shd w:val="clear" w:color="auto" w:fill="FFFFFF"/>
          <w14:textFill>
            <w14:solidFill>
              <w14:schemeClr w14:val="tx1"/>
            </w14:solidFill>
          </w14:textFill>
        </w:rPr>
      </w:pPr>
      <w:r>
        <w:rPr>
          <w:rFonts w:hint="eastAsia" w:eastAsia="方正大标宋简体"/>
          <w:sz w:val="72"/>
          <w:szCs w:val="72"/>
        </w:rPr>
        <w:drawing>
          <wp:inline distT="0" distB="0" distL="0" distR="0">
            <wp:extent cx="741045" cy="824230"/>
            <wp:effectExtent l="0" t="0" r="1905" b="13970"/>
            <wp:docPr id="3" name="图片 1" descr="1652091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52091168(1)"/>
                    <pic:cNvPicPr>
                      <a:picLocks noChangeAspect="1"/>
                    </pic:cNvPicPr>
                  </pic:nvPicPr>
                  <pic:blipFill>
                    <a:blip r:embed="rId6"/>
                    <a:stretch>
                      <a:fillRect/>
                    </a:stretch>
                  </pic:blipFill>
                  <pic:spPr>
                    <a:xfrm>
                      <a:off x="0" y="0"/>
                      <a:ext cx="741045" cy="824230"/>
                    </a:xfrm>
                    <a:prstGeom prst="rect">
                      <a:avLst/>
                    </a:prstGeom>
                    <a:noFill/>
                    <a:ln>
                      <a:noFill/>
                    </a:ln>
                  </pic:spPr>
                </pic:pic>
              </a:graphicData>
            </a:graphic>
          </wp:inline>
        </w:drawing>
      </w:r>
    </w:p>
    <w:p w14:paraId="45913A30">
      <w:pPr>
        <w:pStyle w:val="49"/>
        <w:pageBreakBefore w:val="0"/>
        <w:spacing w:before="1440" w:after="100" w:afterAutospacing="1"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72"/>
          <w:szCs w:val="72"/>
          <w:highlight w:val="none"/>
          <w:shd w:val="clear" w:color="auto" w:fill="FFFFFF"/>
          <w14:textFill>
            <w14:solidFill>
              <w14:schemeClr w14:val="tx1"/>
            </w14:solidFill>
          </w14:textFill>
        </w:rPr>
        <w:t>竞争性磋商文件</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p>
    <w:p w14:paraId="254A9D44">
      <w:pPr>
        <w:pStyle w:val="49"/>
        <w:pageBreakBefore w:val="0"/>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74313013">
      <w:pPr>
        <w:pStyle w:val="49"/>
        <w:pageBreakBefore w:val="0"/>
        <w:spacing w:line="360" w:lineRule="auto"/>
        <w:rPr>
          <w:rFonts w:hint="eastAsia" w:ascii="宋体" w:hAnsi="宋体" w:eastAsia="宋体" w:cs="宋体"/>
          <w:color w:val="000000" w:themeColor="text1"/>
          <w:sz w:val="32"/>
          <w:szCs w:val="32"/>
          <w:highlight w:val="none"/>
          <w14:textFill>
            <w14:solidFill>
              <w14:schemeClr w14:val="tx1"/>
            </w14:solidFill>
          </w14:textFill>
        </w:rPr>
      </w:pPr>
      <w:bookmarkStart w:id="647" w:name="_GoBack"/>
      <w:r>
        <w:rPr>
          <w:rFonts w:hint="eastAsia" w:ascii="宋体" w:hAnsi="宋体" w:eastAsia="宋体" w:cs="宋体"/>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1643380</wp:posOffset>
            </wp:positionH>
            <wp:positionV relativeFrom="paragraph">
              <wp:posOffset>45085</wp:posOffset>
            </wp:positionV>
            <wp:extent cx="2214880" cy="1682115"/>
            <wp:effectExtent l="0" t="0" r="0" b="0"/>
            <wp:wrapTopAndBottom/>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7"/>
                    <a:stretch>
                      <a:fillRect/>
                    </a:stretch>
                  </pic:blipFill>
                  <pic:spPr>
                    <a:xfrm>
                      <a:off x="0" y="0"/>
                      <a:ext cx="2214880" cy="1682115"/>
                    </a:xfrm>
                    <a:prstGeom prst="rect">
                      <a:avLst/>
                    </a:prstGeom>
                    <a:noFill/>
                    <a:ln w="9525" cap="flat" cmpd="sng">
                      <a:noFill/>
                      <a:prstDash val="solid"/>
                      <a:round/>
                    </a:ln>
                  </pic:spPr>
                </pic:pic>
              </a:graphicData>
            </a:graphic>
          </wp:anchor>
        </w:drawing>
      </w:r>
      <w:bookmarkEnd w:id="647"/>
    </w:p>
    <w:p w14:paraId="7DC6B76B">
      <w:pPr>
        <w:pStyle w:val="68"/>
        <w:pageBreakBefore w:val="0"/>
        <w:spacing w:line="360" w:lineRule="auto"/>
        <w:rPr>
          <w:rFonts w:hint="eastAsia"/>
        </w:rPr>
      </w:pPr>
    </w:p>
    <w:p w14:paraId="736BD0A4">
      <w:pPr>
        <w:pStyle w:val="69"/>
        <w:rPr>
          <w:rFonts w:hint="eastAsia"/>
        </w:rPr>
      </w:pPr>
    </w:p>
    <w:p w14:paraId="0F1737CB">
      <w:pPr>
        <w:pStyle w:val="69"/>
        <w:rPr>
          <w:rFonts w:hint="eastAsia"/>
        </w:rPr>
      </w:pPr>
    </w:p>
    <w:p w14:paraId="028B5D12">
      <w:pPr>
        <w:pStyle w:val="55"/>
        <w:pageBreakBefore w:val="0"/>
        <w:spacing w:line="360" w:lineRule="auto"/>
        <w:ind w:firstLine="301"/>
        <w:jc w:val="left"/>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项目编号：</w:t>
      </w:r>
      <w:r>
        <w:rPr>
          <w:rFonts w:hint="eastAsia" w:ascii="宋体" w:hAnsi="宋体" w:cs="宋体"/>
          <w:b/>
          <w:bCs/>
          <w:color w:val="000000" w:themeColor="text1"/>
          <w:sz w:val="30"/>
          <w:szCs w:val="30"/>
          <w:highlight w:val="none"/>
          <w:lang w:eastAsia="zh-CN"/>
          <w14:textFill>
            <w14:solidFill>
              <w14:schemeClr w14:val="tx1"/>
            </w14:solidFill>
          </w14:textFill>
        </w:rPr>
        <w:t>JSZC-320381-NJXN-C2024-0027</w:t>
      </w:r>
    </w:p>
    <w:p w14:paraId="6F729DC5">
      <w:pPr>
        <w:pStyle w:val="55"/>
        <w:pageBreakBefore w:val="0"/>
        <w:spacing w:line="360" w:lineRule="auto"/>
        <w:ind w:left="1806" w:hanging="1506"/>
        <w:jc w:val="left"/>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项目名称：2024年度新沂市骆马湖片区外（时集镇白石村）省级宜居宜业和美乡村工程</w:t>
      </w:r>
    </w:p>
    <w:p w14:paraId="68402DAF">
      <w:pPr>
        <w:pStyle w:val="55"/>
        <w:pageBreakBefore w:val="0"/>
        <w:spacing w:line="360" w:lineRule="auto"/>
        <w:ind w:firstLine="301"/>
        <w:jc w:val="left"/>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采购单位：</w:t>
      </w:r>
      <w:r>
        <w:rPr>
          <w:rFonts w:hint="eastAsia" w:ascii="宋体" w:hAnsi="宋体" w:cs="宋体"/>
          <w:b/>
          <w:bCs/>
          <w:color w:val="000000" w:themeColor="text1"/>
          <w:sz w:val="30"/>
          <w:szCs w:val="30"/>
          <w:highlight w:val="none"/>
          <w:lang w:eastAsia="zh-CN"/>
          <w14:textFill>
            <w14:solidFill>
              <w14:schemeClr w14:val="tx1"/>
            </w14:solidFill>
          </w14:textFill>
        </w:rPr>
        <w:t>新沂市时集镇人民政府</w:t>
      </w:r>
    </w:p>
    <w:p w14:paraId="6A2D86BF">
      <w:pPr>
        <w:pStyle w:val="55"/>
        <w:pageBreakBefore w:val="0"/>
        <w:spacing w:line="360" w:lineRule="auto"/>
        <w:ind w:firstLine="301"/>
        <w:jc w:val="left"/>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代理机构：</w:t>
      </w:r>
      <w:r>
        <w:rPr>
          <w:rFonts w:hint="eastAsia" w:ascii="宋体" w:hAnsi="宋体" w:cs="宋体"/>
          <w:b/>
          <w:bCs/>
          <w:color w:val="000000" w:themeColor="text1"/>
          <w:sz w:val="30"/>
          <w:szCs w:val="30"/>
          <w:highlight w:val="none"/>
          <w:lang w:eastAsia="zh-CN"/>
          <w14:textFill>
            <w14:solidFill>
              <w14:schemeClr w14:val="tx1"/>
            </w14:solidFill>
          </w14:textFill>
        </w:rPr>
        <w:t>南京信诺工程造价咨询有限责任公司</w:t>
      </w:r>
    </w:p>
    <w:p w14:paraId="10BF69F5">
      <w:pPr>
        <w:pStyle w:val="55"/>
        <w:pageBreakBefore w:val="0"/>
        <w:spacing w:line="360" w:lineRule="auto"/>
        <w:ind w:firstLine="301"/>
        <w:jc w:val="left"/>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编制时间：202</w:t>
      </w:r>
      <w:r>
        <w:rPr>
          <w:rFonts w:hint="eastAsia" w:ascii="宋体" w:hAnsi="宋体" w:cs="宋体"/>
          <w:b/>
          <w:bCs/>
          <w:color w:val="000000" w:themeColor="text1"/>
          <w:sz w:val="30"/>
          <w:szCs w:val="30"/>
          <w:highlight w:val="none"/>
          <w:lang w:val="en-US" w:eastAsia="zh-CN"/>
          <w14:textFill>
            <w14:solidFill>
              <w14:schemeClr w14:val="tx1"/>
            </w14:solidFill>
          </w14:textFill>
        </w:rPr>
        <w:t>4</w:t>
      </w:r>
      <w:r>
        <w:rPr>
          <w:rFonts w:hint="eastAsia" w:ascii="宋体" w:hAnsi="宋体" w:eastAsia="宋体" w:cs="宋体"/>
          <w:b/>
          <w:bCs/>
          <w:color w:val="000000" w:themeColor="text1"/>
          <w:sz w:val="30"/>
          <w:szCs w:val="30"/>
          <w:highlight w:val="none"/>
          <w14:textFill>
            <w14:solidFill>
              <w14:schemeClr w14:val="tx1"/>
            </w14:solidFill>
          </w14:textFill>
        </w:rPr>
        <w:t>年</w:t>
      </w:r>
      <w:r>
        <w:rPr>
          <w:rFonts w:hint="eastAsia" w:ascii="宋体" w:hAnsi="宋体" w:cs="宋体"/>
          <w:b/>
          <w:bCs/>
          <w:color w:val="000000" w:themeColor="text1"/>
          <w:sz w:val="30"/>
          <w:szCs w:val="30"/>
          <w:highlight w:val="none"/>
          <w:lang w:val="en-US" w:eastAsia="zh-CN"/>
          <w14:textFill>
            <w14:solidFill>
              <w14:schemeClr w14:val="tx1"/>
            </w14:solidFill>
          </w14:textFill>
        </w:rPr>
        <w:t>11</w:t>
      </w:r>
      <w:r>
        <w:rPr>
          <w:rFonts w:hint="eastAsia" w:ascii="宋体" w:hAnsi="宋体" w:eastAsia="宋体" w:cs="宋体"/>
          <w:b/>
          <w:bCs/>
          <w:color w:val="000000" w:themeColor="text1"/>
          <w:sz w:val="30"/>
          <w:szCs w:val="30"/>
          <w:highlight w:val="none"/>
          <w14:textFill>
            <w14:solidFill>
              <w14:schemeClr w14:val="tx1"/>
            </w14:solidFill>
          </w14:textFill>
        </w:rPr>
        <w:t>月</w:t>
      </w:r>
      <w:r>
        <w:rPr>
          <w:rFonts w:hint="eastAsia" w:ascii="宋体" w:hAnsi="宋体" w:cs="宋体"/>
          <w:b/>
          <w:bCs/>
          <w:color w:val="000000" w:themeColor="text1"/>
          <w:sz w:val="30"/>
          <w:szCs w:val="30"/>
          <w:highlight w:val="none"/>
          <w:lang w:val="en-US" w:eastAsia="zh-CN"/>
          <w14:textFill>
            <w14:solidFill>
              <w14:schemeClr w14:val="tx1"/>
            </w14:solidFill>
          </w14:textFill>
        </w:rPr>
        <w:t>19</w:t>
      </w:r>
      <w:r>
        <w:rPr>
          <w:rFonts w:hint="eastAsia" w:ascii="宋体" w:hAnsi="宋体" w:eastAsia="宋体" w:cs="宋体"/>
          <w:b/>
          <w:bCs/>
          <w:color w:val="000000" w:themeColor="text1"/>
          <w:sz w:val="30"/>
          <w:szCs w:val="30"/>
          <w:highlight w:val="none"/>
          <w:lang w:eastAsia="zh-CN"/>
          <w14:textFill>
            <w14:solidFill>
              <w14:schemeClr w14:val="tx1"/>
            </w14:solidFill>
          </w14:textFill>
        </w:rPr>
        <w:t>日</w:t>
      </w:r>
    </w:p>
    <w:p w14:paraId="3101CE05">
      <w:pPr>
        <w:pStyle w:val="49"/>
        <w:pageBreakBefore w:val="0"/>
        <w:spacing w:line="360" w:lineRule="auto"/>
        <w:jc w:val="both"/>
        <w:rPr>
          <w:rFonts w:hint="eastAsia" w:ascii="宋体" w:hAnsi="宋体" w:eastAsia="宋体" w:cs="宋体"/>
          <w:color w:val="000000" w:themeColor="text1"/>
          <w:sz w:val="36"/>
          <w:szCs w:val="36"/>
          <w:highlight w:val="none"/>
          <w14:textFill>
            <w14:solidFill>
              <w14:schemeClr w14:val="tx1"/>
            </w14:solidFill>
          </w14:textFill>
        </w:rPr>
      </w:pPr>
    </w:p>
    <w:p w14:paraId="3E25E085">
      <w:pPr>
        <w:pStyle w:val="49"/>
        <w:pageBreakBefore w:val="0"/>
        <w:spacing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highlight w:val="none"/>
          <w14:textFill>
            <w14:solidFill>
              <w14:schemeClr w14:val="tx1"/>
            </w14:solidFill>
          </w14:textFill>
        </w:rPr>
        <w:t>录</w:t>
      </w:r>
    </w:p>
    <w:p w14:paraId="3DD726ED">
      <w:pPr>
        <w:pStyle w:val="49"/>
        <w:pageBreakBefore w:val="0"/>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p w14:paraId="7C04A6CF">
      <w:pPr>
        <w:pStyle w:val="323"/>
        <w:pageBreakBefore w:val="0"/>
        <w:tabs>
          <w:tab w:val="right" w:leader="dot" w:pos="8844"/>
        </w:tabs>
        <w:spacing w:line="360" w:lineRule="auto"/>
        <w:rPr>
          <w:rFonts w:hint="eastAsia" w:ascii="宋体" w:hAnsi="宋体" w:eastAsia="宋体" w:cs="宋体"/>
          <w:color w:val="000000" w:themeColor="text1"/>
          <w:highlight w:val="none"/>
          <w14:textFill>
            <w14:solidFill>
              <w14:schemeClr w14:val="tx1"/>
            </w14:solidFill>
          </w14:textFill>
        </w:rPr>
      </w:pPr>
    </w:p>
    <w:p w14:paraId="7DBF9AEE">
      <w:pPr>
        <w:pStyle w:val="323"/>
        <w:keepNext w:val="0"/>
        <w:keepLines w:val="0"/>
        <w:pageBreakBefore w:val="0"/>
        <w:widowControl/>
        <w:tabs>
          <w:tab w:val="right" w:leader="dot" w:pos="8844"/>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"_Toc2168"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第一章 竞争性磋商公告</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38B8270B">
      <w:pPr>
        <w:pStyle w:val="323"/>
        <w:keepNext w:val="0"/>
        <w:keepLines w:val="0"/>
        <w:pageBreakBefore w:val="0"/>
        <w:widowControl/>
        <w:tabs>
          <w:tab w:val="right" w:leader="dot" w:pos="8844"/>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"_Toc16945"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第二章 招标代理服务费</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79C16F5">
      <w:pPr>
        <w:pStyle w:val="323"/>
        <w:keepNext w:val="0"/>
        <w:keepLines w:val="0"/>
        <w:pageBreakBefore w:val="0"/>
        <w:widowControl/>
        <w:tabs>
          <w:tab w:val="right" w:leader="dot" w:pos="8844"/>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"_Toc5546"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第三章 响应文件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385317B">
      <w:pPr>
        <w:pStyle w:val="323"/>
        <w:keepNext w:val="0"/>
        <w:keepLines w:val="0"/>
        <w:pageBreakBefore w:val="0"/>
        <w:widowControl/>
        <w:tabs>
          <w:tab w:val="right" w:leader="dot" w:pos="8844"/>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"_Toc17282"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第四章 磋商相关说明</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DADBE38">
      <w:pPr>
        <w:pStyle w:val="323"/>
        <w:keepNext w:val="0"/>
        <w:keepLines w:val="0"/>
        <w:pageBreakBefore w:val="0"/>
        <w:widowControl/>
        <w:tabs>
          <w:tab w:val="right" w:leader="dot" w:pos="8844"/>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"_Toc677"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第五章 确定成交供应商及合同签订等</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D13A77B">
      <w:pPr>
        <w:pStyle w:val="323"/>
        <w:keepNext w:val="0"/>
        <w:keepLines w:val="0"/>
        <w:pageBreakBefore w:val="0"/>
        <w:widowControl/>
        <w:tabs>
          <w:tab w:val="right" w:leader="dot" w:pos="8844"/>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"_Toc26346"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第六章 磋商文件的澄清或者修改</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582794D5">
      <w:pPr>
        <w:pStyle w:val="323"/>
        <w:keepNext w:val="0"/>
        <w:keepLines w:val="0"/>
        <w:pageBreakBefore w:val="0"/>
        <w:widowControl/>
        <w:tabs>
          <w:tab w:val="right" w:leader="dot" w:pos="8844"/>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"_Toc8704"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第七章 询问和质疑</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58C6F6D6">
      <w:pPr>
        <w:pStyle w:val="323"/>
        <w:keepNext w:val="0"/>
        <w:keepLines w:val="0"/>
        <w:pageBreakBefore w:val="0"/>
        <w:widowControl/>
        <w:tabs>
          <w:tab w:val="right" w:leader="dot" w:pos="8844"/>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"_Toc4671"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第八章 附  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2CCA14D">
      <w:pPr>
        <w:pStyle w:val="323"/>
        <w:keepNext w:val="0"/>
        <w:keepLines w:val="0"/>
        <w:pageBreakBefore w:val="0"/>
        <w:widowControl/>
        <w:tabs>
          <w:tab w:val="right" w:leader="dot" w:pos="8844"/>
        </w:tabs>
        <w:spacing w:line="360" w:lineRule="auto"/>
        <w:rPr>
          <w:rFonts w:hint="eastAsia" w:ascii="宋体" w:hAnsi="宋体" w:eastAsia="宋体" w:cs="宋体"/>
          <w:color w:val="000000" w:themeColor="text1"/>
          <w:highlight w:val="none"/>
          <w14:textFill>
            <w14:solidFill>
              <w14:schemeClr w14:val="tx1"/>
            </w14:solidFill>
          </w14:textFill>
        </w:rPr>
      </w:pPr>
    </w:p>
    <w:p w14:paraId="08F35962">
      <w:pPr>
        <w:pStyle w:val="323"/>
        <w:pageBreakBefore w:val="0"/>
        <w:tabs>
          <w:tab w:val="right" w:leader="dot" w:pos="8844"/>
        </w:tabs>
        <w:spacing w:line="360" w:lineRule="auto"/>
        <w:rPr>
          <w:rFonts w:hint="eastAsia" w:ascii="宋体" w:hAnsi="宋体" w:eastAsia="宋体" w:cs="宋体"/>
          <w:color w:val="000000" w:themeColor="text1"/>
          <w:highlight w:val="none"/>
          <w14:textFill>
            <w14:solidFill>
              <w14:schemeClr w14:val="tx1"/>
            </w14:solidFill>
          </w14:textFill>
        </w:rPr>
      </w:pPr>
    </w:p>
    <w:p w14:paraId="6B88BFA6">
      <w:pPr>
        <w:pStyle w:val="323"/>
        <w:pageBreakBefore w:val="0"/>
        <w:tabs>
          <w:tab w:val="right" w:leader="dot" w:pos="8844"/>
        </w:tabs>
        <w:spacing w:line="360" w:lineRule="auto"/>
        <w:rPr>
          <w:rFonts w:hint="eastAsia" w:ascii="宋体" w:hAnsi="宋体" w:eastAsia="宋体" w:cs="宋体"/>
          <w:color w:val="000000" w:themeColor="text1"/>
          <w:highlight w:val="none"/>
          <w14:textFill>
            <w14:solidFill>
              <w14:schemeClr w14:val="tx1"/>
            </w14:solidFill>
          </w14:textFill>
        </w:rPr>
      </w:pPr>
    </w:p>
    <w:p w14:paraId="3332A409">
      <w:pPr>
        <w:pStyle w:val="323"/>
        <w:pageBreakBefore w:val="0"/>
        <w:tabs>
          <w:tab w:val="right" w:leader="dot" w:pos="8844"/>
        </w:tabs>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4FE150EF">
      <w:pPr>
        <w:pStyle w:val="323"/>
        <w:pageBreakBefore w:val="0"/>
        <w:tabs>
          <w:tab w:val="right" w:leader="dot" w:pos="8844"/>
        </w:tabs>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6AD1116D">
      <w:pPr>
        <w:pStyle w:val="49"/>
        <w:pageBreakBefore w:val="0"/>
        <w:spacing w:before="1052" w:line="360" w:lineRule="auto"/>
        <w:ind w:firstLine="560"/>
        <w:rPr>
          <w:rFonts w:hint="eastAsia" w:ascii="宋体" w:hAnsi="宋体" w:eastAsia="宋体" w:cs="宋体"/>
          <w:color w:val="000000" w:themeColor="text1"/>
          <w:sz w:val="28"/>
          <w:szCs w:val="28"/>
          <w:highlight w:val="none"/>
          <w:lang w:bidi="en-US"/>
          <w14:textFill>
            <w14:solidFill>
              <w14:schemeClr w14:val="tx1"/>
            </w14:solidFill>
          </w14:textFill>
        </w:rPr>
      </w:pPr>
    </w:p>
    <w:p w14:paraId="09EFE093">
      <w:pPr>
        <w:pStyle w:val="49"/>
        <w:pageBreakBefore w:val="0"/>
        <w:spacing w:before="1052" w:line="360" w:lineRule="auto"/>
        <w:ind w:firstLine="560"/>
        <w:rPr>
          <w:rFonts w:hint="eastAsia" w:ascii="宋体" w:hAnsi="宋体" w:eastAsia="宋体" w:cs="宋体"/>
          <w:color w:val="000000" w:themeColor="text1"/>
          <w:sz w:val="28"/>
          <w:szCs w:val="28"/>
          <w:highlight w:val="none"/>
          <w:lang w:bidi="en-US"/>
          <w14:textFill>
            <w14:solidFill>
              <w14:schemeClr w14:val="tx1"/>
            </w14:solidFill>
          </w14:textFill>
        </w:rPr>
      </w:pPr>
    </w:p>
    <w:p w14:paraId="6EE643F4">
      <w:pPr>
        <w:pStyle w:val="49"/>
        <w:pageBreakBefore w:val="0"/>
        <w:spacing w:before="1052" w:line="360" w:lineRule="auto"/>
        <w:ind w:firstLine="560"/>
        <w:rPr>
          <w:rFonts w:hint="eastAsia" w:ascii="宋体" w:hAnsi="宋体" w:eastAsia="宋体" w:cs="宋体"/>
          <w:color w:val="000000" w:themeColor="text1"/>
          <w:sz w:val="28"/>
          <w:szCs w:val="28"/>
          <w:highlight w:val="none"/>
          <w:lang w:bidi="en-US"/>
          <w14:textFill>
            <w14:solidFill>
              <w14:schemeClr w14:val="tx1"/>
            </w14:solidFill>
          </w14:textFill>
        </w:rPr>
      </w:pPr>
    </w:p>
    <w:p w14:paraId="2ACFCB7A">
      <w:pPr>
        <w:pStyle w:val="70"/>
        <w:pageBreakBefore w:val="0"/>
        <w:spacing w:line="360" w:lineRule="auto"/>
        <w:rPr>
          <w:rFonts w:hint="eastAsia" w:ascii="宋体" w:hAnsi="宋体" w:eastAsia="宋体" w:cs="宋体"/>
          <w:color w:val="000000" w:themeColor="text1"/>
          <w:sz w:val="30"/>
          <w:szCs w:val="30"/>
          <w:highlight w:val="none"/>
          <w14:textFill>
            <w14:solidFill>
              <w14:schemeClr w14:val="tx1"/>
            </w14:solidFill>
          </w14:textFill>
        </w:rPr>
        <w:sectPr>
          <w:pgSz w:w="11906" w:h="16838"/>
          <w:pgMar w:top="1701" w:right="1474" w:bottom="1701" w:left="1588" w:header="851" w:footer="1418" w:gutter="0"/>
          <w:pgNumType w:start="1"/>
          <w:cols w:space="720" w:num="1"/>
          <w:docGrid w:linePitch="360" w:charSpace="0"/>
        </w:sectPr>
      </w:pPr>
      <w:bookmarkStart w:id="0" w:name="_Toc28664"/>
      <w:bookmarkStart w:id="1" w:name="_Toc7019"/>
      <w:bookmarkStart w:id="2" w:name="_Toc24307"/>
    </w:p>
    <w:p w14:paraId="52CC8807">
      <w:pPr>
        <w:pStyle w:val="70"/>
        <w:pageBreakBefore w:val="0"/>
        <w:spacing w:line="360" w:lineRule="auto"/>
        <w:rPr>
          <w:rFonts w:hint="eastAsia" w:ascii="宋体" w:hAnsi="宋体" w:eastAsia="宋体" w:cs="宋体"/>
          <w:color w:val="000000" w:themeColor="text1"/>
          <w:sz w:val="30"/>
          <w:szCs w:val="30"/>
          <w:highlight w:val="none"/>
          <w14:textFill>
            <w14:solidFill>
              <w14:schemeClr w14:val="tx1"/>
            </w14:solidFill>
          </w14:textFill>
        </w:rPr>
      </w:pPr>
      <w:bookmarkStart w:id="3" w:name="_Toc3776"/>
      <w:bookmarkStart w:id="4" w:name="_Toc4305"/>
      <w:bookmarkStart w:id="5" w:name="_Toc24281"/>
      <w:bookmarkStart w:id="6" w:name="_Toc12112"/>
      <w:bookmarkStart w:id="7" w:name="_Toc1046"/>
      <w:bookmarkStart w:id="8" w:name="_Toc2168"/>
      <w:bookmarkStart w:id="9" w:name="_Toc27132"/>
      <w:r>
        <w:rPr>
          <w:rFonts w:hint="eastAsia" w:ascii="宋体" w:hAnsi="宋体" w:eastAsia="宋体" w:cs="宋体"/>
          <w:color w:val="000000" w:themeColor="text1"/>
          <w:sz w:val="30"/>
          <w:szCs w:val="30"/>
          <w:highlight w:val="none"/>
          <w14:textFill>
            <w14:solidFill>
              <w14:schemeClr w14:val="tx1"/>
            </w14:solidFill>
          </w14:textFill>
        </w:rPr>
        <w:t>第一章 竞争性磋商公告</w:t>
      </w:r>
      <w:bookmarkEnd w:id="0"/>
      <w:bookmarkEnd w:id="1"/>
      <w:bookmarkEnd w:id="2"/>
      <w:bookmarkEnd w:id="3"/>
      <w:bookmarkEnd w:id="4"/>
      <w:bookmarkEnd w:id="5"/>
      <w:bookmarkEnd w:id="6"/>
      <w:bookmarkEnd w:id="7"/>
      <w:bookmarkEnd w:id="8"/>
      <w:bookmarkEnd w:id="9"/>
    </w:p>
    <w:p w14:paraId="34A07691">
      <w:pPr>
        <w:pStyle w:val="51"/>
        <w:keepNext w:val="0"/>
        <w:keepLines w:val="0"/>
        <w:pageBreakBefore w:val="0"/>
        <w:widowControl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2024年度新沂市骆马湖片区外（时集镇白石村）省级宜居宜业和美乡村工程</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：JSZC-320381-NJXN-C2024-0027</w:t>
      </w:r>
      <w:r>
        <w:rPr>
          <w:rFonts w:hint="eastAsia" w:ascii="宋体" w:hAnsi="宋体" w:eastAsia="宋体" w:cs="宋体"/>
          <w:color w:val="000000" w:themeColor="text1"/>
          <w:sz w:val="24"/>
          <w:highlight w:val="none"/>
          <w14:textFill>
            <w14:solidFill>
              <w14:schemeClr w14:val="tx1"/>
            </w14:solidFill>
          </w14:textFill>
        </w:rPr>
        <w:t>）的潜在供应商应在“苏采云”系统获取采购文件，并于202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eastAsia="宋体" w:cs="宋体"/>
          <w:color w:val="000000" w:themeColor="text1"/>
          <w:sz w:val="24"/>
          <w:highlight w:val="none"/>
          <w:lang w:eastAsia="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上午09：30 前提交响应文件。</w:t>
      </w:r>
    </w:p>
    <w:p w14:paraId="173E5C56">
      <w:pPr>
        <w:pStyle w:val="51"/>
        <w:keepNext w:val="0"/>
        <w:keepLines w:val="0"/>
        <w:pageBreakBefore w:val="0"/>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一、项目基本情况</w:t>
      </w:r>
    </w:p>
    <w:p w14:paraId="707B439F">
      <w:pPr>
        <w:pStyle w:val="51"/>
        <w:keepNext w:val="0"/>
        <w:keepLines w:val="0"/>
        <w:pageBreakBefore w:val="0"/>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JSZC-320381-NJXN-C2024-0027</w:t>
      </w:r>
    </w:p>
    <w:p w14:paraId="22CF4589">
      <w:pPr>
        <w:pStyle w:val="51"/>
        <w:keepNext w:val="0"/>
        <w:keepLines w:val="0"/>
        <w:pageBreakBefore w:val="0"/>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2024年度新沂市骆马湖片区外（时集镇白石村）省级宜居宜业和美乡村工程</w:t>
      </w:r>
    </w:p>
    <w:p w14:paraId="6D5C2B44">
      <w:pPr>
        <w:pStyle w:val="51"/>
        <w:keepNext w:val="0"/>
        <w:keepLines w:val="0"/>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采购方式：竞争性磋商</w:t>
      </w:r>
    </w:p>
    <w:p w14:paraId="3682DD2B">
      <w:pPr>
        <w:pStyle w:val="51"/>
        <w:keepNext w:val="0"/>
        <w:keepLines w:val="0"/>
        <w:pageBreakBefore w:val="0"/>
        <w:spacing w:line="360" w:lineRule="auto"/>
        <w:ind w:firstLine="48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lang w:val="en-US" w:eastAsia="zh-CN"/>
          <w14:textFill>
            <w14:solidFill>
              <w14:schemeClr w14:val="tx1"/>
            </w14:solidFill>
          </w14:textFill>
        </w:rPr>
        <w:t xml:space="preserve">398.640000万元 </w:t>
      </w:r>
    </w:p>
    <w:p w14:paraId="21126ABF">
      <w:pPr>
        <w:pStyle w:val="51"/>
        <w:keepNext w:val="0"/>
        <w:keepLines w:val="0"/>
        <w:pageBreakBefore w:val="0"/>
        <w:spacing w:line="360" w:lineRule="auto"/>
        <w:ind w:firstLine="72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最高限价：395.00</w:t>
      </w:r>
      <w:r>
        <w:rPr>
          <w:rFonts w:hint="eastAsia" w:ascii="宋体" w:hAnsi="宋体" w:cs="宋体"/>
          <w:color w:val="000000" w:themeColor="text1"/>
          <w:sz w:val="24"/>
          <w:highlight w:val="none"/>
          <w:lang w:val="en-US" w:eastAsia="zh-CN"/>
          <w14:textFill>
            <w14:solidFill>
              <w14:schemeClr w14:val="tx1"/>
            </w14:solidFill>
          </w14:textFill>
        </w:rPr>
        <w:t>万</w:t>
      </w:r>
      <w:r>
        <w:rPr>
          <w:rFonts w:hint="eastAsia" w:ascii="宋体" w:hAnsi="宋体" w:eastAsia="宋体" w:cs="宋体"/>
          <w:color w:val="000000" w:themeColor="text1"/>
          <w:sz w:val="24"/>
          <w:highlight w:val="none"/>
          <w14:textFill>
            <w14:solidFill>
              <w14:schemeClr w14:val="tx1"/>
            </w14:solidFill>
          </w14:textFill>
        </w:rPr>
        <w:t>元</w:t>
      </w:r>
    </w:p>
    <w:p w14:paraId="7915D222">
      <w:pPr>
        <w:pStyle w:val="51"/>
        <w:keepNext w:val="0"/>
        <w:keepLines w:val="0"/>
        <w:pageBreakBefore w:val="0"/>
        <w:spacing w:line="360" w:lineRule="auto"/>
        <w:ind w:firstLine="48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采购需求：</w:t>
      </w:r>
      <w:r>
        <w:rPr>
          <w:rFonts w:hint="eastAsia" w:ascii="宋体" w:hAnsi="宋体" w:cs="宋体"/>
          <w:color w:val="000000" w:themeColor="text1"/>
          <w:sz w:val="24"/>
          <w:highlight w:val="none"/>
          <w:lang w:eastAsia="zh-CN"/>
          <w14:textFill>
            <w14:solidFill>
              <w14:schemeClr w14:val="tx1"/>
            </w14:solidFill>
          </w14:textFill>
        </w:rPr>
        <w:t>2024年度新沂市骆马湖片区外（时集镇白石村）省级宜居宜业和美乡村工程，</w:t>
      </w:r>
      <w:r>
        <w:rPr>
          <w:rFonts w:hint="eastAsia" w:ascii="宋体" w:hAnsi="宋体" w:cs="宋体"/>
          <w:color w:val="000000" w:themeColor="text1"/>
          <w:sz w:val="24"/>
          <w:highlight w:val="none"/>
          <w:lang w:val="en-US" w:eastAsia="zh-CN"/>
          <w14:textFill>
            <w14:solidFill>
              <w14:schemeClr w14:val="tx1"/>
            </w14:solidFill>
          </w14:textFill>
        </w:rPr>
        <w:t>主要包括</w:t>
      </w:r>
      <w:r>
        <w:rPr>
          <w:rFonts w:hint="eastAsia" w:ascii="宋体" w:hAnsi="宋体" w:cs="宋体"/>
          <w:color w:val="000000" w:themeColor="text1"/>
          <w:sz w:val="24"/>
          <w:highlight w:val="none"/>
          <w:lang w:eastAsia="zh-CN"/>
          <w14:textFill>
            <w14:solidFill>
              <w14:schemeClr w14:val="tx1"/>
            </w14:solidFill>
          </w14:textFill>
        </w:rPr>
        <w:t>道路黑化、路灯安装、公厕建设、村庄绿化、生活污水管网铺设</w:t>
      </w:r>
      <w:r>
        <w:rPr>
          <w:rFonts w:hint="eastAsia" w:ascii="宋体" w:hAnsi="宋体" w:cs="宋体"/>
          <w:color w:val="000000" w:themeColor="text1"/>
          <w:sz w:val="24"/>
          <w:highlight w:val="none"/>
          <w:lang w:val="en-US" w:eastAsia="zh-CN"/>
          <w14:textFill>
            <w14:solidFill>
              <w14:schemeClr w14:val="tx1"/>
            </w14:solidFill>
          </w14:textFill>
        </w:rPr>
        <w:t>等建设内容，具体详见施工图纸及招标工程量清单所含全部内容</w:t>
      </w:r>
      <w:r>
        <w:rPr>
          <w:rFonts w:hint="eastAsia" w:ascii="宋体" w:hAnsi="宋体" w:cs="宋体"/>
          <w:color w:val="000000" w:themeColor="text1"/>
          <w:sz w:val="24"/>
          <w:highlight w:val="none"/>
          <w:lang w:eastAsia="zh-CN"/>
          <w14:textFill>
            <w14:solidFill>
              <w14:schemeClr w14:val="tx1"/>
            </w14:solidFill>
          </w14:textFill>
        </w:rPr>
        <w:t>。</w:t>
      </w:r>
    </w:p>
    <w:p w14:paraId="675E69D4">
      <w:pPr>
        <w:pStyle w:val="51"/>
        <w:keepNext w:val="0"/>
        <w:keepLines w:val="0"/>
        <w:pageBreakBefore w:val="0"/>
        <w:spacing w:line="360" w:lineRule="auto"/>
        <w:ind w:firstLine="480"/>
        <w:rPr>
          <w:rFonts w:hint="default" w:ascii="宋体" w:hAnsi="宋体" w:eastAsia="宋体" w:cs="宋体"/>
          <w:color w:val="000000" w:themeColor="text1"/>
          <w:sz w:val="24"/>
          <w:highlight w:val="yellow"/>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6.合同履行</w:t>
      </w:r>
      <w:r>
        <w:rPr>
          <w:rFonts w:hint="eastAsia" w:ascii="宋体" w:hAnsi="宋体" w:eastAsia="宋体" w:cs="宋体"/>
          <w:color w:val="000000" w:themeColor="text1"/>
          <w:sz w:val="24"/>
          <w:highlight w:val="none"/>
          <w14:textFill>
            <w14:solidFill>
              <w14:schemeClr w14:val="tx1"/>
            </w14:solidFill>
          </w14:textFill>
        </w:rPr>
        <w:t>期限</w:t>
      </w:r>
      <w:r>
        <w:rPr>
          <w:rFonts w:hint="eastAsia" w:ascii="宋体" w:hAnsi="宋体" w:cs="宋体"/>
          <w:color w:val="000000" w:themeColor="text1"/>
          <w:sz w:val="24"/>
          <w:highlight w:val="none"/>
          <w:lang w:val="en-US" w:eastAsia="zh-CN"/>
          <w14:textFill>
            <w14:solidFill>
              <w14:schemeClr w14:val="tx1"/>
            </w14:solidFill>
          </w14:textFill>
        </w:rPr>
        <w:t>：45日历天</w:t>
      </w:r>
    </w:p>
    <w:p w14:paraId="71D1A7BA">
      <w:pPr>
        <w:pStyle w:val="51"/>
        <w:keepNext w:val="0"/>
        <w:keepLines w:val="0"/>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本项目（是/否）接受联合体：否</w:t>
      </w:r>
    </w:p>
    <w:p w14:paraId="1C901650">
      <w:pPr>
        <w:pStyle w:val="51"/>
        <w:keepNext w:val="0"/>
        <w:keepLines w:val="0"/>
        <w:pageBreakBefore w:val="0"/>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二、申请人的资格要求</w:t>
      </w:r>
    </w:p>
    <w:p w14:paraId="03B4FABC">
      <w:pPr>
        <w:pStyle w:val="51"/>
        <w:keepNext w:val="0"/>
        <w:keepLines w:val="0"/>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一</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满足</w:t>
      </w:r>
      <w:r>
        <w:rPr>
          <w:rFonts w:hint="eastAsia" w:ascii="宋体" w:hAnsi="宋体" w:eastAsia="宋体" w:cs="宋体"/>
          <w:color w:val="000000" w:themeColor="text1"/>
          <w:sz w:val="24"/>
          <w:highlight w:val="none"/>
          <w14:textFill>
            <w14:solidFill>
              <w14:schemeClr w14:val="tx1"/>
            </w14:solidFill>
          </w14:textFill>
        </w:rPr>
        <w:t>《中华人民共和国政府采购法》第二十二条规定；</w:t>
      </w:r>
    </w:p>
    <w:p w14:paraId="474FF288">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bidi="ar-SA"/>
          <w14:textFill>
            <w14:solidFill>
              <w14:schemeClr w14:val="tx1"/>
            </w14:solidFill>
          </w14:textFill>
        </w:rPr>
        <w:t>1.具有独立承担民事责任的能力，提供投标人合法有效的法人的营业执照(或事业单位法人证书)或其他组织应提供合法证明文件的原件扫描件(加盖电子签章)；</w:t>
      </w:r>
    </w:p>
    <w:p w14:paraId="2F38B18B">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w:t>
      </w:r>
      <w:r>
        <w:rPr>
          <w:rFonts w:hint="eastAsia" w:ascii="宋体" w:hAnsi="宋体" w:cs="宋体"/>
          <w:color w:val="000000" w:themeColor="text1"/>
          <w:sz w:val="24"/>
          <w:szCs w:val="24"/>
          <w:highlight w:val="none"/>
          <w:lang w:val="en-US" w:eastAsia="zh-CN" w:bidi="ar-SA"/>
          <w14:textFill>
            <w14:solidFill>
              <w14:schemeClr w14:val="tx1"/>
            </w14:solidFill>
          </w14:textFill>
        </w:rPr>
        <w:t>财务状况报告；</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至少提供：即提供投标人的本项目开标时间前6个月内任何1月（不含开标当月）资产负债表原件的扫描件1份；投标人的本项目开标时间前6个月内任何1月（不含开标当月）利润表月报表原件的扫描件1份或提供</w:t>
      </w:r>
      <w:r>
        <w:rPr>
          <w:rFonts w:hint="eastAsia" w:ascii="宋体" w:hAnsi="宋体" w:cs="宋体"/>
          <w:color w:val="000000" w:themeColor="text1"/>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上年度财务报告原件的扫描件或供应商的本项目开标时间前6个月内银行出具的资信证明原件的扫描件</w:t>
      </w:r>
      <w:r>
        <w:rPr>
          <w:rFonts w:hint="eastAsia" w:ascii="宋体" w:hAnsi="宋体" w:cs="宋体"/>
          <w:color w:val="000000" w:themeColor="text1"/>
          <w:sz w:val="24"/>
          <w:szCs w:val="24"/>
          <w:highlight w:val="none"/>
          <w:lang w:val="en-US" w:eastAsia="zh-CN" w:bidi="ar-SA"/>
          <w14:textFill>
            <w14:solidFill>
              <w14:schemeClr w14:val="tx1"/>
            </w14:solidFill>
          </w14:textFill>
        </w:rPr>
        <w:t>(加盖电子签章)；</w:t>
      </w:r>
    </w:p>
    <w:p w14:paraId="011C2AFF">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w:t>
      </w:r>
      <w:r>
        <w:rPr>
          <w:rFonts w:hint="eastAsia" w:ascii="宋体" w:hAnsi="宋体" w:cs="宋体"/>
          <w:color w:val="000000" w:themeColor="text1"/>
          <w:sz w:val="24"/>
          <w:szCs w:val="24"/>
          <w:highlight w:val="none"/>
          <w:lang w:val="en-US" w:eastAsia="zh-CN" w:bidi="ar-SA"/>
          <w14:textFill>
            <w14:solidFill>
              <w14:schemeClr w14:val="tx1"/>
            </w14:solidFill>
          </w14:textFill>
        </w:rPr>
        <w:t>投标人在</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本项目开标时间前6个月内任何1月（不含开标当月）的依法缴纳税收和社会保障资金的相关材料扫描件；依法免税或不需要缴纳社会保障资金的投标人应提供相应其依法免税或不需要缴纳社会保障资金的证明文件扫描件</w:t>
      </w:r>
      <w:r>
        <w:rPr>
          <w:rFonts w:hint="eastAsia" w:ascii="宋体" w:hAnsi="宋体" w:cs="宋体"/>
          <w:color w:val="000000" w:themeColor="text1"/>
          <w:sz w:val="24"/>
          <w:szCs w:val="24"/>
          <w:highlight w:val="none"/>
          <w:lang w:val="en-US" w:eastAsia="zh-CN" w:bidi="ar-SA"/>
          <w14:textFill>
            <w14:solidFill>
              <w14:schemeClr w14:val="tx1"/>
            </w14:solidFill>
          </w14:textFill>
        </w:rPr>
        <w:t>(加盖电子签章)</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w:t>
      </w:r>
    </w:p>
    <w:p w14:paraId="33D74F04">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4.具备履行合同所必需的设备和专业技术能力的证明材料提供具备履行合同所必需的设备和专业技术能力的书面声明（加盖电子签章，格式见《磋商文件》附件）；</w:t>
      </w:r>
    </w:p>
    <w:p w14:paraId="2EE34F77">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5.投标人参加政府采购活动前3年内在经营活动中没有重大违法记录的书面声明（加盖电子签章，格式见《磋商文件》附件）；</w:t>
      </w:r>
    </w:p>
    <w:p w14:paraId="2759E3E3">
      <w:pPr>
        <w:pStyle w:val="51"/>
        <w:keepNext w:val="0"/>
        <w:keepLines w:val="0"/>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color w:val="000000" w:themeColor="text1"/>
          <w:sz w:val="24"/>
          <w:highlight w:val="none"/>
          <w:lang w:val="en-US" w:eastAsia="zh-CN"/>
          <w14:textFill>
            <w14:solidFill>
              <w14:schemeClr w14:val="tx1"/>
            </w14:solidFill>
          </w14:textFill>
        </w:rPr>
        <w:t>此项目属于专门面向中小微企业采购的项目，供应商应为中小企业、监狱企业、残疾人福利单位。</w:t>
      </w:r>
    </w:p>
    <w:p w14:paraId="79FD8734">
      <w:pPr>
        <w:pStyle w:val="51"/>
        <w:keepNext w:val="0"/>
        <w:keepLines w:val="0"/>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本项目的特定资格要求：</w:t>
      </w:r>
    </w:p>
    <w:p w14:paraId="2BFB75C8">
      <w:pPr>
        <w:pStyle w:val="51"/>
        <w:pageBreakBefore w:val="0"/>
        <w:spacing w:line="36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r>
        <w:rPr>
          <w:rFonts w:hint="eastAsia" w:ascii="宋体" w:hAnsi="宋体" w:cs="宋体"/>
          <w:sz w:val="24"/>
          <w:highlight w:val="none"/>
        </w:rPr>
        <w:t>供应商</w:t>
      </w:r>
      <w:r>
        <w:rPr>
          <w:rFonts w:hint="eastAsia" w:ascii="宋体" w:hAnsi="宋体" w:cs="宋体"/>
          <w:sz w:val="24"/>
          <w:highlight w:val="none"/>
          <w:lang w:val="en-US" w:eastAsia="zh-CN"/>
        </w:rPr>
        <w:t>须具备市政公用工程施工总承包叁级（含）以上企业资质</w:t>
      </w:r>
      <w:r>
        <w:rPr>
          <w:rFonts w:hint="eastAsia" w:ascii="宋体" w:hAnsi="宋体" w:cs="宋体"/>
          <w:sz w:val="24"/>
          <w:highlight w:val="none"/>
          <w:lang w:eastAsia="zh-CN"/>
        </w:rPr>
        <w:t>（</w:t>
      </w:r>
      <w:r>
        <w:rPr>
          <w:rFonts w:hint="eastAsia" w:ascii="宋体" w:hAnsi="宋体" w:cs="宋体"/>
          <w:sz w:val="24"/>
          <w:highlight w:val="none"/>
          <w:lang w:val="en-US" w:eastAsia="zh-CN"/>
        </w:rPr>
        <w:t>提供原件扫描件</w:t>
      </w:r>
      <w:r>
        <w:rPr>
          <w:rFonts w:hint="eastAsia" w:ascii="宋体" w:hAnsi="宋体" w:cs="宋体"/>
          <w:sz w:val="24"/>
          <w:szCs w:val="24"/>
        </w:rPr>
        <w:t>加盖电子签章</w:t>
      </w:r>
      <w:r>
        <w:rPr>
          <w:rFonts w:hint="eastAsia" w:ascii="宋体" w:hAnsi="宋体" w:cs="宋体"/>
          <w:sz w:val="24"/>
          <w:highlight w:val="none"/>
          <w:lang w:eastAsia="zh-CN"/>
        </w:rPr>
        <w:t>）；</w:t>
      </w:r>
    </w:p>
    <w:p w14:paraId="482388EE">
      <w:pPr>
        <w:pStyle w:val="51"/>
        <w:pageBreakBefore w:val="0"/>
        <w:spacing w:line="36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sz w:val="24"/>
          <w:highlight w:val="none"/>
        </w:rPr>
        <w:t>供应商</w:t>
      </w:r>
      <w:r>
        <w:rPr>
          <w:rFonts w:hint="eastAsia" w:ascii="宋体" w:hAnsi="宋体" w:cs="宋体"/>
          <w:sz w:val="24"/>
          <w:highlight w:val="none"/>
          <w:lang w:val="en-US" w:eastAsia="zh-CN"/>
        </w:rPr>
        <w:t>须具备</w:t>
      </w:r>
      <w:r>
        <w:rPr>
          <w:rFonts w:hint="eastAsia" w:ascii="宋体" w:hAnsi="宋体" w:eastAsia="宋体" w:cs="宋体"/>
          <w:bCs/>
          <w:color w:val="000000" w:themeColor="text1"/>
          <w:sz w:val="24"/>
          <w:szCs w:val="24"/>
          <w:highlight w:val="none"/>
          <w14:textFill>
            <w14:solidFill>
              <w14:schemeClr w14:val="tx1"/>
            </w14:solidFill>
          </w14:textFill>
        </w:rPr>
        <w:t>有效的《安全生产许可证》</w:t>
      </w:r>
      <w:r>
        <w:rPr>
          <w:rFonts w:hint="eastAsia" w:ascii="宋体" w:hAnsi="宋体" w:cs="宋体"/>
          <w:sz w:val="24"/>
          <w:highlight w:val="none"/>
          <w:lang w:eastAsia="zh-CN"/>
        </w:rPr>
        <w:t>（</w:t>
      </w:r>
      <w:r>
        <w:rPr>
          <w:rFonts w:hint="eastAsia" w:ascii="宋体" w:hAnsi="宋体" w:cs="宋体"/>
          <w:sz w:val="24"/>
          <w:highlight w:val="none"/>
          <w:lang w:val="en-US" w:eastAsia="zh-CN"/>
        </w:rPr>
        <w:t>提供原件扫描件</w:t>
      </w:r>
      <w:r>
        <w:rPr>
          <w:rFonts w:hint="eastAsia" w:ascii="宋体" w:hAnsi="宋体" w:cs="宋体"/>
          <w:sz w:val="24"/>
          <w:szCs w:val="24"/>
        </w:rPr>
        <w:t>加盖电子签章</w:t>
      </w:r>
      <w:r>
        <w:rPr>
          <w:rFonts w:hint="eastAsia" w:ascii="宋体" w:hAnsi="宋体" w:cs="宋体"/>
          <w:sz w:val="24"/>
          <w:highlight w:val="none"/>
          <w:lang w:eastAsia="zh-CN"/>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4C04FE6B">
      <w:pPr>
        <w:pStyle w:val="51"/>
        <w:pageBreakBefore w:val="0"/>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cs="宋体"/>
          <w:sz w:val="24"/>
          <w:highlight w:val="none"/>
        </w:rPr>
        <w:t>供应商拟派项目负责人（注册建造师）具备</w:t>
      </w:r>
      <w:r>
        <w:rPr>
          <w:rFonts w:hint="eastAsia" w:ascii="宋体" w:hAnsi="宋体" w:cs="宋体"/>
          <w:sz w:val="24"/>
          <w:highlight w:val="none"/>
          <w:lang w:val="en-US" w:eastAsia="zh-CN"/>
        </w:rPr>
        <w:t>市政公用工程贰级（含）以上注册建造师（资格）</w:t>
      </w:r>
      <w:r>
        <w:rPr>
          <w:rFonts w:hint="eastAsia" w:ascii="宋体" w:hAnsi="宋体" w:cs="宋体"/>
          <w:sz w:val="24"/>
          <w:highlight w:val="none"/>
          <w:lang w:eastAsia="zh-CN"/>
        </w:rPr>
        <w:t>，</w:t>
      </w:r>
      <w:r>
        <w:rPr>
          <w:rFonts w:hint="eastAsia" w:ascii="宋体" w:hAnsi="宋体" w:cs="宋体"/>
          <w:sz w:val="24"/>
          <w:highlight w:val="none"/>
        </w:rPr>
        <w:t>并取得《建筑施工企业项目负责人安全生产考核合格证书》</w:t>
      </w:r>
      <w:r>
        <w:rPr>
          <w:rFonts w:hint="eastAsia" w:ascii="宋体" w:hAnsi="宋体" w:cs="宋体"/>
          <w:sz w:val="24"/>
          <w:highlight w:val="none"/>
          <w:lang w:val="en-US" w:eastAsia="zh-CN"/>
        </w:rPr>
        <w:t>（B证）且无在建工程的承诺书(</w:t>
      </w:r>
      <w:r>
        <w:rPr>
          <w:rFonts w:hint="eastAsia" w:ascii="宋体" w:hAnsi="宋体" w:eastAsia="宋体" w:cs="宋体"/>
          <w:bCs/>
          <w:color w:val="000000" w:themeColor="text1"/>
          <w:sz w:val="24"/>
          <w:szCs w:val="24"/>
          <w:highlight w:val="none"/>
          <w:lang w:val="en-US" w:eastAsia="zh-CN" w:bidi="ar-SA"/>
          <w14:textFill>
            <w14:solidFill>
              <w14:schemeClr w14:val="tx1"/>
            </w14:solidFill>
          </w14:textFill>
        </w:rPr>
        <w:t>承诺书格式自拟并加盖电子签章，其余提供原件扫描件加盖电子签章</w:t>
      </w:r>
      <w:r>
        <w:rPr>
          <w:rFonts w:hint="eastAsia" w:ascii="宋体" w:hAnsi="宋体" w:cs="宋体"/>
          <w:sz w:val="24"/>
          <w:highlight w:val="none"/>
          <w:lang w:val="en-US" w:eastAsia="zh-CN"/>
        </w:rPr>
        <w:t>）。</w:t>
      </w:r>
    </w:p>
    <w:p w14:paraId="0272203D">
      <w:pPr>
        <w:pStyle w:val="51"/>
        <w:keepNext w:val="0"/>
        <w:keepLines w:val="0"/>
        <w:pageBreakBefore w:val="0"/>
        <w:spacing w:line="360" w:lineRule="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三、获取采购文件</w:t>
      </w:r>
    </w:p>
    <w:p w14:paraId="094A2A62">
      <w:pPr>
        <w:pStyle w:val="51"/>
        <w:keepNext w:val="0"/>
        <w:keepLines w:val="0"/>
        <w:pageBreakBefore w:val="0"/>
        <w:spacing w:line="360" w:lineRule="auto"/>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自磋商文件公告发布之日起5个工作日</w:t>
      </w:r>
    </w:p>
    <w:p w14:paraId="0707C891">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地点：网上注册登记成功后系统内免费下载 </w:t>
      </w:r>
    </w:p>
    <w:p w14:paraId="1D87335C">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方式：本项目采用网上注册登记方式 </w:t>
      </w:r>
    </w:p>
    <w:p w14:paraId="77D9FBEB">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售价：0.00元 </w:t>
      </w:r>
    </w:p>
    <w:p w14:paraId="1992911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响应文件提交</w:t>
      </w:r>
    </w:p>
    <w:p w14:paraId="14267C7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截止时间：2024-12-03 09:30（北京时间）</w:t>
      </w:r>
    </w:p>
    <w:p w14:paraId="6657FA24">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地点：苏采云系统</w:t>
      </w:r>
    </w:p>
    <w:p w14:paraId="285090BE">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五、开启</w:t>
      </w:r>
    </w:p>
    <w:p w14:paraId="44D4B97F">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时间：2024-12-03 09:30（北京时间）</w:t>
      </w:r>
    </w:p>
    <w:p w14:paraId="0F630130">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t>地点：新沂市421_第五开标室（新沂）</w:t>
      </w:r>
    </w:p>
    <w:p w14:paraId="1870FC29">
      <w:pPr>
        <w:pStyle w:val="54"/>
        <w:keepNext w:val="0"/>
        <w:keepLines w:val="0"/>
        <w:pageBreakBefore w:val="0"/>
        <w:spacing w:before="0" w:after="0" w:line="360" w:lineRule="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val="0"/>
          <w:color w:val="000000" w:themeColor="text1"/>
          <w:sz w:val="24"/>
          <w:szCs w:val="24"/>
          <w:highlight w:val="none"/>
          <w14:textFill>
            <w14:solidFill>
              <w14:schemeClr w14:val="tx1"/>
            </w14:solidFill>
          </w14:textFill>
        </w:rPr>
        <w:t>、公告期限</w:t>
      </w:r>
    </w:p>
    <w:p w14:paraId="4C8537C9">
      <w:pPr>
        <w:pStyle w:val="49"/>
        <w:keepNext w:val="0"/>
        <w:keepLines w:val="0"/>
        <w:pageBreakBefore w:val="0"/>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en-US"/>
          <w14:textFill>
            <w14:solidFill>
              <w14:schemeClr w14:val="tx1"/>
            </w14:solidFill>
          </w14:textFill>
        </w:rPr>
        <w:t>自本公告发布之日起</w:t>
      </w:r>
      <w:r>
        <w:rPr>
          <w:rFonts w:hint="eastAsia" w:ascii="宋体" w:hAnsi="宋体" w:cs="宋体"/>
          <w:color w:val="000000" w:themeColor="text1"/>
          <w:sz w:val="24"/>
          <w:szCs w:val="24"/>
          <w:highlight w:val="none"/>
          <w:lang w:val="en-US" w:eastAsia="zh-CN" w:bidi="en-US"/>
          <w14:textFill>
            <w14:solidFill>
              <w14:schemeClr w14:val="tx1"/>
            </w14:solidFill>
          </w14:textFill>
        </w:rPr>
        <w:t>3</w:t>
      </w:r>
      <w:r>
        <w:rPr>
          <w:rFonts w:hint="eastAsia" w:ascii="宋体" w:hAnsi="宋体" w:eastAsia="宋体" w:cs="宋体"/>
          <w:color w:val="000000" w:themeColor="text1"/>
          <w:sz w:val="24"/>
          <w:szCs w:val="24"/>
          <w:highlight w:val="none"/>
          <w:lang w:bidi="en-US"/>
          <w14:textFill>
            <w14:solidFill>
              <w14:schemeClr w14:val="tx1"/>
            </w14:solidFill>
          </w14:textFill>
        </w:rPr>
        <w:t>个工作日。</w:t>
      </w:r>
    </w:p>
    <w:p w14:paraId="574CCD7E">
      <w:pPr>
        <w:pStyle w:val="54"/>
        <w:keepNext w:val="0"/>
        <w:keepLines w:val="0"/>
        <w:pageBreakBefore w:val="0"/>
        <w:spacing w:before="0" w:after="0" w:line="360" w:lineRule="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val="0"/>
          <w:color w:val="000000" w:themeColor="text1"/>
          <w:sz w:val="24"/>
          <w:szCs w:val="24"/>
          <w:highlight w:val="none"/>
          <w14:textFill>
            <w14:solidFill>
              <w14:schemeClr w14:val="tx1"/>
            </w14:solidFill>
          </w14:textFill>
        </w:rPr>
        <w:t>、其他补充事宜</w:t>
      </w:r>
    </w:p>
    <w:p w14:paraId="0BC64B8B">
      <w:pPr>
        <w:spacing w:line="360" w:lineRule="auto"/>
        <w:rPr>
          <w:rFonts w:ascii="宋体" w:hAnsi="宋体" w:cs="宋体"/>
          <w:sz w:val="24"/>
          <w:szCs w:val="24"/>
        </w:rPr>
      </w:pPr>
      <w:r>
        <w:rPr>
          <w:rFonts w:hint="eastAsia" w:ascii="宋体" w:hAnsi="宋体" w:cs="宋体"/>
          <w:sz w:val="24"/>
          <w:szCs w:val="24"/>
          <w:lang w:bidi="ar"/>
        </w:rPr>
        <w:t>（一）投标文件的提交与接收：</w:t>
      </w:r>
    </w:p>
    <w:p w14:paraId="409125CA">
      <w:pPr>
        <w:spacing w:line="360" w:lineRule="auto"/>
        <w:ind w:firstLine="480"/>
        <w:rPr>
          <w:rFonts w:ascii="宋体" w:hAnsi="宋体" w:cs="宋体"/>
          <w:sz w:val="24"/>
          <w:szCs w:val="24"/>
        </w:rPr>
      </w:pPr>
      <w:r>
        <w:rPr>
          <w:rFonts w:hint="eastAsia" w:ascii="宋体" w:hAnsi="宋体" w:cs="宋体"/>
          <w:sz w:val="24"/>
          <w:szCs w:val="24"/>
          <w:lang w:bidi="ar"/>
        </w:rPr>
        <w:t>1、线上提交投标文件截止时间</w:t>
      </w:r>
      <w:r>
        <w:rPr>
          <w:rFonts w:hint="eastAsia" w:ascii="宋体" w:hAnsi="宋体" w:cs="宋体"/>
          <w:sz w:val="24"/>
          <w:szCs w:val="24"/>
          <w:highlight w:val="none"/>
          <w:lang w:bidi="ar"/>
        </w:rPr>
        <w:t>（2024年</w:t>
      </w:r>
      <w:r>
        <w:rPr>
          <w:rFonts w:hint="eastAsia" w:ascii="宋体" w:hAnsi="宋体" w:cs="宋体"/>
          <w:sz w:val="24"/>
          <w:szCs w:val="24"/>
          <w:highlight w:val="none"/>
          <w:lang w:val="en-US" w:eastAsia="zh-CN" w:bidi="ar"/>
        </w:rPr>
        <w:t>12</w:t>
      </w:r>
      <w:r>
        <w:rPr>
          <w:rFonts w:hint="eastAsia" w:ascii="宋体" w:hAnsi="宋体" w:cs="宋体"/>
          <w:sz w:val="24"/>
          <w:szCs w:val="24"/>
          <w:highlight w:val="none"/>
          <w:lang w:bidi="ar"/>
        </w:rPr>
        <w:t>月</w:t>
      </w:r>
      <w:r>
        <w:rPr>
          <w:rFonts w:hint="eastAsia" w:ascii="宋体" w:hAnsi="宋体" w:cs="宋体"/>
          <w:sz w:val="24"/>
          <w:szCs w:val="24"/>
          <w:highlight w:val="none"/>
          <w:lang w:val="en-US" w:eastAsia="zh-CN" w:bidi="ar"/>
        </w:rPr>
        <w:t>03</w:t>
      </w:r>
      <w:r>
        <w:rPr>
          <w:rFonts w:hint="eastAsia" w:ascii="宋体" w:hAnsi="宋体" w:cs="宋体"/>
          <w:sz w:val="24"/>
          <w:szCs w:val="24"/>
          <w:highlight w:val="none"/>
          <w:lang w:bidi="ar"/>
        </w:rPr>
        <w:t>日09:30）前。</w:t>
      </w:r>
    </w:p>
    <w:p w14:paraId="31014E7D">
      <w:pPr>
        <w:spacing w:line="360" w:lineRule="auto"/>
        <w:ind w:firstLine="480"/>
        <w:rPr>
          <w:rFonts w:ascii="宋体" w:hAnsi="宋体" w:cs="宋体"/>
          <w:sz w:val="24"/>
          <w:szCs w:val="24"/>
        </w:rPr>
      </w:pPr>
      <w:r>
        <w:rPr>
          <w:rFonts w:hint="eastAsia" w:ascii="宋体" w:hAnsi="宋体" w:cs="宋体"/>
          <w:sz w:val="24"/>
          <w:szCs w:val="24"/>
          <w:lang w:bidi="ar"/>
        </w:rPr>
        <w:t>2、</w:t>
      </w:r>
      <w:r>
        <w:rPr>
          <w:rFonts w:hint="eastAsia" w:ascii="宋体" w:hAnsi="宋体" w:cs="宋体"/>
          <w:sz w:val="24"/>
          <w:szCs w:val="24"/>
          <w:highlight w:val="none"/>
          <w:lang w:bidi="ar"/>
        </w:rPr>
        <w:t>2024年</w:t>
      </w:r>
      <w:r>
        <w:rPr>
          <w:rFonts w:hint="eastAsia" w:ascii="宋体" w:hAnsi="宋体" w:cs="宋体"/>
          <w:sz w:val="24"/>
          <w:szCs w:val="24"/>
          <w:highlight w:val="none"/>
          <w:lang w:val="en-US" w:eastAsia="zh-CN" w:bidi="ar"/>
        </w:rPr>
        <w:t>11</w:t>
      </w:r>
      <w:r>
        <w:rPr>
          <w:rFonts w:hint="eastAsia" w:ascii="宋体" w:hAnsi="宋体" w:cs="宋体"/>
          <w:sz w:val="24"/>
          <w:szCs w:val="24"/>
          <w:highlight w:val="none"/>
          <w:lang w:bidi="ar"/>
        </w:rPr>
        <w:t>月</w:t>
      </w:r>
      <w:r>
        <w:rPr>
          <w:rFonts w:hint="eastAsia" w:ascii="宋体" w:hAnsi="宋体" w:cs="宋体"/>
          <w:sz w:val="24"/>
          <w:szCs w:val="24"/>
          <w:highlight w:val="none"/>
          <w:lang w:val="en-US" w:eastAsia="zh-CN" w:bidi="ar"/>
        </w:rPr>
        <w:t>27</w:t>
      </w:r>
      <w:r>
        <w:rPr>
          <w:rFonts w:hint="eastAsia" w:ascii="宋体" w:hAnsi="宋体" w:cs="宋体"/>
          <w:sz w:val="24"/>
          <w:szCs w:val="24"/>
          <w:highlight w:val="none"/>
          <w:lang w:bidi="ar"/>
        </w:rPr>
        <w:t>日</w:t>
      </w:r>
      <w:r>
        <w:rPr>
          <w:rFonts w:hint="eastAsia" w:ascii="宋体" w:hAnsi="宋体" w:cs="宋体"/>
          <w:sz w:val="24"/>
          <w:szCs w:val="24"/>
          <w:lang w:bidi="ar"/>
        </w:rPr>
        <w:t>后仍可以下载招标文件，</w:t>
      </w:r>
      <w:r>
        <w:rPr>
          <w:rFonts w:hint="eastAsia" w:ascii="宋体" w:hAnsi="宋体" w:cs="宋体"/>
          <w:sz w:val="24"/>
          <w:szCs w:val="24"/>
          <w:highlight w:val="none"/>
          <w:lang w:bidi="ar"/>
        </w:rPr>
        <w:t>2024年</w:t>
      </w:r>
      <w:r>
        <w:rPr>
          <w:rFonts w:hint="eastAsia" w:ascii="宋体" w:hAnsi="宋体" w:cs="宋体"/>
          <w:sz w:val="24"/>
          <w:szCs w:val="24"/>
          <w:highlight w:val="none"/>
          <w:lang w:val="en-US" w:eastAsia="zh-CN" w:bidi="ar"/>
        </w:rPr>
        <w:t>11</w:t>
      </w:r>
      <w:r>
        <w:rPr>
          <w:rFonts w:hint="eastAsia" w:ascii="宋体" w:hAnsi="宋体" w:cs="宋体"/>
          <w:sz w:val="24"/>
          <w:szCs w:val="24"/>
          <w:highlight w:val="none"/>
          <w:lang w:bidi="ar"/>
        </w:rPr>
        <w:t>月</w:t>
      </w:r>
      <w:r>
        <w:rPr>
          <w:rFonts w:hint="eastAsia" w:ascii="宋体" w:hAnsi="宋体" w:cs="宋体"/>
          <w:sz w:val="24"/>
          <w:szCs w:val="24"/>
          <w:highlight w:val="none"/>
          <w:lang w:val="en-US" w:eastAsia="zh-CN" w:bidi="ar"/>
        </w:rPr>
        <w:t>27</w:t>
      </w:r>
      <w:r>
        <w:rPr>
          <w:rFonts w:hint="eastAsia" w:ascii="宋体" w:hAnsi="宋体" w:cs="宋体"/>
          <w:sz w:val="24"/>
          <w:szCs w:val="24"/>
          <w:highlight w:val="none"/>
          <w:lang w:bidi="ar"/>
        </w:rPr>
        <w:t>日</w:t>
      </w:r>
      <w:r>
        <w:rPr>
          <w:rFonts w:hint="eastAsia" w:ascii="宋体" w:hAnsi="宋体" w:cs="宋体"/>
          <w:sz w:val="24"/>
          <w:szCs w:val="24"/>
          <w:lang w:bidi="ar"/>
        </w:rPr>
        <w:t>后下载的招标文件，视为非有效方式且不作为供应商权益受到损害的证明材料和依据。</w:t>
      </w:r>
    </w:p>
    <w:p w14:paraId="24379C98">
      <w:pPr>
        <w:spacing w:line="360" w:lineRule="auto"/>
        <w:rPr>
          <w:rFonts w:ascii="宋体" w:hAnsi="宋体" w:cs="宋体"/>
          <w:sz w:val="24"/>
          <w:szCs w:val="24"/>
        </w:rPr>
      </w:pPr>
      <w:r>
        <w:rPr>
          <w:rFonts w:hint="eastAsia" w:ascii="宋体" w:hAnsi="宋体" w:cs="宋体"/>
          <w:sz w:val="24"/>
          <w:szCs w:val="24"/>
          <w:lang w:bidi="ar"/>
        </w:rPr>
        <w:t>（二）询问和质疑</w:t>
      </w:r>
    </w:p>
    <w:p w14:paraId="6AFE3AA5">
      <w:pPr>
        <w:spacing w:line="360" w:lineRule="auto"/>
        <w:rPr>
          <w:rFonts w:ascii="宋体" w:hAnsi="宋体" w:cs="宋体"/>
          <w:sz w:val="24"/>
          <w:szCs w:val="24"/>
        </w:rPr>
      </w:pPr>
      <w:r>
        <w:rPr>
          <w:rFonts w:hint="eastAsia" w:ascii="宋体" w:hAnsi="宋体" w:cs="宋体"/>
          <w:sz w:val="24"/>
          <w:szCs w:val="24"/>
          <w:lang w:bidi="ar"/>
        </w:rPr>
        <w:t>1、根据采购代理机构与采购人签订的本采购项目的《委托代理协议》，供应商对政府采购活动事项有疑问的，可以向采购人或采购代理机构提出询问</w:t>
      </w:r>
      <w:r>
        <w:rPr>
          <w:rFonts w:hint="eastAsia" w:ascii="宋体" w:hAnsi="宋体" w:cs="宋体"/>
          <w:sz w:val="24"/>
          <w:szCs w:val="24"/>
          <w:lang w:eastAsia="zh-CN" w:bidi="ar"/>
        </w:rPr>
        <w:t>。</w:t>
      </w:r>
      <w:r>
        <w:rPr>
          <w:rFonts w:hint="eastAsia" w:ascii="宋体" w:hAnsi="宋体" w:cs="宋体"/>
          <w:sz w:val="24"/>
          <w:szCs w:val="24"/>
          <w:lang w:bidi="ar"/>
        </w:rPr>
        <w:t>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285B9823">
      <w:pPr>
        <w:spacing w:line="360" w:lineRule="auto"/>
        <w:rPr>
          <w:rFonts w:ascii="宋体" w:hAnsi="宋体" w:cs="宋体"/>
          <w:sz w:val="24"/>
          <w:szCs w:val="24"/>
        </w:rPr>
      </w:pPr>
      <w:r>
        <w:rPr>
          <w:rFonts w:hint="eastAsia" w:ascii="宋体" w:hAnsi="宋体" w:cs="宋体"/>
          <w:sz w:val="24"/>
          <w:szCs w:val="24"/>
          <w:lang w:bidi="ar"/>
        </w:rPr>
        <w:t>2、供应商在法定质疑期内一次性提出针对同一采购程序环节的质疑。</w:t>
      </w:r>
    </w:p>
    <w:p w14:paraId="25D2AEDC">
      <w:pPr>
        <w:spacing w:line="360" w:lineRule="auto"/>
        <w:rPr>
          <w:rFonts w:ascii="宋体" w:hAnsi="宋体" w:cs="宋体"/>
          <w:sz w:val="24"/>
          <w:szCs w:val="24"/>
        </w:rPr>
      </w:pPr>
      <w:r>
        <w:rPr>
          <w:rFonts w:hint="eastAsia" w:ascii="宋体" w:hAnsi="宋体" w:cs="宋体"/>
          <w:sz w:val="24"/>
          <w:szCs w:val="24"/>
          <w:lang w:bidi="ar"/>
        </w:rPr>
        <w:t>3、质疑函</w:t>
      </w:r>
    </w:p>
    <w:p w14:paraId="0D5CCA4C">
      <w:pPr>
        <w:spacing w:line="360" w:lineRule="auto"/>
        <w:ind w:firstLine="480"/>
        <w:rPr>
          <w:rFonts w:ascii="宋体" w:hAnsi="宋体" w:cs="宋体"/>
          <w:sz w:val="24"/>
          <w:szCs w:val="24"/>
        </w:rPr>
      </w:pPr>
      <w:r>
        <w:rPr>
          <w:rFonts w:hint="eastAsia" w:ascii="宋体" w:hAnsi="宋体" w:cs="宋体"/>
          <w:sz w:val="24"/>
          <w:szCs w:val="24"/>
          <w:lang w:bidi="ar"/>
        </w:rPr>
        <w:t>接收质疑函的方式：供应商直接送交或供应商通过</w:t>
      </w:r>
      <w:r>
        <w:rPr>
          <w:rFonts w:hint="eastAsia" w:ascii="宋体" w:hAnsi="宋体" w:cs="宋体"/>
          <w:sz w:val="24"/>
          <w:szCs w:val="24"/>
          <w:lang w:val="en-US" w:eastAsia="zh-CN" w:bidi="ar"/>
        </w:rPr>
        <w:t>EMS</w:t>
      </w:r>
      <w:r>
        <w:rPr>
          <w:rFonts w:hint="eastAsia" w:ascii="宋体" w:hAnsi="宋体" w:cs="宋体"/>
          <w:sz w:val="24"/>
          <w:szCs w:val="24"/>
          <w:lang w:bidi="ar"/>
        </w:rPr>
        <w:t>邮寄。</w:t>
      </w:r>
    </w:p>
    <w:p w14:paraId="45CFD7F5">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lang w:bidi="ar"/>
        </w:rPr>
        <w:t>联系部门：</w:t>
      </w:r>
      <w:r>
        <w:rPr>
          <w:rFonts w:hint="eastAsia" w:ascii="宋体" w:hAnsi="宋体" w:cs="宋体"/>
          <w:sz w:val="24"/>
          <w:szCs w:val="24"/>
          <w:lang w:eastAsia="zh-CN" w:bidi="ar"/>
        </w:rPr>
        <w:t>南京信诺工程造价咨询有限责任公司</w:t>
      </w:r>
    </w:p>
    <w:p w14:paraId="7ABD8D60">
      <w:pPr>
        <w:spacing w:line="360" w:lineRule="auto"/>
        <w:ind w:firstLine="480"/>
        <w:rPr>
          <w:rFonts w:hint="default" w:ascii="宋体" w:hAnsi="宋体" w:eastAsia="宋体" w:cs="宋体"/>
          <w:sz w:val="24"/>
          <w:szCs w:val="24"/>
          <w:lang w:val="en-US" w:eastAsia="zh-CN" w:bidi="ar"/>
        </w:rPr>
      </w:pPr>
      <w:r>
        <w:rPr>
          <w:rFonts w:hint="eastAsia" w:ascii="宋体" w:hAnsi="宋体" w:cs="宋体"/>
          <w:sz w:val="24"/>
          <w:szCs w:val="24"/>
          <w:lang w:eastAsia="zh-CN" w:bidi="ar"/>
        </w:rPr>
        <w:t>质疑接收人：</w:t>
      </w:r>
      <w:r>
        <w:rPr>
          <w:rFonts w:hint="eastAsia" w:ascii="宋体" w:hAnsi="宋体" w:cs="宋体"/>
          <w:sz w:val="24"/>
          <w:szCs w:val="24"/>
          <w:lang w:val="en-US" w:eastAsia="zh-CN" w:bidi="ar"/>
        </w:rPr>
        <w:t xml:space="preserve">沈溪     </w:t>
      </w:r>
      <w:r>
        <w:rPr>
          <w:rFonts w:hint="eastAsia" w:ascii="宋体" w:hAnsi="宋体" w:cs="宋体"/>
          <w:sz w:val="24"/>
          <w:szCs w:val="24"/>
          <w:lang w:bidi="ar"/>
        </w:rPr>
        <w:t>联系电话：</w:t>
      </w:r>
      <w:r>
        <w:rPr>
          <w:rFonts w:hint="eastAsia" w:ascii="宋体" w:hAnsi="宋体" w:cs="宋体"/>
          <w:sz w:val="24"/>
          <w:szCs w:val="24"/>
          <w:lang w:val="en-US" w:eastAsia="zh-CN" w:bidi="ar"/>
        </w:rPr>
        <w:t>15895271323</w:t>
      </w:r>
    </w:p>
    <w:p w14:paraId="5B3A3DAD">
      <w:pPr>
        <w:spacing w:line="360" w:lineRule="auto"/>
        <w:ind w:firstLine="480"/>
        <w:rPr>
          <w:rFonts w:ascii="宋体" w:hAnsi="宋体" w:cs="宋体"/>
          <w:sz w:val="24"/>
          <w:szCs w:val="24"/>
        </w:rPr>
      </w:pPr>
      <w:r>
        <w:rPr>
          <w:rFonts w:hint="eastAsia" w:ascii="宋体" w:hAnsi="宋体" w:cs="宋体"/>
          <w:sz w:val="24"/>
          <w:szCs w:val="24"/>
          <w:lang w:bidi="ar"/>
        </w:rPr>
        <w:t>地址：</w:t>
      </w:r>
      <w:r>
        <w:rPr>
          <w:rFonts w:hint="eastAsia" w:ascii="宋体" w:hAnsi="宋体" w:cs="宋体"/>
          <w:color w:val="000000" w:themeColor="text1"/>
          <w:sz w:val="24"/>
          <w:lang w:eastAsia="zh-CN"/>
          <w14:textFill>
            <w14:solidFill>
              <w14:schemeClr w14:val="tx1"/>
            </w14:solidFill>
          </w14:textFill>
        </w:rPr>
        <w:t>新沂市黄沭路19-</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号</w:t>
      </w:r>
      <w:r>
        <w:rPr>
          <w:rFonts w:hint="eastAsia" w:ascii="宋体" w:hAnsi="宋体" w:cs="宋体"/>
          <w:color w:val="000000" w:themeColor="text1"/>
          <w:sz w:val="24"/>
          <w14:textFill>
            <w14:solidFill>
              <w14:schemeClr w14:val="tx1"/>
            </w14:solidFill>
          </w14:textFill>
        </w:rPr>
        <w:t xml:space="preserve"> </w:t>
      </w:r>
    </w:p>
    <w:p w14:paraId="4779FCD8">
      <w:pPr>
        <w:spacing w:line="360" w:lineRule="auto"/>
        <w:rPr>
          <w:rFonts w:ascii="宋体" w:hAnsi="宋体" w:cs="宋体"/>
          <w:sz w:val="24"/>
          <w:szCs w:val="24"/>
        </w:rPr>
      </w:pPr>
      <w:r>
        <w:rPr>
          <w:rFonts w:hint="eastAsia" w:ascii="宋体" w:hAnsi="宋体" w:cs="宋体"/>
          <w:sz w:val="24"/>
          <w:szCs w:val="24"/>
          <w:lang w:bidi="ar"/>
        </w:rPr>
        <w:t>（三）招标文件的澄清或者修改</w:t>
      </w:r>
    </w:p>
    <w:p w14:paraId="70C52F95">
      <w:pPr>
        <w:spacing w:line="360" w:lineRule="auto"/>
        <w:ind w:firstLine="480"/>
        <w:rPr>
          <w:rFonts w:ascii="宋体" w:hAnsi="宋体" w:cs="宋体"/>
          <w:sz w:val="24"/>
          <w:szCs w:val="24"/>
        </w:rPr>
      </w:pPr>
      <w:r>
        <w:rPr>
          <w:rFonts w:hint="eastAsia" w:ascii="宋体" w:hAnsi="宋体" w:cs="宋体"/>
          <w:sz w:val="24"/>
          <w:szCs w:val="24"/>
          <w:lang w:bidi="ar"/>
        </w:rPr>
        <w:t>采购代理机构可以对已发出的招标文件进行必要的澄清或者修改。澄清或者修改的内容以所发布的本项目的“更正（澄清）公告”的形式通知所有获取招标文件的潜在</w:t>
      </w:r>
      <w:r>
        <w:rPr>
          <w:rFonts w:hint="eastAsia" w:ascii="宋体" w:hAnsi="宋体" w:cs="宋体"/>
          <w:sz w:val="24"/>
          <w:szCs w:val="24"/>
          <w:lang w:eastAsia="zh-CN" w:bidi="ar"/>
        </w:rPr>
        <w:t>供应商</w:t>
      </w:r>
      <w:r>
        <w:rPr>
          <w:rFonts w:hint="eastAsia" w:ascii="宋体" w:hAnsi="宋体" w:cs="宋体"/>
          <w:sz w:val="24"/>
          <w:szCs w:val="24"/>
          <w:lang w:bidi="ar"/>
        </w:rPr>
        <w:t>。发布本项目的“更正（澄清）公告”后采购代理机构已尽通知义务。敬请各潜在</w:t>
      </w:r>
      <w:r>
        <w:rPr>
          <w:rFonts w:hint="eastAsia" w:ascii="宋体" w:hAnsi="宋体" w:cs="宋体"/>
          <w:sz w:val="24"/>
          <w:szCs w:val="24"/>
          <w:lang w:eastAsia="zh-CN" w:bidi="ar"/>
        </w:rPr>
        <w:t>供应商</w:t>
      </w:r>
      <w:r>
        <w:rPr>
          <w:rFonts w:hint="eastAsia" w:ascii="宋体" w:hAnsi="宋体" w:cs="宋体"/>
          <w:sz w:val="24"/>
          <w:szCs w:val="24"/>
          <w:lang w:bidi="ar"/>
        </w:rPr>
        <w:t>关注本项目的“更正（澄清）公告”，并通过“苏采云”系统重新下载更正（澄清）后的采购文件（后缀名为“.kedt”），离线编制投标文件，否则，将自行承担相应的风险。</w:t>
      </w:r>
    </w:p>
    <w:p w14:paraId="56E57FE2">
      <w:pPr>
        <w:spacing w:line="360" w:lineRule="auto"/>
        <w:rPr>
          <w:rFonts w:ascii="宋体" w:hAnsi="宋体" w:cs="宋体"/>
          <w:sz w:val="24"/>
          <w:szCs w:val="24"/>
        </w:rPr>
      </w:pPr>
      <w:r>
        <w:rPr>
          <w:rFonts w:hint="eastAsia" w:ascii="宋体" w:hAnsi="宋体" w:cs="宋体"/>
          <w:sz w:val="24"/>
          <w:szCs w:val="24"/>
          <w:lang w:bidi="ar"/>
        </w:rPr>
        <w:t>（四）终止招标</w:t>
      </w:r>
    </w:p>
    <w:p w14:paraId="1F36A73D">
      <w:pPr>
        <w:spacing w:line="360" w:lineRule="auto"/>
        <w:ind w:firstLine="480"/>
        <w:rPr>
          <w:rFonts w:ascii="宋体" w:hAnsi="宋体" w:cs="宋体"/>
          <w:sz w:val="24"/>
          <w:szCs w:val="24"/>
        </w:rPr>
      </w:pPr>
      <w:r>
        <w:rPr>
          <w:rFonts w:hint="eastAsia" w:ascii="宋体" w:hAnsi="宋体" w:cs="宋体"/>
          <w:sz w:val="24"/>
          <w:szCs w:val="24"/>
          <w:lang w:bidi="ar"/>
        </w:rPr>
        <w:t>终止招标的，采购代理机构应当及时在原公告发布媒体上发布终止公告，以“终止公告”的形式通知已经获取招标文件的潜在</w:t>
      </w:r>
      <w:r>
        <w:rPr>
          <w:rFonts w:hint="eastAsia" w:ascii="宋体" w:hAnsi="宋体" w:cs="宋体"/>
          <w:sz w:val="24"/>
          <w:szCs w:val="24"/>
          <w:lang w:eastAsia="zh-CN" w:bidi="ar"/>
        </w:rPr>
        <w:t>供应商</w:t>
      </w:r>
      <w:r>
        <w:rPr>
          <w:rFonts w:hint="eastAsia" w:ascii="宋体" w:hAnsi="宋体" w:cs="宋体"/>
          <w:sz w:val="24"/>
          <w:szCs w:val="24"/>
          <w:lang w:bidi="ar"/>
        </w:rPr>
        <w:t>，发布本项目的“终止公告”后采购代理机构已尽通知义务。敬请各潜在</w:t>
      </w:r>
      <w:r>
        <w:rPr>
          <w:rFonts w:hint="eastAsia" w:ascii="宋体" w:hAnsi="宋体" w:cs="宋体"/>
          <w:sz w:val="24"/>
          <w:szCs w:val="24"/>
          <w:lang w:eastAsia="zh-CN" w:bidi="ar"/>
        </w:rPr>
        <w:t>供应商</w:t>
      </w:r>
      <w:r>
        <w:rPr>
          <w:rFonts w:hint="eastAsia" w:ascii="宋体" w:hAnsi="宋体" w:cs="宋体"/>
          <w:sz w:val="24"/>
          <w:szCs w:val="24"/>
          <w:lang w:bidi="ar"/>
        </w:rPr>
        <w:t>关注本项目的“终止公告”，否则，将自行承担相应的风险。</w:t>
      </w:r>
    </w:p>
    <w:p w14:paraId="001CD7F9">
      <w:pPr>
        <w:spacing w:line="360" w:lineRule="auto"/>
        <w:rPr>
          <w:rFonts w:ascii="宋体" w:hAnsi="宋体" w:cs="宋体"/>
          <w:sz w:val="24"/>
          <w:szCs w:val="24"/>
        </w:rPr>
      </w:pPr>
      <w:r>
        <w:rPr>
          <w:rFonts w:hint="eastAsia" w:ascii="宋体" w:hAnsi="宋体" w:cs="宋体"/>
          <w:sz w:val="24"/>
          <w:szCs w:val="24"/>
          <w:lang w:bidi="ar"/>
        </w:rPr>
        <w:t>（五）说明</w:t>
      </w:r>
    </w:p>
    <w:p w14:paraId="00D8B8B6">
      <w:pPr>
        <w:spacing w:line="360" w:lineRule="auto"/>
        <w:rPr>
          <w:rFonts w:ascii="宋体" w:hAnsi="宋体" w:cs="宋体"/>
          <w:sz w:val="24"/>
          <w:szCs w:val="24"/>
        </w:rPr>
      </w:pPr>
      <w:r>
        <w:rPr>
          <w:rFonts w:hint="eastAsia" w:ascii="宋体" w:hAnsi="宋体" w:cs="宋体"/>
          <w:sz w:val="24"/>
          <w:szCs w:val="24"/>
          <w:lang w:bidi="ar"/>
        </w:rPr>
        <w:t>1、本项目不接受联合体参与采购活动，成交后不得转包或分包。</w:t>
      </w:r>
    </w:p>
    <w:p w14:paraId="733DD1DE">
      <w:pPr>
        <w:spacing w:line="360" w:lineRule="auto"/>
        <w:rPr>
          <w:rFonts w:ascii="宋体" w:hAnsi="宋体" w:cs="宋体"/>
          <w:sz w:val="24"/>
          <w:szCs w:val="24"/>
        </w:rPr>
      </w:pPr>
      <w:r>
        <w:rPr>
          <w:rFonts w:hint="eastAsia" w:ascii="宋体" w:hAnsi="宋体" w:cs="宋体"/>
          <w:sz w:val="24"/>
          <w:szCs w:val="24"/>
          <w:lang w:bidi="ar"/>
        </w:rPr>
        <w:t>2、单位负责人为同一人或者存在直接控股、管理关系的不同供应商，不得参加同一合同项下的政府采购活动。</w:t>
      </w:r>
    </w:p>
    <w:p w14:paraId="37B119EC">
      <w:pPr>
        <w:spacing w:line="360" w:lineRule="auto"/>
        <w:rPr>
          <w:rFonts w:ascii="宋体" w:hAnsi="宋体" w:cs="宋体"/>
          <w:sz w:val="24"/>
          <w:szCs w:val="24"/>
        </w:rPr>
      </w:pPr>
      <w:r>
        <w:rPr>
          <w:rFonts w:hint="eastAsia" w:ascii="宋体" w:hAnsi="宋体" w:cs="宋体"/>
          <w:sz w:val="24"/>
          <w:szCs w:val="24"/>
          <w:lang w:bidi="ar"/>
        </w:rPr>
        <w:t>3、为本采购项目提供整体设计、规范编制或者项目管理、监理、检测等服务的供应商，不得再参加本采购项目的采购活动。  </w:t>
      </w:r>
    </w:p>
    <w:p w14:paraId="7B17698F">
      <w:pPr>
        <w:spacing w:line="360" w:lineRule="auto"/>
        <w:rPr>
          <w:rFonts w:ascii="宋体" w:hAnsi="宋体" w:cs="宋体"/>
          <w:sz w:val="24"/>
          <w:szCs w:val="24"/>
        </w:rPr>
      </w:pPr>
      <w:r>
        <w:rPr>
          <w:rFonts w:hint="eastAsia" w:ascii="宋体" w:hAnsi="宋体" w:cs="宋体"/>
          <w:sz w:val="24"/>
          <w:szCs w:val="24"/>
          <w:lang w:bidi="ar"/>
        </w:rPr>
        <w:t>(六)采购项目需要落实的政府采购政策</w:t>
      </w:r>
    </w:p>
    <w:p w14:paraId="6BC216F5">
      <w:pPr>
        <w:spacing w:line="360" w:lineRule="auto"/>
        <w:ind w:firstLine="480"/>
        <w:rPr>
          <w:rFonts w:ascii="宋体" w:hAnsi="宋体" w:cs="宋体"/>
          <w:sz w:val="24"/>
          <w:szCs w:val="24"/>
        </w:rPr>
      </w:pPr>
      <w:r>
        <w:rPr>
          <w:rFonts w:hint="eastAsia" w:ascii="宋体" w:hAnsi="宋体" w:cs="宋体"/>
          <w:sz w:val="24"/>
          <w:szCs w:val="24"/>
          <w:lang w:bidi="ar"/>
        </w:rPr>
        <w:t>政府采购促进中小企业发展；促进残疾人就业政府采购政策；政府采购支持监狱企业发展等。</w:t>
      </w:r>
    </w:p>
    <w:p w14:paraId="649213B2">
      <w:pPr>
        <w:spacing w:line="360" w:lineRule="auto"/>
        <w:rPr>
          <w:rFonts w:ascii="宋体" w:hAnsi="宋体" w:cs="宋体"/>
          <w:sz w:val="24"/>
          <w:szCs w:val="24"/>
        </w:rPr>
      </w:pPr>
      <w:r>
        <w:rPr>
          <w:rFonts w:hint="eastAsia" w:ascii="宋体" w:hAnsi="宋体" w:cs="宋体"/>
          <w:sz w:val="24"/>
          <w:szCs w:val="24"/>
          <w:lang w:bidi="ar"/>
        </w:rPr>
        <w:t>(七)特别说明</w:t>
      </w:r>
    </w:p>
    <w:p w14:paraId="75D8061A">
      <w:pPr>
        <w:spacing w:line="360" w:lineRule="auto"/>
        <w:ind w:firstLine="480"/>
        <w:rPr>
          <w:rFonts w:hint="eastAsia" w:ascii="宋体" w:hAnsi="宋体" w:cs="宋体"/>
          <w:sz w:val="24"/>
          <w:szCs w:val="24"/>
          <w:lang w:eastAsia="zh-CN" w:bidi="ar"/>
        </w:rPr>
      </w:pPr>
      <w:r>
        <w:rPr>
          <w:rFonts w:hint="eastAsia" w:ascii="宋体" w:hAnsi="宋体" w:cs="宋体"/>
          <w:sz w:val="24"/>
          <w:szCs w:val="24"/>
          <w:lang w:bidi="ar"/>
        </w:rPr>
        <w:t>本项目采用远程不见面开标方式</w:t>
      </w:r>
      <w:r>
        <w:rPr>
          <w:rFonts w:hint="eastAsia" w:ascii="宋体" w:hAnsi="宋体" w:cs="宋体"/>
          <w:sz w:val="24"/>
          <w:szCs w:val="24"/>
          <w:lang w:eastAsia="zh-CN" w:bidi="ar"/>
        </w:rPr>
        <w:t>。</w:t>
      </w:r>
    </w:p>
    <w:p w14:paraId="455C884E">
      <w:pPr>
        <w:spacing w:line="360" w:lineRule="auto"/>
        <w:rPr>
          <w:rFonts w:hint="default" w:ascii="宋体" w:hAnsi="宋体" w:eastAsia="宋体" w:cs="宋体"/>
          <w:sz w:val="24"/>
          <w:szCs w:val="24"/>
          <w:lang w:val="en-US" w:eastAsia="zh-CN"/>
        </w:rPr>
      </w:pPr>
      <w:r>
        <w:rPr>
          <w:rFonts w:hint="eastAsia" w:ascii="宋体" w:hAnsi="宋体" w:cs="宋体"/>
          <w:sz w:val="24"/>
          <w:szCs w:val="24"/>
          <w:lang w:bidi="ar"/>
        </w:rPr>
        <w:t>(</w:t>
      </w:r>
      <w:r>
        <w:rPr>
          <w:rFonts w:hint="eastAsia" w:ascii="宋体" w:hAnsi="宋体" w:cs="宋体"/>
          <w:sz w:val="24"/>
          <w:szCs w:val="24"/>
          <w:lang w:val="en-US" w:eastAsia="zh-CN" w:bidi="ar"/>
        </w:rPr>
        <w:t>八</w:t>
      </w:r>
      <w:r>
        <w:rPr>
          <w:rFonts w:hint="eastAsia" w:ascii="宋体" w:hAnsi="宋体" w:cs="宋体"/>
          <w:sz w:val="24"/>
          <w:szCs w:val="24"/>
          <w:lang w:bidi="ar"/>
        </w:rPr>
        <w:t>)</w:t>
      </w:r>
      <w:r>
        <w:rPr>
          <w:rFonts w:hint="eastAsia" w:ascii="宋体" w:hAnsi="宋体" w:cs="宋体"/>
          <w:sz w:val="24"/>
          <w:szCs w:val="24"/>
          <w:lang w:val="en-US" w:eastAsia="zh-CN" w:bidi="ar"/>
        </w:rPr>
        <w:t>采购意向连接：</w:t>
      </w:r>
    </w:p>
    <w:p w14:paraId="21387570">
      <w:pPr>
        <w:spacing w:line="360" w:lineRule="auto"/>
        <w:ind w:firstLine="480"/>
      </w:pPr>
      <w:r>
        <w:rPr>
          <w:rFonts w:hint="eastAsia" w:ascii="宋体" w:hAnsi="宋体" w:cs="宋体"/>
          <w:sz w:val="24"/>
          <w:szCs w:val="24"/>
          <w:lang w:val="en-US" w:eastAsia="zh-CN" w:bidi="ar"/>
        </w:rPr>
        <w:t>http://218.3.177.171:8088/Home/HomeDetails?type=cgyx&amp;articleid=7eb7c008-ac7c-4ae0-a334-0d462aae0880</w:t>
      </w:r>
    </w:p>
    <w:p w14:paraId="57CAD438">
      <w:pPr>
        <w:pStyle w:val="54"/>
        <w:keepNext w:val="0"/>
        <w:keepLines w:val="0"/>
        <w:pageBreakBefore w:val="0"/>
        <w:spacing w:before="0" w:after="0" w:line="360" w:lineRule="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val="0"/>
          <w:color w:val="000000" w:themeColor="text1"/>
          <w:sz w:val="24"/>
          <w:szCs w:val="24"/>
          <w:highlight w:val="none"/>
          <w14:textFill>
            <w14:solidFill>
              <w14:schemeClr w14:val="tx1"/>
            </w14:solidFill>
          </w14:textFill>
        </w:rPr>
        <w:t>、凡对本次采购提出询问，请按以下方式联系。</w:t>
      </w:r>
    </w:p>
    <w:p w14:paraId="24CE76EB">
      <w:pPr>
        <w:pStyle w:val="49"/>
        <w:keepNext w:val="0"/>
        <w:keepLines w:val="0"/>
        <w:pageBreakBefore w:val="0"/>
        <w:spacing w:line="360" w:lineRule="auto"/>
        <w:ind w:firstLine="480"/>
        <w:rPr>
          <w:rFonts w:hint="eastAsia" w:ascii="宋体" w:hAnsi="宋体" w:eastAsia="宋体" w:cs="宋体"/>
          <w:color w:val="000000" w:themeColor="text1"/>
          <w:sz w:val="24"/>
          <w:szCs w:val="24"/>
          <w:highlight w:val="none"/>
          <w:lang w:bidi="en-US"/>
          <w14:textFill>
            <w14:solidFill>
              <w14:schemeClr w14:val="tx1"/>
            </w14:solidFill>
          </w14:textFill>
        </w:rPr>
      </w:pPr>
      <w:r>
        <w:rPr>
          <w:rFonts w:hint="eastAsia" w:ascii="宋体" w:hAnsi="宋体" w:eastAsia="宋体" w:cs="宋体"/>
          <w:color w:val="000000" w:themeColor="text1"/>
          <w:sz w:val="24"/>
          <w:szCs w:val="24"/>
          <w:highlight w:val="none"/>
          <w:lang w:bidi="en-US"/>
          <w14:textFill>
            <w14:solidFill>
              <w14:schemeClr w14:val="tx1"/>
            </w14:solidFill>
          </w14:textFill>
        </w:rPr>
        <w:t>1.采购人信息</w:t>
      </w:r>
    </w:p>
    <w:p w14:paraId="1032EFA6">
      <w:pPr>
        <w:pStyle w:val="49"/>
        <w:keepNext w:val="0"/>
        <w:keepLines w:val="0"/>
        <w:pageBreakBefore w:val="0"/>
        <w:spacing w:line="360" w:lineRule="auto"/>
        <w:ind w:firstLine="480"/>
        <w:rPr>
          <w:rFonts w:hint="eastAsia" w:ascii="宋体" w:hAnsi="宋体" w:eastAsia="宋体" w:cs="宋体"/>
          <w:color w:val="000000" w:themeColor="text1"/>
          <w:sz w:val="24"/>
          <w:szCs w:val="24"/>
          <w:highlight w:val="none"/>
          <w:lang w:bidi="en-US"/>
          <w14:textFill>
            <w14:solidFill>
              <w14:schemeClr w14:val="tx1"/>
            </w14:solidFill>
          </w14:textFill>
        </w:rPr>
      </w:pPr>
      <w:r>
        <w:rPr>
          <w:rFonts w:hint="eastAsia" w:ascii="宋体" w:hAnsi="宋体" w:eastAsia="宋体" w:cs="宋体"/>
          <w:color w:val="000000" w:themeColor="text1"/>
          <w:sz w:val="24"/>
          <w:szCs w:val="24"/>
          <w:highlight w:val="none"/>
          <w:lang w:bidi="en-US"/>
          <w14:textFill>
            <w14:solidFill>
              <w14:schemeClr w14:val="tx1"/>
            </w14:solidFill>
          </w14:textFill>
        </w:rPr>
        <w:t>名称：</w:t>
      </w:r>
      <w:r>
        <w:rPr>
          <w:rFonts w:hint="eastAsia" w:ascii="宋体" w:hAnsi="宋体" w:cs="宋体"/>
          <w:color w:val="000000" w:themeColor="text1"/>
          <w:sz w:val="24"/>
          <w:szCs w:val="24"/>
          <w:highlight w:val="none"/>
          <w:lang w:eastAsia="zh-CN" w:bidi="en-US"/>
          <w14:textFill>
            <w14:solidFill>
              <w14:schemeClr w14:val="tx1"/>
            </w14:solidFill>
          </w14:textFill>
        </w:rPr>
        <w:t>新沂市时集镇人民政府</w:t>
      </w:r>
    </w:p>
    <w:p w14:paraId="076CEBCF">
      <w:pPr>
        <w:pStyle w:val="49"/>
        <w:keepNext w:val="0"/>
        <w:keepLines w:val="0"/>
        <w:pageBreakBefore w:val="0"/>
        <w:spacing w:line="360" w:lineRule="auto"/>
        <w:ind w:firstLine="480"/>
        <w:rPr>
          <w:rFonts w:hint="eastAsia" w:ascii="宋体" w:hAnsi="宋体" w:eastAsia="宋体" w:cs="宋体"/>
          <w:color w:val="000000" w:themeColor="text1"/>
          <w:sz w:val="24"/>
          <w:szCs w:val="24"/>
          <w:highlight w:val="none"/>
          <w:lang w:bidi="en-US"/>
          <w14:textFill>
            <w14:solidFill>
              <w14:schemeClr w14:val="tx1"/>
            </w14:solidFill>
          </w14:textFill>
        </w:rPr>
      </w:pPr>
      <w:r>
        <w:rPr>
          <w:rFonts w:hint="eastAsia" w:ascii="宋体" w:hAnsi="宋体" w:eastAsia="宋体" w:cs="宋体"/>
          <w:color w:val="000000" w:themeColor="text1"/>
          <w:sz w:val="24"/>
          <w:szCs w:val="24"/>
          <w:highlight w:val="none"/>
          <w:lang w:bidi="en-US"/>
          <w14:textFill>
            <w14:solidFill>
              <w14:schemeClr w14:val="tx1"/>
            </w14:solidFill>
          </w14:textFill>
        </w:rPr>
        <w:t>地址：</w:t>
      </w:r>
      <w:r>
        <w:rPr>
          <w:rFonts w:hint="eastAsia" w:ascii="宋体" w:hAnsi="宋体" w:cs="宋体"/>
          <w:color w:val="000000" w:themeColor="text1"/>
          <w:sz w:val="24"/>
          <w:szCs w:val="24"/>
          <w:highlight w:val="none"/>
          <w:lang w:eastAsia="zh-CN" w:bidi="en-US"/>
          <w14:textFill>
            <w14:solidFill>
              <w14:schemeClr w14:val="tx1"/>
            </w14:solidFill>
          </w14:textFill>
        </w:rPr>
        <w:t>新沂市时集镇迎宾路</w:t>
      </w:r>
    </w:p>
    <w:p w14:paraId="26DA8418">
      <w:pPr>
        <w:pStyle w:val="49"/>
        <w:keepNext w:val="0"/>
        <w:keepLines w:val="0"/>
        <w:pageBreakBefore w:val="0"/>
        <w:spacing w:line="360" w:lineRule="auto"/>
        <w:ind w:firstLine="480"/>
        <w:rPr>
          <w:rFonts w:hint="default" w:ascii="宋体" w:hAnsi="宋体" w:eastAsia="宋体" w:cs="宋体"/>
          <w:color w:val="000000" w:themeColor="text1"/>
          <w:sz w:val="24"/>
          <w:szCs w:val="24"/>
          <w:highlight w:val="none"/>
          <w:lang w:val="en-US" w:eastAsia="zh-CN" w:bidi="en-US"/>
          <w14:textFill>
            <w14:solidFill>
              <w14:schemeClr w14:val="tx1"/>
            </w14:solidFill>
          </w14:textFill>
        </w:rPr>
      </w:pPr>
      <w:r>
        <w:rPr>
          <w:rFonts w:hint="eastAsia" w:ascii="宋体" w:hAnsi="宋体" w:cs="宋体"/>
          <w:color w:val="000000" w:themeColor="text1"/>
          <w:sz w:val="24"/>
          <w:szCs w:val="24"/>
          <w:highlight w:val="none"/>
          <w:lang w:val="en-US" w:eastAsia="zh-CN" w:bidi="en-US"/>
          <w14:textFill>
            <w14:solidFill>
              <w14:schemeClr w14:val="tx1"/>
            </w14:solidFill>
          </w14:textFill>
        </w:rPr>
        <w:t>联系人：闫钊毅</w:t>
      </w:r>
    </w:p>
    <w:p w14:paraId="502F3158">
      <w:pPr>
        <w:pStyle w:val="49"/>
        <w:keepNext w:val="0"/>
        <w:keepLines w:val="0"/>
        <w:pageBreakBefore w:val="0"/>
        <w:spacing w:line="360" w:lineRule="auto"/>
        <w:ind w:firstLine="480"/>
        <w:rPr>
          <w:rFonts w:hint="default" w:ascii="宋体" w:hAnsi="宋体" w:eastAsia="宋体" w:cs="宋体"/>
          <w:color w:val="000000" w:themeColor="text1"/>
          <w:sz w:val="24"/>
          <w:szCs w:val="24"/>
          <w:highlight w:val="none"/>
          <w:lang w:val="en-US" w:eastAsia="zh-CN" w:bidi="en-US"/>
          <w14:textFill>
            <w14:solidFill>
              <w14:schemeClr w14:val="tx1"/>
            </w14:solidFill>
          </w14:textFill>
        </w:rPr>
      </w:pPr>
      <w:r>
        <w:rPr>
          <w:rFonts w:hint="eastAsia" w:ascii="宋体" w:hAnsi="宋体" w:eastAsia="宋体" w:cs="宋体"/>
          <w:color w:val="000000" w:themeColor="text1"/>
          <w:sz w:val="24"/>
          <w:szCs w:val="24"/>
          <w:highlight w:val="none"/>
          <w:lang w:bidi="en-US"/>
          <w14:textFill>
            <w14:solidFill>
              <w14:schemeClr w14:val="tx1"/>
            </w14:solidFill>
          </w14:textFill>
        </w:rPr>
        <w:t>联系方式：</w:t>
      </w:r>
      <w:r>
        <w:rPr>
          <w:rFonts w:hint="eastAsia" w:ascii="宋体" w:hAnsi="宋体" w:cs="宋体"/>
          <w:color w:val="000000" w:themeColor="text1"/>
          <w:sz w:val="24"/>
          <w:szCs w:val="24"/>
          <w:highlight w:val="none"/>
          <w:lang w:val="en-US" w:eastAsia="zh-CN" w:bidi="en-US"/>
          <w14:textFill>
            <w14:solidFill>
              <w14:schemeClr w14:val="tx1"/>
            </w14:solidFill>
          </w14:textFill>
        </w:rPr>
        <w:t>15298741234</w:t>
      </w:r>
    </w:p>
    <w:p w14:paraId="707D0419">
      <w:pPr>
        <w:pStyle w:val="49"/>
        <w:keepNext w:val="0"/>
        <w:keepLines w:val="0"/>
        <w:pageBreakBefore w:val="0"/>
        <w:spacing w:line="360" w:lineRule="auto"/>
        <w:ind w:firstLine="480"/>
        <w:rPr>
          <w:rFonts w:hint="eastAsia" w:ascii="宋体" w:hAnsi="宋体" w:eastAsia="宋体" w:cs="宋体"/>
          <w:color w:val="000000" w:themeColor="text1"/>
          <w:sz w:val="24"/>
          <w:szCs w:val="24"/>
          <w:highlight w:val="none"/>
          <w:lang w:bidi="en-US"/>
          <w14:textFill>
            <w14:solidFill>
              <w14:schemeClr w14:val="tx1"/>
            </w14:solidFill>
          </w14:textFill>
        </w:rPr>
      </w:pPr>
      <w:r>
        <w:rPr>
          <w:rFonts w:hint="eastAsia" w:ascii="宋体" w:hAnsi="宋体" w:eastAsia="宋体" w:cs="宋体"/>
          <w:color w:val="000000" w:themeColor="text1"/>
          <w:sz w:val="24"/>
          <w:szCs w:val="24"/>
          <w:highlight w:val="none"/>
          <w:lang w:bidi="en-US"/>
          <w14:textFill>
            <w14:solidFill>
              <w14:schemeClr w14:val="tx1"/>
            </w14:solidFill>
          </w14:textFill>
        </w:rPr>
        <w:t>2.采购代理机构信息</w:t>
      </w:r>
    </w:p>
    <w:p w14:paraId="3630A33E">
      <w:pPr>
        <w:pStyle w:val="49"/>
        <w:keepNext w:val="0"/>
        <w:keepLines w:val="0"/>
        <w:pageBreakBefore w:val="0"/>
        <w:spacing w:line="360" w:lineRule="auto"/>
        <w:ind w:firstLine="480"/>
        <w:rPr>
          <w:rFonts w:hint="eastAsia" w:ascii="宋体" w:hAnsi="宋体" w:eastAsia="宋体" w:cs="宋体"/>
          <w:color w:val="000000" w:themeColor="text1"/>
          <w:sz w:val="24"/>
          <w:szCs w:val="24"/>
          <w:highlight w:val="none"/>
          <w:lang w:eastAsia="zh-CN" w:bidi="en-US"/>
          <w14:textFill>
            <w14:solidFill>
              <w14:schemeClr w14:val="tx1"/>
            </w14:solidFill>
          </w14:textFill>
        </w:rPr>
      </w:pPr>
      <w:r>
        <w:rPr>
          <w:rFonts w:hint="eastAsia" w:ascii="宋体" w:hAnsi="宋体" w:eastAsia="宋体" w:cs="宋体"/>
          <w:color w:val="000000" w:themeColor="text1"/>
          <w:sz w:val="24"/>
          <w:szCs w:val="24"/>
          <w:highlight w:val="none"/>
          <w:lang w:bidi="en-US"/>
          <w14:textFill>
            <w14:solidFill>
              <w14:schemeClr w14:val="tx1"/>
            </w14:solidFill>
          </w14:textFill>
        </w:rPr>
        <w:t>名称：</w:t>
      </w:r>
      <w:r>
        <w:rPr>
          <w:rFonts w:hint="eastAsia" w:ascii="宋体" w:hAnsi="宋体" w:cs="宋体"/>
          <w:color w:val="000000" w:themeColor="text1"/>
          <w:sz w:val="24"/>
          <w:szCs w:val="24"/>
          <w:highlight w:val="none"/>
          <w:lang w:eastAsia="zh-CN" w:bidi="en-US"/>
          <w14:textFill>
            <w14:solidFill>
              <w14:schemeClr w14:val="tx1"/>
            </w14:solidFill>
          </w14:textFill>
        </w:rPr>
        <w:t>南京信诺工程造价咨询有限责任公司</w:t>
      </w:r>
    </w:p>
    <w:p w14:paraId="5BE9CDB1">
      <w:pPr>
        <w:pStyle w:val="49"/>
        <w:keepNext w:val="0"/>
        <w:keepLines w:val="0"/>
        <w:pageBreakBefore w:val="0"/>
        <w:spacing w:line="360" w:lineRule="auto"/>
        <w:ind w:firstLine="480"/>
        <w:rPr>
          <w:rFonts w:hint="eastAsia" w:ascii="宋体" w:hAnsi="宋体" w:eastAsia="宋体" w:cs="宋体"/>
          <w:color w:val="000000" w:themeColor="text1"/>
          <w:sz w:val="24"/>
          <w:szCs w:val="24"/>
          <w:highlight w:val="none"/>
          <w:lang w:val="en-US" w:eastAsia="zh-CN" w:bidi="en-US"/>
          <w14:textFill>
            <w14:solidFill>
              <w14:schemeClr w14:val="tx1"/>
            </w14:solidFill>
          </w14:textFill>
        </w:rPr>
      </w:pPr>
      <w:r>
        <w:rPr>
          <w:rFonts w:hint="eastAsia" w:ascii="宋体" w:hAnsi="宋体" w:eastAsia="宋体" w:cs="宋体"/>
          <w:color w:val="000000" w:themeColor="text1"/>
          <w:sz w:val="24"/>
          <w:szCs w:val="24"/>
          <w:highlight w:val="none"/>
          <w:lang w:bidi="en-US"/>
          <w14:textFill>
            <w14:solidFill>
              <w14:schemeClr w14:val="tx1"/>
            </w14:solidFill>
          </w14:textFill>
        </w:rPr>
        <w:t>地址：</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新沂市黄沭路19-</w:t>
      </w:r>
      <w:r>
        <w:rPr>
          <w:rFonts w:hint="eastAsia" w:ascii="宋体" w:hAnsi="宋体" w:cs="宋体"/>
          <w:color w:val="000000" w:themeColor="text1"/>
          <w:sz w:val="24"/>
          <w:szCs w:val="24"/>
          <w:highlight w:val="none"/>
          <w:lang w:val="en-US" w:eastAsia="zh-CN" w:bidi="en-US"/>
          <w14:textFill>
            <w14:solidFill>
              <w14:schemeClr w14:val="tx1"/>
            </w14:solidFill>
          </w14:textFill>
        </w:rPr>
        <w:t>3</w:t>
      </w:r>
      <w:r>
        <w:rPr>
          <w:rFonts w:hint="eastAsia" w:ascii="宋体" w:hAnsi="宋体" w:eastAsia="宋体" w:cs="宋体"/>
          <w:color w:val="000000" w:themeColor="text1"/>
          <w:sz w:val="24"/>
          <w:szCs w:val="24"/>
          <w:highlight w:val="none"/>
          <w:lang w:val="en-US" w:eastAsia="zh-CN" w:bidi="en-US"/>
          <w14:textFill>
            <w14:solidFill>
              <w14:schemeClr w14:val="tx1"/>
            </w14:solidFill>
          </w14:textFill>
        </w:rPr>
        <w:t>号</w:t>
      </w:r>
    </w:p>
    <w:p w14:paraId="3E6C0C93">
      <w:pPr>
        <w:pStyle w:val="49"/>
        <w:keepNext w:val="0"/>
        <w:keepLines w:val="0"/>
        <w:pageBreakBefore w:val="0"/>
        <w:spacing w:line="360" w:lineRule="auto"/>
        <w:ind w:firstLine="480"/>
        <w:rPr>
          <w:rFonts w:hint="default" w:ascii="宋体" w:hAnsi="宋体" w:eastAsia="宋体" w:cs="宋体"/>
          <w:color w:val="000000" w:themeColor="text1"/>
          <w:sz w:val="24"/>
          <w:szCs w:val="24"/>
          <w:highlight w:val="none"/>
          <w:lang w:val="en-US" w:eastAsia="zh-CN" w:bidi="en-US"/>
          <w14:textFill>
            <w14:solidFill>
              <w14:schemeClr w14:val="tx1"/>
            </w14:solidFill>
          </w14:textFill>
        </w:rPr>
      </w:pPr>
      <w:r>
        <w:rPr>
          <w:rFonts w:hint="eastAsia" w:ascii="宋体" w:hAnsi="宋体" w:eastAsia="宋体" w:cs="宋体"/>
          <w:color w:val="000000" w:themeColor="text1"/>
          <w:sz w:val="24"/>
          <w:szCs w:val="24"/>
          <w:highlight w:val="none"/>
          <w:lang w:bidi="en-US"/>
          <w14:textFill>
            <w14:solidFill>
              <w14:schemeClr w14:val="tx1"/>
            </w14:solidFill>
          </w14:textFill>
        </w:rPr>
        <w:t>联系人：</w:t>
      </w:r>
      <w:r>
        <w:rPr>
          <w:rFonts w:hint="eastAsia" w:ascii="宋体" w:hAnsi="宋体" w:cs="宋体"/>
          <w:color w:val="000000" w:themeColor="text1"/>
          <w:sz w:val="24"/>
          <w:szCs w:val="24"/>
          <w:highlight w:val="none"/>
          <w:lang w:val="en-US" w:eastAsia="zh-CN" w:bidi="en-US"/>
          <w14:textFill>
            <w14:solidFill>
              <w14:schemeClr w14:val="tx1"/>
            </w14:solidFill>
          </w14:textFill>
        </w:rPr>
        <w:t>沈溪</w:t>
      </w:r>
    </w:p>
    <w:p w14:paraId="76950A71">
      <w:pPr>
        <w:pStyle w:val="49"/>
        <w:keepNext w:val="0"/>
        <w:keepLines w:val="0"/>
        <w:pageBreakBefore w:val="0"/>
        <w:spacing w:line="360" w:lineRule="auto"/>
        <w:ind w:firstLine="480"/>
        <w:rPr>
          <w:rFonts w:hint="eastAsia" w:ascii="宋体" w:hAnsi="宋体" w:eastAsia="宋体" w:cs="宋体"/>
          <w:color w:val="000000" w:themeColor="text1"/>
          <w:sz w:val="24"/>
          <w:szCs w:val="24"/>
          <w:highlight w:val="none"/>
          <w:lang w:val="en-US" w:eastAsia="zh-CN" w:bidi="en-US"/>
          <w14:textFill>
            <w14:solidFill>
              <w14:schemeClr w14:val="tx1"/>
            </w14:solidFill>
          </w14:textFill>
        </w:rPr>
      </w:pPr>
      <w:r>
        <w:rPr>
          <w:rFonts w:hint="eastAsia" w:ascii="宋体" w:hAnsi="宋体" w:eastAsia="宋体" w:cs="宋体"/>
          <w:color w:val="000000" w:themeColor="text1"/>
          <w:sz w:val="24"/>
          <w:szCs w:val="24"/>
          <w:highlight w:val="none"/>
          <w:lang w:bidi="en-US"/>
          <w14:textFill>
            <w14:solidFill>
              <w14:schemeClr w14:val="tx1"/>
            </w14:solidFill>
          </w14:textFill>
        </w:rPr>
        <w:t>联系方式：</w:t>
      </w:r>
      <w:r>
        <w:rPr>
          <w:rFonts w:hint="eastAsia" w:ascii="宋体" w:hAnsi="宋体" w:cs="宋体"/>
          <w:color w:val="000000" w:themeColor="text1"/>
          <w:sz w:val="24"/>
          <w:szCs w:val="24"/>
          <w:highlight w:val="none"/>
          <w:lang w:val="en-US" w:eastAsia="zh-CN" w:bidi="en-US"/>
          <w14:textFill>
            <w14:solidFill>
              <w14:schemeClr w14:val="tx1"/>
            </w14:solidFill>
          </w14:textFill>
        </w:rPr>
        <w:t>15895271323</w:t>
      </w:r>
    </w:p>
    <w:p w14:paraId="653974A8">
      <w:pPr>
        <w:pStyle w:val="49"/>
        <w:keepNext w:val="0"/>
        <w:keepLines w:val="0"/>
        <w:pageBreakBefore w:val="0"/>
        <w:spacing w:line="360" w:lineRule="auto"/>
        <w:ind w:firstLine="480"/>
        <w:rPr>
          <w:rFonts w:hint="eastAsia" w:ascii="宋体" w:hAnsi="宋体" w:eastAsia="宋体" w:cs="宋体"/>
          <w:color w:val="000000" w:themeColor="text1"/>
          <w:sz w:val="24"/>
          <w:szCs w:val="24"/>
          <w:highlight w:val="none"/>
          <w:lang w:bidi="en-US"/>
          <w14:textFill>
            <w14:solidFill>
              <w14:schemeClr w14:val="tx1"/>
            </w14:solidFill>
          </w14:textFill>
        </w:rPr>
      </w:pPr>
      <w:r>
        <w:rPr>
          <w:rFonts w:hint="eastAsia" w:ascii="宋体" w:hAnsi="宋体" w:eastAsia="宋体" w:cs="宋体"/>
          <w:color w:val="000000" w:themeColor="text1"/>
          <w:sz w:val="24"/>
          <w:szCs w:val="24"/>
          <w:highlight w:val="none"/>
          <w:lang w:bidi="en-US"/>
          <w14:textFill>
            <w14:solidFill>
              <w14:schemeClr w14:val="tx1"/>
            </w14:solidFill>
          </w14:textFill>
        </w:rPr>
        <w:t>3.项目联系方式</w:t>
      </w:r>
    </w:p>
    <w:p w14:paraId="1186C989">
      <w:pPr>
        <w:pStyle w:val="49"/>
        <w:keepNext w:val="0"/>
        <w:keepLines w:val="0"/>
        <w:pageBreakBefore w:val="0"/>
        <w:spacing w:line="360" w:lineRule="auto"/>
        <w:ind w:firstLine="480"/>
        <w:rPr>
          <w:rFonts w:hint="eastAsia" w:ascii="宋体" w:hAnsi="宋体" w:eastAsia="宋体" w:cs="宋体"/>
          <w:color w:val="000000" w:themeColor="text1"/>
          <w:sz w:val="24"/>
          <w:szCs w:val="24"/>
          <w:highlight w:val="none"/>
          <w:lang w:bidi="en-US"/>
          <w14:textFill>
            <w14:solidFill>
              <w14:schemeClr w14:val="tx1"/>
            </w14:solidFill>
          </w14:textFill>
        </w:rPr>
      </w:pPr>
      <w:r>
        <w:rPr>
          <w:rFonts w:hint="eastAsia" w:ascii="宋体" w:hAnsi="宋体" w:eastAsia="宋体" w:cs="宋体"/>
          <w:color w:val="000000" w:themeColor="text1"/>
          <w:sz w:val="24"/>
          <w:szCs w:val="24"/>
          <w:highlight w:val="none"/>
          <w:lang w:bidi="en-US"/>
          <w14:textFill>
            <w14:solidFill>
              <w14:schemeClr w14:val="tx1"/>
            </w14:solidFill>
          </w14:textFill>
        </w:rPr>
        <w:t>项目联系人：</w:t>
      </w:r>
      <w:r>
        <w:rPr>
          <w:rFonts w:hint="eastAsia" w:ascii="宋体" w:hAnsi="宋体" w:cs="宋体"/>
          <w:color w:val="000000" w:themeColor="text1"/>
          <w:sz w:val="24"/>
          <w:szCs w:val="24"/>
          <w:highlight w:val="none"/>
          <w:lang w:val="en-US" w:eastAsia="zh-CN" w:bidi="en-US"/>
          <w14:textFill>
            <w14:solidFill>
              <w14:schemeClr w14:val="tx1"/>
            </w14:solidFill>
          </w14:textFill>
        </w:rPr>
        <w:t>沈溪</w:t>
      </w:r>
    </w:p>
    <w:p w14:paraId="6B682E98">
      <w:pPr>
        <w:pStyle w:val="49"/>
        <w:keepNext w:val="0"/>
        <w:keepLines w:val="0"/>
        <w:pageBreakBefore w:val="0"/>
        <w:spacing w:line="360" w:lineRule="auto"/>
        <w:ind w:firstLine="480"/>
        <w:rPr>
          <w:rFonts w:hint="eastAsia"/>
        </w:rPr>
      </w:pPr>
      <w:r>
        <w:rPr>
          <w:rFonts w:hint="eastAsia" w:ascii="宋体" w:hAnsi="宋体" w:eastAsia="宋体" w:cs="宋体"/>
          <w:color w:val="000000" w:themeColor="text1"/>
          <w:sz w:val="24"/>
          <w:szCs w:val="24"/>
          <w:highlight w:val="none"/>
          <w:lang w:bidi="en-US"/>
          <w14:textFill>
            <w14:solidFill>
              <w14:schemeClr w14:val="tx1"/>
            </w14:solidFill>
          </w14:textFill>
        </w:rPr>
        <w:t>电   话：</w:t>
      </w:r>
      <w:r>
        <w:rPr>
          <w:rFonts w:hint="eastAsia" w:ascii="宋体" w:hAnsi="宋体" w:cs="宋体"/>
          <w:color w:val="000000" w:themeColor="text1"/>
          <w:sz w:val="24"/>
          <w:szCs w:val="24"/>
          <w:highlight w:val="none"/>
          <w:lang w:val="en-US" w:eastAsia="zh-CN" w:bidi="en-US"/>
          <w14:textFill>
            <w14:solidFill>
              <w14:schemeClr w14:val="tx1"/>
            </w14:solidFill>
          </w14:textFill>
        </w:rPr>
        <w:t>15895271323</w:t>
      </w:r>
      <w:bookmarkStart w:id="10" w:name="_Toc14217"/>
      <w:bookmarkStart w:id="11" w:name="_Toc23110"/>
      <w:bookmarkStart w:id="12" w:name="_Toc16945"/>
      <w:bookmarkStart w:id="13" w:name="_Toc4427"/>
      <w:bookmarkStart w:id="14" w:name="_Toc26337"/>
      <w:bookmarkStart w:id="15" w:name="_Toc18728"/>
      <w:bookmarkStart w:id="16" w:name="_Toc16522"/>
      <w:bookmarkStart w:id="17" w:name="_Toc23839"/>
      <w:bookmarkStart w:id="18" w:name="_Toc3708"/>
      <w:bookmarkStart w:id="19" w:name="_Toc14736"/>
      <w:bookmarkStart w:id="20" w:name="_Toc22062"/>
      <w:bookmarkStart w:id="21" w:name="_Toc24827"/>
      <w:bookmarkStart w:id="22" w:name="_Toc13830"/>
      <w:bookmarkStart w:id="23" w:name="_Toc25225"/>
      <w:bookmarkStart w:id="24" w:name="_Toc14940"/>
      <w:bookmarkStart w:id="25" w:name="_Toc26050"/>
      <w:bookmarkStart w:id="26" w:name="_Toc22967"/>
    </w:p>
    <w:p w14:paraId="6E53805B">
      <w:pPr>
        <w:pStyle w:val="70"/>
        <w:pageBreakBefore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第二章 招标代理服务费</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832767F">
      <w:pPr>
        <w:pStyle w:val="63"/>
        <w:pageBreakBefore w:val="0"/>
        <w:spacing w:line="360" w:lineRule="auto"/>
        <w:ind w:left="0" w:firstLine="48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成交供应商在领取成交通知书前，</w:t>
      </w:r>
      <w:r>
        <w:rPr>
          <w:rFonts w:hint="eastAsia" w:ascii="宋体" w:hAnsi="宋体" w:eastAsia="宋体" w:cs="宋体"/>
          <w:b/>
          <w:color w:val="000000" w:themeColor="text1"/>
          <w:sz w:val="24"/>
          <w:highlight w:val="none"/>
          <w:lang w:val="en-US" w:eastAsia="zh-CN"/>
          <w14:textFill>
            <w14:solidFill>
              <w14:schemeClr w14:val="tx1"/>
            </w14:solidFill>
          </w14:textFill>
        </w:rPr>
        <w:t>应</w:t>
      </w:r>
      <w:r>
        <w:rPr>
          <w:rFonts w:hint="eastAsia" w:ascii="宋体" w:hAnsi="宋体" w:eastAsia="宋体" w:cs="宋体"/>
          <w:b/>
          <w:color w:val="000000" w:themeColor="text1"/>
          <w:sz w:val="24"/>
          <w:highlight w:val="none"/>
          <w14:textFill>
            <w14:solidFill>
              <w14:schemeClr w14:val="tx1"/>
            </w14:solidFill>
          </w14:textFill>
        </w:rPr>
        <w:t>向</w:t>
      </w:r>
      <w:r>
        <w:rPr>
          <w:rFonts w:hint="eastAsia" w:ascii="宋体" w:hAnsi="宋体" w:cs="宋体"/>
          <w:b/>
          <w:color w:val="000000" w:themeColor="text1"/>
          <w:sz w:val="24"/>
          <w:highlight w:val="none"/>
          <w:lang w:eastAsia="zh-CN"/>
          <w14:textFill>
            <w14:solidFill>
              <w14:schemeClr w14:val="tx1"/>
            </w14:solidFill>
          </w14:textFill>
        </w:rPr>
        <w:t>南京信诺工程造价咨询有限责任公司</w:t>
      </w:r>
      <w:r>
        <w:rPr>
          <w:rFonts w:hint="eastAsia" w:ascii="宋体" w:hAnsi="宋体" w:eastAsia="宋体" w:cs="宋体"/>
          <w:b/>
          <w:color w:val="000000" w:themeColor="text1"/>
          <w:sz w:val="24"/>
          <w:highlight w:val="none"/>
          <w14:textFill>
            <w14:solidFill>
              <w14:schemeClr w14:val="tx1"/>
            </w14:solidFill>
          </w14:textFill>
        </w:rPr>
        <w:t>缴纳招标代理服务费，收取标准参照：</w:t>
      </w:r>
    </w:p>
    <w:p w14:paraId="5E167269">
      <w:pPr>
        <w:pStyle w:val="70"/>
        <w:pageBreakBefore w:val="0"/>
        <w:spacing w:line="360" w:lineRule="auto"/>
        <w:ind w:firstLine="1440"/>
        <w:jc w:val="both"/>
        <w:rPr>
          <w:rFonts w:hint="eastAsia" w:ascii="宋体" w:hAnsi="宋体" w:eastAsia="宋体" w:cs="宋体"/>
          <w:b/>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bidi="ar-SA"/>
          <w14:textFill>
            <w14:solidFill>
              <w14:schemeClr w14:val="tx1"/>
            </w14:solidFill>
          </w14:textFill>
        </w:rPr>
        <w:t>徐州市政府采购业务代理服务费行业指导价格标准</w:t>
      </w:r>
    </w:p>
    <w:tbl>
      <w:tblPr>
        <w:tblStyle w:val="37"/>
        <w:tblW w:w="8578"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1317"/>
        <w:gridCol w:w="1845"/>
        <w:gridCol w:w="1317"/>
        <w:gridCol w:w="1845"/>
      </w:tblGrid>
      <w:tr w14:paraId="6057AAF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4" w:type="dxa"/>
            <w:tcBorders>
              <w:top w:val="single" w:color="auto" w:sz="4" w:space="0"/>
            </w:tcBorders>
            <w:noWrap w:val="0"/>
            <w:vAlign w:val="center"/>
          </w:tcPr>
          <w:p w14:paraId="1F92F603">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bookmarkStart w:id="27" w:name="_Toc32431"/>
            <w:bookmarkStart w:id="28" w:name="_Toc4006"/>
            <w:bookmarkStart w:id="29" w:name="_Toc26407"/>
            <w:bookmarkStart w:id="30" w:name="_Toc17653"/>
            <w:bookmarkStart w:id="31" w:name="_Toc13394"/>
            <w:r>
              <w:rPr>
                <w:rFonts w:hint="eastAsia" w:ascii="宋体" w:hAnsi="宋体" w:eastAsia="宋体" w:cs="宋体"/>
                <w:color w:val="000000" w:themeColor="text1"/>
                <w:sz w:val="24"/>
                <w:highlight w:val="none"/>
                <w14:textFill>
                  <w14:solidFill>
                    <w14:schemeClr w14:val="tx1"/>
                  </w14:solidFill>
                </w14:textFill>
              </w:rPr>
              <w:t>中标金额</w:t>
            </w:r>
          </w:p>
        </w:tc>
        <w:tc>
          <w:tcPr>
            <w:tcW w:w="1317" w:type="dxa"/>
            <w:tcBorders>
              <w:top w:val="single" w:color="auto" w:sz="4" w:space="0"/>
            </w:tcBorders>
            <w:noWrap w:val="0"/>
            <w:vAlign w:val="center"/>
          </w:tcPr>
          <w:p w14:paraId="1D1FEE69">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w:t>
            </w:r>
          </w:p>
        </w:tc>
        <w:tc>
          <w:tcPr>
            <w:tcW w:w="1845" w:type="dxa"/>
            <w:tcBorders>
              <w:top w:val="single" w:color="auto" w:sz="4" w:space="0"/>
            </w:tcBorders>
            <w:noWrap w:val="0"/>
            <w:vAlign w:val="center"/>
          </w:tcPr>
          <w:p w14:paraId="0AC011B8">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w:t>
            </w:r>
          </w:p>
        </w:tc>
        <w:tc>
          <w:tcPr>
            <w:tcW w:w="1317" w:type="dxa"/>
            <w:tcBorders>
              <w:top w:val="single" w:color="auto" w:sz="4" w:space="0"/>
            </w:tcBorders>
            <w:noWrap w:val="0"/>
            <w:vAlign w:val="center"/>
          </w:tcPr>
          <w:p w14:paraId="2173D0AC">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w:t>
            </w:r>
          </w:p>
        </w:tc>
        <w:tc>
          <w:tcPr>
            <w:tcW w:w="1845" w:type="dxa"/>
            <w:tcBorders>
              <w:top w:val="single" w:color="auto" w:sz="4" w:space="0"/>
            </w:tcBorders>
            <w:noWrap w:val="0"/>
            <w:vAlign w:val="center"/>
          </w:tcPr>
          <w:p w14:paraId="469F0AF1">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收费上限</w:t>
            </w:r>
          </w:p>
        </w:tc>
      </w:tr>
      <w:tr w14:paraId="158E62A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254" w:type="dxa"/>
            <w:noWrap w:val="0"/>
            <w:vAlign w:val="center"/>
          </w:tcPr>
          <w:p w14:paraId="14AFAA41">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100万以下</w:t>
            </w:r>
          </w:p>
        </w:tc>
        <w:tc>
          <w:tcPr>
            <w:tcW w:w="1317" w:type="dxa"/>
            <w:noWrap w:val="0"/>
            <w:vAlign w:val="center"/>
          </w:tcPr>
          <w:p w14:paraId="1A88848A">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1845" w:type="dxa"/>
            <w:noWrap w:val="0"/>
            <w:vAlign w:val="center"/>
          </w:tcPr>
          <w:p w14:paraId="320B511F">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1317" w:type="dxa"/>
            <w:noWrap w:val="0"/>
            <w:vAlign w:val="center"/>
          </w:tcPr>
          <w:p w14:paraId="3F242B3D">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w:t>
            </w:r>
          </w:p>
        </w:tc>
        <w:tc>
          <w:tcPr>
            <w:tcW w:w="1845" w:type="dxa"/>
            <w:vMerge w:val="restart"/>
            <w:noWrap w:val="0"/>
            <w:vAlign w:val="center"/>
          </w:tcPr>
          <w:p w14:paraId="687013C9">
            <w:pPr>
              <w:pageBreakBefore w:val="0"/>
              <w:widowControl/>
              <w:spacing w:line="360" w:lineRule="auto"/>
              <w:ind w:firstLine="2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最低5千元</w:t>
            </w:r>
          </w:p>
          <w:p w14:paraId="459DF155">
            <w:pPr>
              <w:pageBreakBefore w:val="0"/>
              <w:widowControl/>
              <w:spacing w:line="360" w:lineRule="auto"/>
              <w:ind w:firstLine="2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最高10万元</w:t>
            </w:r>
          </w:p>
          <w:p w14:paraId="2077F665">
            <w:pPr>
              <w:pageBreakBefore w:val="0"/>
              <w:widowControl/>
              <w:spacing w:line="360" w:lineRule="auto"/>
              <w:ind w:firstLine="240"/>
              <w:rPr>
                <w:rFonts w:hint="eastAsia" w:ascii="宋体" w:hAnsi="宋体" w:eastAsia="宋体" w:cs="宋体"/>
                <w:color w:val="000000" w:themeColor="text1"/>
                <w:sz w:val="24"/>
                <w:highlight w:val="none"/>
                <w14:textFill>
                  <w14:solidFill>
                    <w14:schemeClr w14:val="tx1"/>
                  </w14:solidFill>
                </w14:textFill>
              </w:rPr>
            </w:pPr>
          </w:p>
          <w:p w14:paraId="7554868B">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（PPP项目最高1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万元）</w:t>
            </w:r>
          </w:p>
        </w:tc>
      </w:tr>
      <w:tr w14:paraId="1AB5DB1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254" w:type="dxa"/>
            <w:noWrap w:val="0"/>
            <w:vAlign w:val="center"/>
          </w:tcPr>
          <w:p w14:paraId="750077C2">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100万~500万</w:t>
            </w:r>
          </w:p>
        </w:tc>
        <w:tc>
          <w:tcPr>
            <w:tcW w:w="1317" w:type="dxa"/>
            <w:noWrap w:val="0"/>
            <w:vAlign w:val="center"/>
          </w:tcPr>
          <w:p w14:paraId="039E44A3">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w:t>
            </w:r>
          </w:p>
        </w:tc>
        <w:tc>
          <w:tcPr>
            <w:tcW w:w="1845" w:type="dxa"/>
            <w:noWrap w:val="0"/>
            <w:vAlign w:val="center"/>
          </w:tcPr>
          <w:p w14:paraId="17425644">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1317" w:type="dxa"/>
            <w:noWrap w:val="0"/>
            <w:vAlign w:val="center"/>
          </w:tcPr>
          <w:p w14:paraId="1A76A5E3">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0.70%</w:t>
            </w:r>
          </w:p>
        </w:tc>
        <w:tc>
          <w:tcPr>
            <w:tcW w:w="1845" w:type="dxa"/>
            <w:vMerge w:val="continue"/>
            <w:noWrap w:val="0"/>
            <w:vAlign w:val="center"/>
          </w:tcPr>
          <w:p w14:paraId="7C62B4C9">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EBF972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254" w:type="dxa"/>
            <w:noWrap w:val="0"/>
            <w:vAlign w:val="center"/>
          </w:tcPr>
          <w:p w14:paraId="3C9E1479">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500万~1000万</w:t>
            </w:r>
          </w:p>
        </w:tc>
        <w:tc>
          <w:tcPr>
            <w:tcW w:w="1317" w:type="dxa"/>
            <w:noWrap w:val="0"/>
            <w:vAlign w:val="center"/>
          </w:tcPr>
          <w:p w14:paraId="6C1FBA44">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1845" w:type="dxa"/>
            <w:noWrap w:val="0"/>
            <w:vAlign w:val="center"/>
          </w:tcPr>
          <w:p w14:paraId="77E7977E">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0.45%</w:t>
            </w:r>
          </w:p>
        </w:tc>
        <w:tc>
          <w:tcPr>
            <w:tcW w:w="1317" w:type="dxa"/>
            <w:noWrap w:val="0"/>
            <w:vAlign w:val="center"/>
          </w:tcPr>
          <w:p w14:paraId="5F2DC1C2">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0.55%</w:t>
            </w:r>
          </w:p>
        </w:tc>
        <w:tc>
          <w:tcPr>
            <w:tcW w:w="1845" w:type="dxa"/>
            <w:vMerge w:val="continue"/>
            <w:noWrap w:val="0"/>
            <w:vAlign w:val="center"/>
          </w:tcPr>
          <w:p w14:paraId="750CCE48">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E9A36E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54" w:type="dxa"/>
            <w:noWrap w:val="0"/>
            <w:vAlign w:val="center"/>
          </w:tcPr>
          <w:p w14:paraId="084C54DF">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l000万~5000万</w:t>
            </w:r>
          </w:p>
        </w:tc>
        <w:tc>
          <w:tcPr>
            <w:tcW w:w="1317" w:type="dxa"/>
            <w:noWrap w:val="0"/>
            <w:vAlign w:val="center"/>
          </w:tcPr>
          <w:p w14:paraId="1CFB0A47">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0.50%</w:t>
            </w:r>
          </w:p>
        </w:tc>
        <w:tc>
          <w:tcPr>
            <w:tcW w:w="1845" w:type="dxa"/>
            <w:noWrap w:val="0"/>
            <w:vAlign w:val="center"/>
          </w:tcPr>
          <w:p w14:paraId="636B108B">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1317" w:type="dxa"/>
            <w:noWrap w:val="0"/>
            <w:vAlign w:val="center"/>
          </w:tcPr>
          <w:p w14:paraId="4E5672A4">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0.35%</w:t>
            </w:r>
          </w:p>
        </w:tc>
        <w:tc>
          <w:tcPr>
            <w:tcW w:w="1845" w:type="dxa"/>
            <w:vMerge w:val="continue"/>
            <w:noWrap w:val="0"/>
            <w:vAlign w:val="center"/>
          </w:tcPr>
          <w:p w14:paraId="0C04E4B2">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60A45F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54" w:type="dxa"/>
            <w:noWrap w:val="0"/>
            <w:vAlign w:val="center"/>
          </w:tcPr>
          <w:p w14:paraId="2AD6DAE0">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5000万~l亿</w:t>
            </w:r>
          </w:p>
        </w:tc>
        <w:tc>
          <w:tcPr>
            <w:tcW w:w="1317" w:type="dxa"/>
            <w:noWrap w:val="0"/>
            <w:vAlign w:val="center"/>
          </w:tcPr>
          <w:p w14:paraId="4C247AE9">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0.25%</w:t>
            </w:r>
          </w:p>
        </w:tc>
        <w:tc>
          <w:tcPr>
            <w:tcW w:w="1845" w:type="dxa"/>
            <w:noWrap w:val="0"/>
            <w:vAlign w:val="center"/>
          </w:tcPr>
          <w:p w14:paraId="7086F999">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0.10%</w:t>
            </w:r>
          </w:p>
        </w:tc>
        <w:tc>
          <w:tcPr>
            <w:tcW w:w="1317" w:type="dxa"/>
            <w:noWrap w:val="0"/>
            <w:vAlign w:val="center"/>
          </w:tcPr>
          <w:p w14:paraId="2453B899">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0.20%</w:t>
            </w:r>
          </w:p>
        </w:tc>
        <w:tc>
          <w:tcPr>
            <w:tcW w:w="1845" w:type="dxa"/>
            <w:vMerge w:val="continue"/>
            <w:noWrap w:val="0"/>
            <w:vAlign w:val="center"/>
          </w:tcPr>
          <w:p w14:paraId="3840F9C3">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0BC13D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54" w:type="dxa"/>
            <w:noWrap w:val="0"/>
            <w:vAlign w:val="center"/>
          </w:tcPr>
          <w:p w14:paraId="471B1B3B">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1亿~5亿</w:t>
            </w:r>
          </w:p>
        </w:tc>
        <w:tc>
          <w:tcPr>
            <w:tcW w:w="1317" w:type="dxa"/>
            <w:noWrap w:val="0"/>
            <w:vAlign w:val="center"/>
          </w:tcPr>
          <w:p w14:paraId="6B44108A">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1845" w:type="dxa"/>
            <w:noWrap w:val="0"/>
            <w:vAlign w:val="center"/>
          </w:tcPr>
          <w:p w14:paraId="5428DC7E">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1317" w:type="dxa"/>
            <w:noWrap w:val="0"/>
            <w:vAlign w:val="center"/>
          </w:tcPr>
          <w:p w14:paraId="0E53E2DB">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0.05%</w:t>
            </w:r>
          </w:p>
        </w:tc>
        <w:tc>
          <w:tcPr>
            <w:tcW w:w="1845" w:type="dxa"/>
            <w:vMerge w:val="continue"/>
            <w:noWrap w:val="0"/>
            <w:vAlign w:val="center"/>
          </w:tcPr>
          <w:p w14:paraId="11962841">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5B2C70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54" w:type="dxa"/>
            <w:noWrap w:val="0"/>
            <w:vAlign w:val="center"/>
          </w:tcPr>
          <w:p w14:paraId="4B38FB94">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5亿~10亿</w:t>
            </w:r>
          </w:p>
        </w:tc>
        <w:tc>
          <w:tcPr>
            <w:tcW w:w="1317" w:type="dxa"/>
            <w:noWrap w:val="0"/>
            <w:vAlign w:val="center"/>
          </w:tcPr>
          <w:p w14:paraId="26A1F2F3">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0.035%</w:t>
            </w:r>
          </w:p>
        </w:tc>
        <w:tc>
          <w:tcPr>
            <w:tcW w:w="1845" w:type="dxa"/>
            <w:noWrap w:val="0"/>
            <w:vAlign w:val="center"/>
          </w:tcPr>
          <w:p w14:paraId="7B2989B1">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0.035%</w:t>
            </w:r>
          </w:p>
        </w:tc>
        <w:tc>
          <w:tcPr>
            <w:tcW w:w="1317" w:type="dxa"/>
            <w:noWrap w:val="0"/>
            <w:vAlign w:val="center"/>
          </w:tcPr>
          <w:p w14:paraId="4F8606AA">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0.035%</w:t>
            </w:r>
          </w:p>
        </w:tc>
        <w:tc>
          <w:tcPr>
            <w:tcW w:w="1845" w:type="dxa"/>
            <w:vMerge w:val="continue"/>
            <w:noWrap w:val="0"/>
            <w:vAlign w:val="center"/>
          </w:tcPr>
          <w:p w14:paraId="618402D7">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683585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54" w:type="dxa"/>
            <w:noWrap w:val="0"/>
            <w:vAlign w:val="center"/>
          </w:tcPr>
          <w:p w14:paraId="5BB84621">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10亿~50亿</w:t>
            </w:r>
          </w:p>
        </w:tc>
        <w:tc>
          <w:tcPr>
            <w:tcW w:w="1317" w:type="dxa"/>
            <w:noWrap w:val="0"/>
            <w:vAlign w:val="center"/>
          </w:tcPr>
          <w:p w14:paraId="3CF411D7">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0.008%</w:t>
            </w:r>
          </w:p>
        </w:tc>
        <w:tc>
          <w:tcPr>
            <w:tcW w:w="1845" w:type="dxa"/>
            <w:noWrap w:val="0"/>
            <w:vAlign w:val="center"/>
          </w:tcPr>
          <w:p w14:paraId="7A4B6AAA">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0.008%</w:t>
            </w:r>
          </w:p>
        </w:tc>
        <w:tc>
          <w:tcPr>
            <w:tcW w:w="1317" w:type="dxa"/>
            <w:noWrap w:val="0"/>
            <w:vAlign w:val="center"/>
          </w:tcPr>
          <w:p w14:paraId="3E961DF3">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0.008%</w:t>
            </w:r>
          </w:p>
        </w:tc>
        <w:tc>
          <w:tcPr>
            <w:tcW w:w="1845" w:type="dxa"/>
            <w:vMerge w:val="continue"/>
            <w:noWrap w:val="0"/>
            <w:vAlign w:val="center"/>
          </w:tcPr>
          <w:p w14:paraId="3AF402B4">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D7BA75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54" w:type="dxa"/>
            <w:noWrap w:val="0"/>
            <w:vAlign w:val="center"/>
          </w:tcPr>
          <w:p w14:paraId="53AB1FE3">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50亿~100亿</w:t>
            </w:r>
          </w:p>
        </w:tc>
        <w:tc>
          <w:tcPr>
            <w:tcW w:w="1317" w:type="dxa"/>
            <w:noWrap w:val="0"/>
            <w:vAlign w:val="center"/>
          </w:tcPr>
          <w:p w14:paraId="26E9EB81">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0.006%</w:t>
            </w:r>
          </w:p>
        </w:tc>
        <w:tc>
          <w:tcPr>
            <w:tcW w:w="1845" w:type="dxa"/>
            <w:noWrap w:val="0"/>
            <w:vAlign w:val="center"/>
          </w:tcPr>
          <w:p w14:paraId="0D8565FC">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0.006%</w:t>
            </w:r>
          </w:p>
        </w:tc>
        <w:tc>
          <w:tcPr>
            <w:tcW w:w="1317" w:type="dxa"/>
            <w:noWrap w:val="0"/>
            <w:vAlign w:val="center"/>
          </w:tcPr>
          <w:p w14:paraId="3E4CC3D5">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0.006%</w:t>
            </w:r>
          </w:p>
        </w:tc>
        <w:tc>
          <w:tcPr>
            <w:tcW w:w="1845" w:type="dxa"/>
            <w:vMerge w:val="continue"/>
            <w:noWrap w:val="0"/>
            <w:vAlign w:val="center"/>
          </w:tcPr>
          <w:p w14:paraId="7259F2DD">
            <w:pPr>
              <w:pageBreakBefore w:val="0"/>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36E8ADF5">
      <w:pPr>
        <w:pageBreakBefore w:val="0"/>
        <w:pBdr>
          <w:top w:val="none" w:color="000000" w:sz="0" w:space="0"/>
          <w:left w:val="none" w:color="000000" w:sz="0" w:space="0"/>
          <w:bottom w:val="none" w:color="000000" w:sz="0" w:space="0"/>
          <w:right w:val="none" w:color="000000" w:sz="0" w:space="0"/>
        </w:pBdr>
        <w:spacing w:line="360" w:lineRule="auto"/>
        <w:rPr>
          <w:rFonts w:hint="eastAsia" w:ascii="宋体" w:hAnsi="宋体" w:cs="宋体"/>
          <w:b/>
          <w:bCs/>
          <w:color w:val="000000" w:themeColor="text1"/>
          <w:sz w:val="24"/>
          <w:highlight w:val="none"/>
          <w14:textFill>
            <w14:solidFill>
              <w14:schemeClr w14:val="tx1"/>
            </w14:solidFill>
          </w14:textFill>
        </w:rPr>
      </w:pPr>
    </w:p>
    <w:p w14:paraId="6E52E608">
      <w:pPr>
        <w:pageBreakBefore w:val="0"/>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备注：非政府采购项目收费标准，由采购人与代理机构自行商议。</w:t>
      </w:r>
    </w:p>
    <w:p w14:paraId="05535662">
      <w:pPr>
        <w:pageBreakBefore w:val="0"/>
        <w:widowControl/>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w:t>
      </w:r>
    </w:p>
    <w:p w14:paraId="1FF4E8B8">
      <w:pPr>
        <w:pageBreakBefore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1.按上表计算的收费为代理服务全过程的收费金额。各社会代理机构不另外收取磋商文件制作售卖费用。</w:t>
      </w:r>
    </w:p>
    <w:p w14:paraId="4A881728">
      <w:pPr>
        <w:pageBreakBefore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2.代理服务费按差额定率累进法计算。</w:t>
      </w:r>
    </w:p>
    <w:p w14:paraId="4DDECF8A">
      <w:pPr>
        <w:pageBreakBefore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3.代理服务费基准金额（按差额定率累进法计算的）=中标金额（按差额定率累进法计算的） * 费率（%）</w:t>
      </w:r>
    </w:p>
    <w:p w14:paraId="1391421C">
      <w:pPr>
        <w:pageBreakBefore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4.代理服务费应收取金额=代理服务费基准金额（按差额定率累进法计算的）的合计数。</w:t>
      </w:r>
    </w:p>
    <w:p w14:paraId="292D5A53">
      <w:pPr>
        <w:pageBreakBefore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5.计算出的代理服务费应收取金额如低于5千元，按5千元收取；如高于1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万元，按1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万元收取。</w:t>
      </w:r>
    </w:p>
    <w:p w14:paraId="56D8C16F">
      <w:pPr>
        <w:pageBreakBefore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6.定点类等无金额或事先不能计算出价格总额，中标（成交）金额按100万元计算。</w:t>
      </w:r>
    </w:p>
    <w:p w14:paraId="75E96990">
      <w:pPr>
        <w:pageBreakBefore w:val="0"/>
        <w:spacing w:line="360" w:lineRule="auto"/>
        <w:ind w:firstLine="42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7.多标段项目按总项目收费，最高不超过1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 xml:space="preserve">万元 </w:t>
      </w:r>
      <w:r>
        <w:rPr>
          <w:rFonts w:hint="eastAsia" w:ascii="宋体" w:hAnsi="宋体" w:cs="宋体"/>
          <w:color w:val="000000" w:themeColor="text1"/>
          <w:sz w:val="24"/>
          <w:highlight w:val="none"/>
          <w:lang w:eastAsia="zh-CN"/>
          <w14:textFill>
            <w14:solidFill>
              <w14:schemeClr w14:val="tx1"/>
            </w14:solidFill>
          </w14:textFill>
        </w:rPr>
        <w:t>。</w:t>
      </w:r>
    </w:p>
    <w:p w14:paraId="30FF0871">
      <w:pPr>
        <w:pStyle w:val="60"/>
        <w:pageBreakBefore w:val="0"/>
        <w:spacing w:line="360" w:lineRule="auto"/>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8.以上价格为协会指导价，具体价格双方可协商确定。</w:t>
      </w:r>
    </w:p>
    <w:p w14:paraId="37C6840D">
      <w:pPr>
        <w:pStyle w:val="236"/>
        <w:pageBreakBefore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FFA46D3">
      <w:pPr>
        <w:pStyle w:val="49"/>
        <w:pageBreakBefore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CFF8DF0">
      <w:pPr>
        <w:pStyle w:val="236"/>
        <w:pageBreakBefore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E8893B4">
      <w:pPr>
        <w:pStyle w:val="49"/>
        <w:pageBreakBefore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D309D2B">
      <w:pPr>
        <w:pStyle w:val="236"/>
        <w:pageBreakBefore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7DE03B7">
      <w:pPr>
        <w:pStyle w:val="49"/>
        <w:pageBreakBefore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18F42D2">
      <w:pPr>
        <w:pStyle w:val="236"/>
        <w:pageBreakBefore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3892934">
      <w:pPr>
        <w:pStyle w:val="49"/>
        <w:pageBreakBefore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43FE888">
      <w:pPr>
        <w:pStyle w:val="68"/>
        <w:pageBreakBefore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CEC413F">
      <w:pPr>
        <w:pStyle w:val="64"/>
        <w:pageBreakBefore w:val="0"/>
        <w:spacing w:line="360" w:lineRule="auto"/>
        <w:rPr>
          <w:rFonts w:hint="eastAsia"/>
          <w:color w:val="000000" w:themeColor="text1"/>
          <w:highlight w:val="none"/>
          <w14:textFill>
            <w14:solidFill>
              <w14:schemeClr w14:val="tx1"/>
            </w14:solidFill>
          </w14:textFill>
        </w:rPr>
      </w:pPr>
    </w:p>
    <w:p w14:paraId="4DEE8C8A">
      <w:pPr>
        <w:pStyle w:val="64"/>
        <w:pageBreakBefore w:val="0"/>
        <w:spacing w:line="360" w:lineRule="auto"/>
        <w:rPr>
          <w:rFonts w:hint="eastAsia"/>
          <w:color w:val="000000" w:themeColor="text1"/>
          <w:highlight w:val="none"/>
          <w14:textFill>
            <w14:solidFill>
              <w14:schemeClr w14:val="tx1"/>
            </w14:solidFill>
          </w14:textFill>
        </w:rPr>
      </w:pPr>
    </w:p>
    <w:p w14:paraId="5990DF4B">
      <w:pPr>
        <w:pStyle w:val="64"/>
        <w:pageBreakBefore w:val="0"/>
        <w:spacing w:line="360" w:lineRule="auto"/>
        <w:rPr>
          <w:rFonts w:hint="eastAsia"/>
          <w:color w:val="000000" w:themeColor="text1"/>
          <w:highlight w:val="none"/>
          <w14:textFill>
            <w14:solidFill>
              <w14:schemeClr w14:val="tx1"/>
            </w14:solidFill>
          </w14:textFill>
        </w:rPr>
      </w:pPr>
    </w:p>
    <w:p w14:paraId="1E69D54F">
      <w:pPr>
        <w:pStyle w:val="64"/>
        <w:pageBreakBefore w:val="0"/>
        <w:spacing w:line="360" w:lineRule="auto"/>
        <w:rPr>
          <w:rFonts w:hint="eastAsia"/>
          <w:color w:val="000000" w:themeColor="text1"/>
          <w:highlight w:val="none"/>
          <w14:textFill>
            <w14:solidFill>
              <w14:schemeClr w14:val="tx1"/>
            </w14:solidFill>
          </w14:textFill>
        </w:rPr>
      </w:pPr>
    </w:p>
    <w:p w14:paraId="2C4DD3E3">
      <w:pPr>
        <w:pStyle w:val="64"/>
        <w:pageBreakBefore w:val="0"/>
        <w:spacing w:line="360" w:lineRule="auto"/>
        <w:rPr>
          <w:rFonts w:hint="eastAsia"/>
          <w:color w:val="000000" w:themeColor="text1"/>
          <w:highlight w:val="none"/>
          <w14:textFill>
            <w14:solidFill>
              <w14:schemeClr w14:val="tx1"/>
            </w14:solidFill>
          </w14:textFill>
        </w:rPr>
      </w:pPr>
    </w:p>
    <w:p w14:paraId="228B9523">
      <w:pPr>
        <w:pStyle w:val="64"/>
        <w:pageBreakBefore w:val="0"/>
        <w:spacing w:line="360" w:lineRule="auto"/>
        <w:rPr>
          <w:rFonts w:hint="eastAsia"/>
          <w:color w:val="000000" w:themeColor="text1"/>
          <w:highlight w:val="none"/>
          <w14:textFill>
            <w14:solidFill>
              <w14:schemeClr w14:val="tx1"/>
            </w14:solidFill>
          </w14:textFill>
        </w:rPr>
      </w:pPr>
    </w:p>
    <w:p w14:paraId="680A7B1A">
      <w:pPr>
        <w:pStyle w:val="64"/>
        <w:pageBreakBefore w:val="0"/>
        <w:spacing w:line="360" w:lineRule="auto"/>
        <w:rPr>
          <w:rFonts w:hint="eastAsia"/>
          <w:color w:val="000000" w:themeColor="text1"/>
          <w:highlight w:val="none"/>
          <w14:textFill>
            <w14:solidFill>
              <w14:schemeClr w14:val="tx1"/>
            </w14:solidFill>
          </w14:textFill>
        </w:rPr>
      </w:pPr>
    </w:p>
    <w:p w14:paraId="603D1D74">
      <w:pPr>
        <w:pStyle w:val="64"/>
        <w:pageBreakBefore w:val="0"/>
        <w:spacing w:line="360" w:lineRule="auto"/>
        <w:rPr>
          <w:rFonts w:hint="eastAsia"/>
          <w:color w:val="000000" w:themeColor="text1"/>
          <w:highlight w:val="none"/>
          <w14:textFill>
            <w14:solidFill>
              <w14:schemeClr w14:val="tx1"/>
            </w14:solidFill>
          </w14:textFill>
        </w:rPr>
      </w:pPr>
    </w:p>
    <w:p w14:paraId="3CF2DC17">
      <w:pPr>
        <w:pStyle w:val="64"/>
        <w:pageBreakBefore w:val="0"/>
        <w:spacing w:line="360" w:lineRule="auto"/>
        <w:rPr>
          <w:rFonts w:hint="eastAsia"/>
          <w:color w:val="000000" w:themeColor="text1"/>
          <w:highlight w:val="none"/>
          <w14:textFill>
            <w14:solidFill>
              <w14:schemeClr w14:val="tx1"/>
            </w14:solidFill>
          </w14:textFill>
        </w:rPr>
      </w:pPr>
    </w:p>
    <w:p w14:paraId="1E3EB76C">
      <w:pPr>
        <w:pStyle w:val="64"/>
        <w:pageBreakBefore w:val="0"/>
        <w:spacing w:line="360" w:lineRule="auto"/>
        <w:rPr>
          <w:rFonts w:hint="eastAsia"/>
          <w:color w:val="000000" w:themeColor="text1"/>
          <w:highlight w:val="none"/>
          <w14:textFill>
            <w14:solidFill>
              <w14:schemeClr w14:val="tx1"/>
            </w14:solidFill>
          </w14:textFill>
        </w:rPr>
      </w:pPr>
    </w:p>
    <w:p w14:paraId="22544A20">
      <w:pPr>
        <w:pStyle w:val="64"/>
        <w:pageBreakBefore w:val="0"/>
        <w:spacing w:line="360" w:lineRule="auto"/>
        <w:rPr>
          <w:rFonts w:hint="eastAsia"/>
          <w:color w:val="000000" w:themeColor="text1"/>
          <w:highlight w:val="none"/>
          <w14:textFill>
            <w14:solidFill>
              <w14:schemeClr w14:val="tx1"/>
            </w14:solidFill>
          </w14:textFill>
        </w:rPr>
      </w:pPr>
    </w:p>
    <w:p w14:paraId="4D7475D4">
      <w:pPr>
        <w:pStyle w:val="64"/>
        <w:pageBreakBefore w:val="0"/>
        <w:spacing w:line="360" w:lineRule="auto"/>
        <w:rPr>
          <w:rFonts w:hint="eastAsia"/>
          <w:color w:val="000000" w:themeColor="text1"/>
          <w:highlight w:val="none"/>
          <w14:textFill>
            <w14:solidFill>
              <w14:schemeClr w14:val="tx1"/>
            </w14:solidFill>
          </w14:textFill>
        </w:rPr>
      </w:pPr>
    </w:p>
    <w:p w14:paraId="75E2A344">
      <w:pPr>
        <w:pStyle w:val="70"/>
        <w:pageBreakBefore w:val="0"/>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bookmarkStart w:id="32" w:name="_Toc29401"/>
      <w:bookmarkStart w:id="33" w:name="_Toc28130"/>
      <w:bookmarkStart w:id="34" w:name="_Toc27036"/>
      <w:bookmarkStart w:id="35" w:name="_Toc18456"/>
      <w:bookmarkStart w:id="36" w:name="_Toc5546"/>
      <w:r>
        <w:rPr>
          <w:rFonts w:hint="eastAsia" w:ascii="宋体" w:hAnsi="宋体" w:eastAsia="宋体" w:cs="宋体"/>
          <w:color w:val="000000" w:themeColor="text1"/>
          <w:sz w:val="30"/>
          <w:szCs w:val="30"/>
          <w:highlight w:val="none"/>
          <w14:textFill>
            <w14:solidFill>
              <w14:schemeClr w14:val="tx1"/>
            </w14:solidFill>
          </w14:textFill>
        </w:rPr>
        <w:t>第三章 响应文件</w:t>
      </w:r>
      <w:bookmarkEnd w:id="27"/>
      <w:bookmarkEnd w:id="28"/>
      <w:bookmarkEnd w:id="29"/>
      <w:bookmarkEnd w:id="30"/>
      <w:bookmarkEnd w:id="31"/>
      <w:bookmarkEnd w:id="32"/>
      <w:bookmarkEnd w:id="33"/>
      <w:bookmarkEnd w:id="34"/>
      <w:bookmarkEnd w:id="35"/>
      <w:bookmarkEnd w:id="36"/>
    </w:p>
    <w:p w14:paraId="7B430DBC">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响应文件编制要求：</w:t>
      </w:r>
    </w:p>
    <w:p w14:paraId="1EA3EFFC">
      <w:pPr>
        <w:pStyle w:val="70"/>
        <w:pageBreakBefore w:val="0"/>
        <w:widowControl w:val="0"/>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第一部分 基本要求</w:t>
      </w:r>
    </w:p>
    <w:p w14:paraId="46E5A1BB">
      <w:pPr>
        <w:pStyle w:val="55"/>
        <w:pageBreakBefore w:val="0"/>
        <w:widowControl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1、供应商应当按照《磋商文件》的要求编制响应文件，并对其提交的响应文件的真实性、合法性承担法律责任。</w:t>
      </w:r>
    </w:p>
    <w:p w14:paraId="556C6EAF">
      <w:pPr>
        <w:pStyle w:val="55"/>
        <w:pageBreakBefore w:val="0"/>
        <w:widowControl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2、电子响应文件要求</w:t>
      </w:r>
    </w:p>
    <w:p w14:paraId="75B884FD">
      <w:pPr>
        <w:pStyle w:val="55"/>
        <w:pageBreakBefore w:val="0"/>
        <w:widowControl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（1）供应商应由其法定代表人或法定代表人授权代表在规定的网上响应时间，使用“政府采购客户端”编制电子响应文件，并在提交响应文件截止时间之前上传响应文件。</w:t>
      </w:r>
    </w:p>
    <w:p w14:paraId="0CDB1E92">
      <w:pPr>
        <w:pStyle w:val="55"/>
        <w:pageBreakBefore w:val="0"/>
        <w:widowControl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（2）供应商应对 CA 证书妥善保管，如被他人盗用投标，因此带来的结果均由供应商自行承担。</w:t>
      </w:r>
    </w:p>
    <w:p w14:paraId="0DB2DEB2">
      <w:pPr>
        <w:pStyle w:val="55"/>
        <w:pageBreakBefore w:val="0"/>
        <w:widowControl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（3）供应商应凭CA数字证书以及自备的能够登录“苏采云”系统的电脑，在达到开标时间后，使用CA数字证书解密各自投标文件。因此带来的结果均由供应商自行承担。本项目开标时间为：</w:t>
      </w:r>
      <w:r>
        <w:rPr>
          <w:rFonts w:hint="eastAsia" w:ascii="宋体" w:hAnsi="宋体" w:eastAsia="宋体" w:cs="宋体"/>
          <w:b/>
          <w:bCs/>
          <w:color w:val="000000" w:themeColor="text1"/>
          <w:sz w:val="24"/>
          <w:highlight w:val="none"/>
          <w14:textFill>
            <w14:solidFill>
              <w14:schemeClr w14:val="tx1"/>
            </w14:solidFill>
          </w14:textFill>
        </w:rPr>
        <w:t>202</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highlight w:val="none"/>
          <w14:textFill>
            <w14:solidFill>
              <w14:schemeClr w14:val="tx1"/>
            </w14:solidFill>
          </w14:textFill>
        </w:rPr>
        <w:t>年</w:t>
      </w:r>
      <w:r>
        <w:rPr>
          <w:rFonts w:hint="eastAsia" w:ascii="宋体" w:hAnsi="宋体" w:cs="宋体"/>
          <w:b/>
          <w:bCs/>
          <w:color w:val="000000" w:themeColor="text1"/>
          <w:sz w:val="24"/>
          <w:highlight w:val="none"/>
          <w:lang w:val="en-US" w:eastAsia="zh-CN"/>
          <w14:textFill>
            <w14:solidFill>
              <w14:schemeClr w14:val="tx1"/>
            </w14:solidFill>
          </w14:textFill>
        </w:rPr>
        <w:t>12</w:t>
      </w:r>
      <w:r>
        <w:rPr>
          <w:rFonts w:hint="eastAsia" w:ascii="宋体" w:hAnsi="宋体" w:eastAsia="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03</w:t>
      </w:r>
      <w:r>
        <w:rPr>
          <w:rFonts w:hint="eastAsia" w:ascii="宋体" w:hAnsi="宋体" w:eastAsia="宋体" w:cs="宋体"/>
          <w:b/>
          <w:bCs/>
          <w:color w:val="000000" w:themeColor="text1"/>
          <w:sz w:val="24"/>
          <w:highlight w:val="none"/>
          <w:lang w:eastAsia="zh-CN"/>
          <w14:textFill>
            <w14:solidFill>
              <w14:schemeClr w14:val="tx1"/>
            </w14:solidFill>
          </w14:textFill>
        </w:rPr>
        <w:t>日</w:t>
      </w:r>
      <w:r>
        <w:rPr>
          <w:rFonts w:hint="eastAsia" w:ascii="宋体" w:hAnsi="宋体" w:eastAsia="宋体" w:cs="宋体"/>
          <w:b/>
          <w:bCs/>
          <w:color w:val="000000" w:themeColor="text1"/>
          <w:sz w:val="24"/>
          <w:highlight w:val="none"/>
          <w14:textFill>
            <w14:solidFill>
              <w14:schemeClr w14:val="tx1"/>
            </w14:solidFill>
          </w14:textFill>
        </w:rPr>
        <w:t xml:space="preserve"> 北京时间09：30分</w:t>
      </w:r>
      <w:r>
        <w:rPr>
          <w:rFonts w:hint="eastAsia" w:ascii="宋体" w:hAnsi="宋体" w:eastAsia="宋体" w:cs="宋体"/>
          <w:color w:val="000000" w:themeColor="text1"/>
          <w:sz w:val="24"/>
          <w:highlight w:val="none"/>
          <w14:textFill>
            <w14:solidFill>
              <w14:schemeClr w14:val="tx1"/>
            </w14:solidFill>
          </w14:textFill>
        </w:rPr>
        <w:t xml:space="preserve">。 </w:t>
      </w:r>
    </w:p>
    <w:p w14:paraId="300A1F07">
      <w:pPr>
        <w:pStyle w:val="55"/>
        <w:pageBreakBefore w:val="0"/>
        <w:widowControl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“苏采云”系统使用要求：</w:t>
      </w:r>
    </w:p>
    <w:p w14:paraId="1997AE5F">
      <w:pPr>
        <w:pStyle w:val="48"/>
        <w:pageBreakBefore w:val="0"/>
        <w:widowControl w:val="0"/>
        <w:numPr>
          <w:ilvl w:val="0"/>
          <w:numId w:val="2"/>
        </w:numPr>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使用谷歌浏览器参与不见面开标及磋商环节。</w:t>
      </w:r>
    </w:p>
    <w:p w14:paraId="63663F6F">
      <w:pPr>
        <w:pStyle w:val="48"/>
        <w:pageBreakBefore w:val="0"/>
        <w:widowControl w:val="0"/>
        <w:numPr>
          <w:ilvl w:val="0"/>
          <w:numId w:val="2"/>
        </w:numPr>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电脑需提前准备好麦克风、音响，摄像头，提前检查保证能够正常使用。</w:t>
      </w:r>
    </w:p>
    <w:p w14:paraId="5D99F75B">
      <w:pPr>
        <w:pStyle w:val="48"/>
        <w:pageBreakBefore w:val="0"/>
        <w:widowControl w:val="0"/>
        <w:numPr>
          <w:ilvl w:val="0"/>
          <w:numId w:val="2"/>
        </w:numPr>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操作系统至少win7以上，建议使用win10操作系统。</w:t>
      </w:r>
    </w:p>
    <w:p w14:paraId="2F1B21C0">
      <w:pPr>
        <w:pStyle w:val="55"/>
        <w:pageBreakBefore w:val="0"/>
        <w:widowControl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（4）供应商应当对《磋商文件》提出的要求和条件作出实质性响应，并在电子投标系统逐条应答。</w:t>
      </w:r>
    </w:p>
    <w:p w14:paraId="7F957A57">
      <w:pPr>
        <w:pStyle w:val="55"/>
        <w:pageBreakBefore w:val="0"/>
        <w:widowControl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（5）供应商应对要求提供的资格证明文件（如资质证书</w:t>
      </w:r>
      <w:r>
        <w:rPr>
          <w:rFonts w:hint="eastAsia" w:ascii="宋体" w:hAnsi="宋体" w:cs="宋体"/>
          <w:color w:val="000000" w:themeColor="text1"/>
          <w:sz w:val="24"/>
          <w:highlight w:val="none"/>
          <w:lang w:val="en-US" w:eastAsia="zh-CN"/>
          <w14:textFill>
            <w14:solidFill>
              <w14:schemeClr w14:val="tx1"/>
            </w14:solidFill>
          </w14:textFill>
        </w:rPr>
        <w:t>等</w:t>
      </w:r>
      <w:r>
        <w:rPr>
          <w:rFonts w:hint="eastAsia" w:ascii="宋体" w:hAnsi="宋体" w:eastAsia="宋体" w:cs="宋体"/>
          <w:color w:val="000000" w:themeColor="text1"/>
          <w:sz w:val="24"/>
          <w:highlight w:val="none"/>
          <w14:textFill>
            <w14:solidFill>
              <w14:schemeClr w14:val="tx1"/>
            </w14:solidFill>
          </w14:textFill>
        </w:rPr>
        <w:t>）原件扫描上传。</w:t>
      </w:r>
    </w:p>
    <w:p w14:paraId="0288B328">
      <w:pPr>
        <w:pStyle w:val="49"/>
        <w:pageBreakBefore w:val="0"/>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en-US"/>
          <w14:textFill>
            <w14:solidFill>
              <w14:schemeClr w14:val="tx1"/>
            </w14:solidFill>
          </w14:textFill>
        </w:rPr>
        <w:t>（6）供应商应当在开标前再次进入苏采云系统以关注是否存在更正事项，以及是否需要重新提交电子标书。</w:t>
      </w:r>
    </w:p>
    <w:p w14:paraId="47499145">
      <w:pPr>
        <w:pStyle w:val="300"/>
        <w:pageBreakBefore w:val="0"/>
        <w:widowControl w:val="0"/>
        <w:spacing w:line="360" w:lineRule="auto"/>
        <w:ind w:firstLine="482"/>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7）特别说明:本项目投标采用线上不见面开标方式，供应商无需到达开标现场。开标期间，投标供应商解密完成后不要离开，应时刻关注开标大屏的公告栏信息，及时作出响应，未及时作出响应所造成的后果，由投标供应商自行承担。</w:t>
      </w:r>
    </w:p>
    <w:p w14:paraId="7918C279">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3、获取竞争性磋商文件</w:t>
      </w:r>
    </w:p>
    <w:p w14:paraId="0D35AC22">
      <w:pPr>
        <w:pStyle w:val="55"/>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（1）潜在供应商访问电子招标投标交易平台的网络地址和方法：</w:t>
      </w:r>
    </w:p>
    <w:p w14:paraId="15BF1524">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①</w:t>
      </w:r>
      <w:r>
        <w:rPr>
          <w:rFonts w:hint="eastAsia" w:ascii="宋体" w:hAnsi="宋体" w:eastAsia="宋体" w:cs="宋体"/>
          <w:color w:val="000000" w:themeColor="text1"/>
          <w:sz w:val="24"/>
          <w:highlight w:val="none"/>
          <w14:textFill>
            <w14:solidFill>
              <w14:schemeClr w14:val="tx1"/>
            </w14:solidFill>
          </w14:textFill>
        </w:rPr>
        <w:t>登录 http://jszfcg.jsczt.cn/ ，或进入徐州政府采购网--业务工作--用户登录，点击“苏采云”进入系统。</w:t>
      </w:r>
    </w:p>
    <w:p w14:paraId="1AC5593A">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eastAsia="宋体" w:cs="宋体"/>
          <w:color w:val="000000" w:themeColor="text1"/>
          <w:sz w:val="24"/>
          <w:highlight w:val="none"/>
          <w14:textFill>
            <w14:solidFill>
              <w14:schemeClr w14:val="tx1"/>
            </w14:solidFill>
          </w14:textFill>
        </w:rPr>
        <w:t>“CA数字证书”的获取：</w:t>
      </w:r>
      <w:r>
        <w:rPr>
          <w:rFonts w:ascii="宋体" w:hAnsi="宋体"/>
          <w:b w:val="0"/>
          <w:bCs/>
          <w:color w:val="000000" w:themeColor="text1"/>
          <w:sz w:val="24"/>
          <w:highlight w:val="none"/>
          <w14:textFill>
            <w14:solidFill>
              <w14:schemeClr w14:val="tx1"/>
            </w14:solidFill>
          </w14:textFill>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r>
        <w:rPr>
          <w:rFonts w:hint="eastAsia" w:ascii="宋体" w:hAnsi="宋体" w:eastAsia="宋体" w:cs="宋体"/>
          <w:color w:val="000000" w:themeColor="text1"/>
          <w:sz w:val="24"/>
          <w:highlight w:val="none"/>
          <w14:textFill>
            <w14:solidFill>
              <w14:schemeClr w14:val="tx1"/>
            </w14:solidFill>
          </w14:textFill>
        </w:rPr>
        <w:t>。</w:t>
      </w:r>
    </w:p>
    <w:p w14:paraId="6569EF85">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（2）采购代理机构将数据电文形式的招标文件加载至电子招标投标交易平台，供潜在供应商下载或者查阅。</w:t>
      </w:r>
    </w:p>
    <w:p w14:paraId="157ED491">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（3）售价：免费。</w:t>
      </w:r>
    </w:p>
    <w:p w14:paraId="1C2E6EFA">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4、提交的首次响应文件的密封、签署、盖章要求：</w:t>
      </w:r>
    </w:p>
    <w:p w14:paraId="6E061A5E">
      <w:pPr>
        <w:keepNext w:val="0"/>
        <w:keepLines w:val="0"/>
        <w:pageBreakBefore w:val="0"/>
        <w:widowControl/>
        <w:spacing w:line="360" w:lineRule="auto"/>
        <w:ind w:firstLine="482"/>
        <w:rPr>
          <w:rFonts w:hint="eastAsia"/>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14:paraId="29EC7042">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）密封（加密）要求：</w:t>
      </w:r>
    </w:p>
    <w:p w14:paraId="0CA6F216">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供应商应当按照《磋商文件》和“苏采云”系统的要求编制并加密响应文件。本项目供应商须通过“苏采云”系统提供的政府采购客户端工具（使用“CA数字证书”）对其数据电文形式的响应文件加密。</w:t>
      </w:r>
    </w:p>
    <w:p w14:paraId="607EF7ED">
      <w:pPr>
        <w:keepNext w:val="0"/>
        <w:keepLines w:val="0"/>
        <w:pageBreakBefore w:val="0"/>
        <w:widowControl/>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14:paraId="62C1FAFC">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）签署要求：见《磋商文件》第八章附件中相关格式要求。</w:t>
      </w:r>
    </w:p>
    <w:p w14:paraId="49C1E370">
      <w:pPr>
        <w:pStyle w:val="55"/>
        <w:pageBreakBefore w:val="0"/>
        <w:spacing w:line="360" w:lineRule="auto"/>
        <w:ind w:firstLine="482"/>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特别提醒：竞争性磋商文件中如需“授权代表签字或盖章”，供应商可打印成文档，签字或盖章后再扫描上传，最后再电子签章</w:t>
      </w:r>
    </w:p>
    <w:p w14:paraId="0B42001E">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（3）盖章要求：见《磋商文件》第八章附件中相关格式要求。供应商须通过“苏采云”系统提供的政府采购客户端工具（使用“CA数字证书”）加盖电子签章。</w:t>
      </w:r>
    </w:p>
    <w:p w14:paraId="669151B9">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5、通过“苏采云”系统提交政府采购客户端工具导出加密的响应文件（后缀名为zip）。响应文件不得超过150M！ （具体文件大小以苏彩云系统要求为准）</w:t>
      </w:r>
    </w:p>
    <w:p w14:paraId="11B6A664">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14:paraId="103A8FC7">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（1）供应商应当按照《磋商文件》的要求编制响应文件，并对其提交的响应文件的真实性、合法性承担法律责任。</w:t>
      </w:r>
    </w:p>
    <w:p w14:paraId="170128BC">
      <w:pPr>
        <w:pStyle w:val="55"/>
        <w:pageBreakBefore w:val="0"/>
        <w:spacing w:line="360" w:lineRule="auto"/>
        <w:ind w:firstLine="47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（3）采购人索取成交供应商的响应文件，须在双方签订政府采购合同后，由代理公司提供给采购人。</w:t>
      </w:r>
    </w:p>
    <w:p w14:paraId="2617F1FF">
      <w:pPr>
        <w:pStyle w:val="70"/>
        <w:pageBreakBefore w:val="0"/>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第二部分 响应文件的组成</w:t>
      </w:r>
    </w:p>
    <w:p w14:paraId="733C54DA">
      <w:pPr>
        <w:pageBreakBefore w:val="0"/>
        <w:pBdr>
          <w:top w:val="none" w:color="000000" w:sz="0" w:space="0"/>
          <w:left w:val="none" w:color="000000" w:sz="0" w:space="0"/>
          <w:bottom w:val="none" w:color="000000" w:sz="0" w:space="0"/>
          <w:right w:val="none" w:color="000000" w:sz="0" w:space="0"/>
        </w:pBdr>
        <w:spacing w:after="0" w:line="360" w:lineRule="auto"/>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请按照以下要求（包括但不限于以下要求）制作：</w:t>
      </w:r>
    </w:p>
    <w:p w14:paraId="36325863">
      <w:pPr>
        <w:pageBreakBefore w:val="0"/>
        <w:numPr>
          <w:ilvl w:val="0"/>
          <w:numId w:val="3"/>
        </w:numPr>
        <w:pBdr>
          <w:top w:val="none" w:color="000000" w:sz="0" w:space="0"/>
          <w:left w:val="none" w:color="000000" w:sz="0" w:space="0"/>
          <w:bottom w:val="none" w:color="000000" w:sz="0" w:space="0"/>
          <w:right w:val="none" w:color="000000" w:sz="0" w:space="0"/>
        </w:pBdr>
        <w:spacing w:after="0"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基本目录</w:t>
      </w:r>
    </w:p>
    <w:p w14:paraId="5AF9C9AC">
      <w:pPr>
        <w:pStyle w:val="8"/>
        <w:pageBreakBefore w:val="0"/>
        <w:numPr>
          <w:ilvl w:val="0"/>
          <w:numId w:val="4"/>
        </w:numPr>
        <w:spacing w:line="360" w:lineRule="auto"/>
        <w:rPr>
          <w:rFonts w:hint="eastAsia" w:ascii="宋体" w:hAnsi="宋体" w:eastAsia="宋体" w:cs="宋体"/>
          <w:b w:val="0"/>
          <w:bCs/>
          <w:color w:val="000000" w:themeColor="text1"/>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0"/>
          <w:highlight w:val="none"/>
          <w:lang w:val="en-US" w:eastAsia="zh-CN" w:bidi="ar-SA"/>
          <w14:textFill>
            <w14:solidFill>
              <w14:schemeClr w14:val="tx1"/>
            </w14:solidFill>
          </w14:textFill>
        </w:rPr>
        <w:t>《目录》（格式自拟，加盖电子签章）；</w:t>
      </w:r>
    </w:p>
    <w:p w14:paraId="15033396">
      <w:pPr>
        <w:pStyle w:val="8"/>
        <w:pageBreakBefore w:val="0"/>
        <w:spacing w:line="360" w:lineRule="auto"/>
        <w:rPr>
          <w:rFonts w:hint="default" w:ascii="宋体" w:hAnsi="宋体" w:eastAsia="宋体" w:cs="宋体"/>
          <w:b w:val="0"/>
          <w:bCs/>
          <w:color w:val="000000" w:themeColor="text1"/>
          <w:sz w:val="24"/>
          <w:szCs w:val="20"/>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0"/>
          <w:highlight w:val="none"/>
          <w:lang w:val="en-US" w:eastAsia="zh-CN" w:bidi="ar-SA"/>
          <w14:textFill>
            <w14:solidFill>
              <w14:schemeClr w14:val="tx1"/>
            </w14:solidFill>
          </w14:textFill>
        </w:rPr>
        <w:t>2.《磋商报价表》（加盖电子签章，</w:t>
      </w:r>
      <w:r>
        <w:rPr>
          <w:rFonts w:hint="eastAsia" w:ascii="宋体" w:hAnsi="宋体" w:eastAsia="宋体" w:cs="宋体"/>
          <w:color w:val="000000" w:themeColor="text1"/>
          <w:sz w:val="24"/>
          <w:szCs w:val="24"/>
          <w:highlight w:val="none"/>
          <w:lang w:eastAsia="zh-CN"/>
          <w14:textFill>
            <w14:solidFill>
              <w14:schemeClr w14:val="tx1"/>
            </w14:solidFill>
          </w14:textFill>
        </w:rPr>
        <w:t>政府采购客户端工具输入报价自动生成）；</w:t>
      </w:r>
    </w:p>
    <w:p w14:paraId="2D81B460">
      <w:pPr>
        <w:pageBreakBefore w:val="0"/>
        <w:pBdr>
          <w:top w:val="none" w:color="000000" w:sz="0" w:space="0"/>
          <w:left w:val="none" w:color="000000" w:sz="0" w:space="0"/>
          <w:bottom w:val="none" w:color="000000" w:sz="0" w:space="0"/>
          <w:right w:val="none" w:color="000000" w:sz="0" w:space="0"/>
        </w:pBdr>
        <w:spacing w:after="0" w:line="360" w:lineRule="auto"/>
        <w:rPr>
          <w:rFonts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lang w:eastAsia="zh-CN"/>
          <w14:textFill>
            <w14:solidFill>
              <w14:schemeClr w14:val="tx1"/>
            </w14:solidFill>
          </w14:textFill>
        </w:rPr>
        <w:t>）资格条件（必须提供，否则响应无效）</w:t>
      </w:r>
    </w:p>
    <w:p w14:paraId="23C43443">
      <w:pPr>
        <w:keepNext w:val="0"/>
        <w:keepLines w:val="0"/>
        <w:pageBreakBefore w:val="0"/>
        <w:pBdr>
          <w:top w:val="none" w:color="000000" w:sz="0" w:space="0"/>
          <w:left w:val="none" w:color="000000" w:sz="0" w:space="0"/>
          <w:bottom w:val="none" w:color="000000" w:sz="0" w:space="0"/>
          <w:right w:val="none" w:color="000000" w:sz="0" w:space="0"/>
        </w:pBdr>
        <w:spacing w:after="0" w:line="360" w:lineRule="auto"/>
        <w:ind w:right="26" w:firstLine="480"/>
        <w:rPr>
          <w:rFonts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1.</w:t>
      </w:r>
      <w:r>
        <w:rPr>
          <w:rFonts w:hint="eastAsia" w:ascii="宋体" w:hAnsi="宋体" w:cs="宋体"/>
          <w:color w:val="000000" w:themeColor="text1"/>
          <w:sz w:val="24"/>
          <w:szCs w:val="24"/>
          <w:highlight w:val="none"/>
          <w:lang w:val="en-US" w:eastAsia="zh-CN" w:bidi="ar-SA"/>
          <w14:textFill>
            <w14:solidFill>
              <w14:schemeClr w14:val="tx1"/>
            </w14:solidFill>
          </w14:textFill>
        </w:rPr>
        <w:t>具有独立承担民事责任的能力，提供投标人合法有效的法人的营业执照(或事业单位法人证书)或其他组织应提供合法证明文件的原件扫描件(加盖电子签章)</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044FBDA0">
      <w:pPr>
        <w:keepNext w:val="0"/>
        <w:keepLines w:val="0"/>
        <w:pageBreakBefore w:val="0"/>
        <w:pBdr>
          <w:top w:val="none" w:color="000000" w:sz="0" w:space="0"/>
          <w:left w:val="none" w:color="000000" w:sz="0" w:space="0"/>
          <w:bottom w:val="none" w:color="000000" w:sz="0" w:space="0"/>
          <w:right w:val="none" w:color="000000" w:sz="0" w:space="0"/>
        </w:pBdr>
        <w:spacing w:after="0" w:line="360" w:lineRule="auto"/>
        <w:ind w:right="26" w:firstLine="480"/>
        <w:rPr>
          <w:rFonts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w:t>
      </w:r>
      <w:r>
        <w:rPr>
          <w:rFonts w:hint="eastAsia" w:ascii="宋体" w:hAnsi="宋体" w:cs="宋体"/>
          <w:color w:val="000000" w:themeColor="text1"/>
          <w:sz w:val="24"/>
          <w:szCs w:val="24"/>
          <w:highlight w:val="none"/>
          <w:lang w:val="en-US" w:eastAsia="zh-CN" w:bidi="ar-SA"/>
          <w14:textFill>
            <w14:solidFill>
              <w14:schemeClr w14:val="tx1"/>
            </w14:solidFill>
          </w14:textFill>
        </w:rPr>
        <w:t>财务状况报告；</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至少提供：即提供投标人的本项目开标时间前6个月内任何1月（不含开标当月）资产负债表原件的扫描件1份；投标人的本项目开标时间前6个月内任何1月（不含开标当月）利润表月报表原件的扫描件1份或提供</w:t>
      </w:r>
      <w:r>
        <w:rPr>
          <w:rFonts w:hint="eastAsia" w:ascii="宋体" w:hAnsi="宋体" w:cs="宋体"/>
          <w:color w:val="000000" w:themeColor="text1"/>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上年度财务报告原件的扫描件或供应商的本项目开标时间前6个月内银行出具的资信证明原件的扫描件</w:t>
      </w:r>
      <w:r>
        <w:rPr>
          <w:rFonts w:hint="eastAsia" w:ascii="宋体" w:hAnsi="宋体" w:cs="宋体"/>
          <w:color w:val="000000" w:themeColor="text1"/>
          <w:sz w:val="24"/>
          <w:szCs w:val="24"/>
          <w:highlight w:val="none"/>
          <w:lang w:val="en-US" w:eastAsia="zh-CN" w:bidi="ar-SA"/>
          <w14:textFill>
            <w14:solidFill>
              <w14:schemeClr w14:val="tx1"/>
            </w14:solidFill>
          </w14:textFill>
        </w:rPr>
        <w:t>(加盖电子签章)</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14:paraId="01D1B642">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bidi="ar-SA"/>
          <w14:textFill>
            <w14:solidFill>
              <w14:schemeClr w14:val="tx1"/>
            </w14:solidFill>
          </w14:textFill>
        </w:rPr>
        <w:t>投标人在</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本项目开标时间前6个月内任何1月（不含开标当月）的依法缴纳税收和社会保障资金的相关材料扫描件；依法免税或不需要缴纳社会保障资金的投标人应提供相应其依法免税或不需要缴纳社会保障资金的证明文件扫描件</w:t>
      </w:r>
      <w:r>
        <w:rPr>
          <w:rFonts w:hint="eastAsia" w:ascii="宋体" w:hAnsi="宋体" w:cs="宋体"/>
          <w:color w:val="000000" w:themeColor="text1"/>
          <w:sz w:val="24"/>
          <w:szCs w:val="24"/>
          <w:highlight w:val="none"/>
          <w:lang w:val="en-US" w:eastAsia="zh-CN" w:bidi="ar-SA"/>
          <w14:textFill>
            <w14:solidFill>
              <w14:schemeClr w14:val="tx1"/>
            </w14:solidFill>
          </w14:textFill>
        </w:rPr>
        <w:t>(加盖电子签章)</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w:t>
      </w:r>
    </w:p>
    <w:p w14:paraId="02AFA80E">
      <w:pPr>
        <w:keepNext w:val="0"/>
        <w:keepLines w:val="0"/>
        <w:pageBreakBefore w:val="0"/>
        <w:pBdr>
          <w:top w:val="none" w:color="000000" w:sz="0" w:space="0"/>
          <w:left w:val="none" w:color="000000" w:sz="0" w:space="0"/>
          <w:bottom w:val="none" w:color="000000" w:sz="0" w:space="0"/>
          <w:right w:val="none" w:color="000000" w:sz="0" w:space="0"/>
        </w:pBdr>
        <w:spacing w:after="0" w:line="360" w:lineRule="auto"/>
        <w:ind w:right="26" w:firstLine="480"/>
        <w:rPr>
          <w:rFonts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具备履行合同所必需的设备和专业技术能力的证明材料提供具备履行合同所必需的设备和专业技术能力的书面声明（加盖电子签章，格式见《磋商文件》附件）；</w:t>
      </w:r>
    </w:p>
    <w:p w14:paraId="25DC78CD">
      <w:pPr>
        <w:keepNext w:val="0"/>
        <w:keepLines w:val="0"/>
        <w:pageBreakBefore w:val="0"/>
        <w:pBdr>
          <w:top w:val="none" w:color="000000" w:sz="0" w:space="0"/>
          <w:left w:val="none" w:color="000000" w:sz="0" w:space="0"/>
          <w:bottom w:val="none" w:color="000000" w:sz="0" w:space="0"/>
          <w:right w:val="none" w:color="000000" w:sz="0" w:space="0"/>
        </w:pBdr>
        <w:spacing w:after="0" w:line="360" w:lineRule="auto"/>
        <w:ind w:right="26" w:firstLine="48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投标人参加政府采购活动前3年内在经营活动中没有重大违法记录的书面声明（加盖电子签章，格式见《磋商文件》附件）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36688E5E">
      <w:pPr>
        <w:pStyle w:val="55"/>
        <w:keepNext w:val="0"/>
        <w:keepLines w:val="0"/>
        <w:pageBreakBefore w:val="0"/>
        <w:spacing w:line="360" w:lineRule="auto"/>
        <w:ind w:right="-334" w:firstLine="48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highlight w:val="none"/>
          <w:lang w:val="en-US" w:eastAsia="zh-CN"/>
          <w14:textFill>
            <w14:solidFill>
              <w14:schemeClr w14:val="tx1"/>
            </w14:solidFill>
          </w14:textFill>
        </w:rPr>
        <w:t>供应商为中小微企业（含中型、小型、微型企业，下同）的，提供《中小企业声明函》原件（</w:t>
      </w:r>
      <w:r>
        <w:rPr>
          <w:rFonts w:hint="eastAsia" w:ascii="宋体" w:hAnsi="宋体" w:cs="宋体"/>
          <w:bCs/>
          <w:color w:val="000000" w:themeColor="text1"/>
          <w:sz w:val="24"/>
          <w:highlight w:val="none"/>
          <w:lang w:val="en-US" w:eastAsia="zh-CN"/>
          <w14:textFill>
            <w14:solidFill>
              <w14:schemeClr w14:val="tx1"/>
            </w14:solidFill>
          </w14:textFill>
        </w:rPr>
        <w:t>加盖</w:t>
      </w:r>
      <w:r>
        <w:rPr>
          <w:rFonts w:hint="eastAsia" w:ascii="宋体" w:hAnsi="宋体" w:eastAsia="宋体" w:cs="宋体"/>
          <w:bCs/>
          <w:color w:val="000000" w:themeColor="text1"/>
          <w:sz w:val="24"/>
          <w:highlight w:val="none"/>
          <w:lang w:val="en-US" w:eastAsia="zh-CN"/>
          <w14:textFill>
            <w14:solidFill>
              <w14:schemeClr w14:val="tx1"/>
            </w14:solidFill>
          </w14:textFill>
        </w:rPr>
        <w:t>电子签章，填写完整</w:t>
      </w:r>
      <w:r>
        <w:rPr>
          <w:rFonts w:hint="eastAsia" w:ascii="宋体" w:hAnsi="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必须提供，格式见《磋商文件》附件）。《中小企业声明函》查询渠道参考工业和信息化部发布的中小企业规模自测小程序。</w:t>
      </w:r>
    </w:p>
    <w:p w14:paraId="5A046FA4">
      <w:pPr>
        <w:pStyle w:val="55"/>
        <w:keepNext w:val="0"/>
        <w:keepLines w:val="0"/>
        <w:pageBreakBefore w:val="0"/>
        <w:spacing w:line="360" w:lineRule="auto"/>
        <w:ind w:right="-334" w:firstLine="48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注：中小微企业，应当同时符合以下条件：</w:t>
      </w:r>
    </w:p>
    <w:p w14:paraId="29E990F0">
      <w:pPr>
        <w:pStyle w:val="55"/>
        <w:keepNext w:val="0"/>
        <w:keepLines w:val="0"/>
        <w:pageBreakBefore w:val="0"/>
        <w:spacing w:line="360" w:lineRule="auto"/>
        <w:ind w:right="-334" w:firstLine="48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14:paraId="39C0E82B">
      <w:pPr>
        <w:pStyle w:val="55"/>
        <w:keepNext w:val="0"/>
        <w:keepLines w:val="0"/>
        <w:pageBreakBefore w:val="0"/>
        <w:spacing w:line="360" w:lineRule="auto"/>
        <w:ind w:right="-334" w:firstLine="48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供应商为残疾人福利性单位的，视同小微企业，提供《残疾人福利性单位声明函》（电子签章，格式见附件》）。具体以《关于促进残疾人就业政府采购政策的通知》（财库〔2017〕141号）的规定为准。</w:t>
      </w:r>
    </w:p>
    <w:p w14:paraId="7301F36B">
      <w:pPr>
        <w:pStyle w:val="55"/>
        <w:keepNext w:val="0"/>
        <w:keepLines w:val="0"/>
        <w:pageBreakBefore w:val="0"/>
        <w:spacing w:line="360" w:lineRule="auto"/>
        <w:ind w:right="-334" w:firstLine="48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供应商为监狱企业的，视同小微企业，提供省级以上监狱管理局、戒毒管理局（含新疆生产建设兵团）出具的属于监狱企业的证明文件扫描件。具体以《财政部司法部关于政府采购支持监狱企业发展有关问题的通知》（财库〔2014〕68号）的规定为准。</w:t>
      </w:r>
    </w:p>
    <w:p w14:paraId="6E2E091A">
      <w:pPr>
        <w:pStyle w:val="51"/>
        <w:keepNext w:val="0"/>
        <w:keepLines w:val="0"/>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本项目的特定资格要求：</w:t>
      </w:r>
    </w:p>
    <w:p w14:paraId="7B72DEA3">
      <w:pPr>
        <w:pStyle w:val="51"/>
        <w:keepNext w:val="0"/>
        <w:keepLines w:val="0"/>
        <w:pageBreakBefore w:val="0"/>
        <w:spacing w:line="360" w:lineRule="auto"/>
        <w:ind w:firstLine="240"/>
        <w:rPr>
          <w:rFonts w:hint="eastAsia" w:ascii="宋体" w:hAnsi="宋体" w:eastAsia="宋体" w:cs="宋体"/>
          <w:bCs/>
          <w:color w:val="000000" w:themeColor="text1"/>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bidi="ar-SA"/>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bidi="ar-SA"/>
          <w14:textFill>
            <w14:solidFill>
              <w14:schemeClr w14:val="tx1"/>
            </w14:solidFill>
          </w14:textFill>
        </w:rPr>
        <w:t>供应商须具备</w:t>
      </w:r>
      <w:r>
        <w:rPr>
          <w:rFonts w:hint="eastAsia" w:ascii="宋体" w:hAnsi="宋体" w:cs="宋体"/>
          <w:bCs/>
          <w:color w:val="000000" w:themeColor="text1"/>
          <w:sz w:val="24"/>
          <w:szCs w:val="24"/>
          <w:highlight w:val="none"/>
          <w:lang w:val="en-US" w:eastAsia="zh-CN" w:bidi="ar-SA"/>
          <w14:textFill>
            <w14:solidFill>
              <w14:schemeClr w14:val="tx1"/>
            </w14:solidFill>
          </w14:textFill>
        </w:rPr>
        <w:t>市政公用工程施工总承包叁级（含）以上企业资质</w:t>
      </w:r>
      <w:r>
        <w:rPr>
          <w:rFonts w:hint="eastAsia" w:ascii="宋体" w:hAnsi="宋体" w:cs="宋体"/>
          <w:sz w:val="24"/>
          <w:highlight w:val="none"/>
          <w:lang w:eastAsia="zh-CN"/>
        </w:rPr>
        <w:t>（</w:t>
      </w:r>
      <w:r>
        <w:rPr>
          <w:rFonts w:hint="eastAsia" w:ascii="宋体" w:hAnsi="宋体" w:cs="宋体"/>
          <w:sz w:val="24"/>
          <w:highlight w:val="none"/>
          <w:lang w:val="en-US" w:eastAsia="zh-CN"/>
        </w:rPr>
        <w:t>原件扫描件</w:t>
      </w:r>
      <w:r>
        <w:rPr>
          <w:rFonts w:hint="eastAsia" w:ascii="宋体" w:hAnsi="宋体" w:cs="宋体"/>
          <w:sz w:val="24"/>
          <w:szCs w:val="24"/>
        </w:rPr>
        <w:t>加盖电子签章</w:t>
      </w:r>
      <w:r>
        <w:rPr>
          <w:rFonts w:hint="eastAsia" w:ascii="宋体" w:hAnsi="宋体" w:cs="宋体"/>
          <w:sz w:val="24"/>
          <w:highlight w:val="none"/>
          <w:lang w:eastAsia="zh-CN"/>
        </w:rPr>
        <w:t>）</w:t>
      </w:r>
      <w:r>
        <w:rPr>
          <w:rFonts w:hint="eastAsia" w:ascii="宋体" w:hAnsi="宋体" w:eastAsia="宋体" w:cs="宋体"/>
          <w:bCs/>
          <w:color w:val="000000" w:themeColor="text1"/>
          <w:sz w:val="24"/>
          <w:szCs w:val="24"/>
          <w:highlight w:val="none"/>
          <w:lang w:val="en-US" w:eastAsia="zh-CN" w:bidi="ar-SA"/>
          <w14:textFill>
            <w14:solidFill>
              <w14:schemeClr w14:val="tx1"/>
            </w14:solidFill>
          </w14:textFill>
        </w:rPr>
        <w:t>；</w:t>
      </w:r>
    </w:p>
    <w:p w14:paraId="05CB7ED9">
      <w:pPr>
        <w:pStyle w:val="51"/>
        <w:keepNext w:val="0"/>
        <w:keepLines w:val="0"/>
        <w:pageBreakBefore w:val="0"/>
        <w:spacing w:line="360" w:lineRule="auto"/>
        <w:ind w:firstLine="240"/>
        <w:rPr>
          <w:rFonts w:hint="eastAsia" w:ascii="宋体" w:hAnsi="宋体" w:eastAsia="宋体" w:cs="宋体"/>
          <w:bCs/>
          <w:color w:val="000000" w:themeColor="text1"/>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bidi="ar-SA"/>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bidi="ar-SA"/>
          <w14:textFill>
            <w14:solidFill>
              <w14:schemeClr w14:val="tx1"/>
            </w14:solidFill>
          </w14:textFill>
        </w:rPr>
        <w:t>供应商须具有效的《安全生产许可证》</w:t>
      </w:r>
      <w:r>
        <w:rPr>
          <w:rFonts w:hint="eastAsia" w:ascii="宋体" w:hAnsi="宋体" w:cs="宋体"/>
          <w:sz w:val="24"/>
          <w:highlight w:val="none"/>
          <w:lang w:eastAsia="zh-CN"/>
        </w:rPr>
        <w:t>（</w:t>
      </w:r>
      <w:r>
        <w:rPr>
          <w:rFonts w:hint="eastAsia" w:ascii="宋体" w:hAnsi="宋体" w:cs="宋体"/>
          <w:sz w:val="24"/>
          <w:highlight w:val="none"/>
          <w:lang w:val="en-US" w:eastAsia="zh-CN"/>
        </w:rPr>
        <w:t>原件扫描件</w:t>
      </w:r>
      <w:r>
        <w:rPr>
          <w:rFonts w:hint="eastAsia" w:ascii="宋体" w:hAnsi="宋体" w:cs="宋体"/>
          <w:sz w:val="24"/>
          <w:szCs w:val="24"/>
        </w:rPr>
        <w:t>加盖电子签章</w:t>
      </w:r>
      <w:r>
        <w:rPr>
          <w:rFonts w:hint="eastAsia" w:ascii="宋体" w:hAnsi="宋体" w:cs="宋体"/>
          <w:sz w:val="24"/>
          <w:highlight w:val="none"/>
          <w:lang w:eastAsia="zh-CN"/>
        </w:rPr>
        <w:t>）</w:t>
      </w:r>
      <w:r>
        <w:rPr>
          <w:rFonts w:hint="eastAsia" w:ascii="宋体" w:hAnsi="宋体" w:eastAsia="宋体" w:cs="宋体"/>
          <w:bCs/>
          <w:color w:val="000000" w:themeColor="text1"/>
          <w:sz w:val="24"/>
          <w:szCs w:val="24"/>
          <w:highlight w:val="none"/>
          <w:lang w:val="en-US" w:eastAsia="zh-CN" w:bidi="ar-SA"/>
          <w14:textFill>
            <w14:solidFill>
              <w14:schemeClr w14:val="tx1"/>
            </w14:solidFill>
          </w14:textFill>
        </w:rPr>
        <w:t>；</w:t>
      </w:r>
    </w:p>
    <w:p w14:paraId="247496F0">
      <w:pPr>
        <w:pStyle w:val="57"/>
        <w:keepNext w:val="0"/>
        <w:keepLines w:val="0"/>
        <w:pageBreakBefore w:val="0"/>
        <w:spacing w:line="360" w:lineRule="auto"/>
        <w:ind w:left="0" w:firstLine="240"/>
        <w:rPr>
          <w:rFonts w:hint="eastAsia" w:ascii="宋体" w:hAnsi="宋体" w:cs="宋体"/>
          <w:sz w:val="24"/>
          <w:szCs w:val="24"/>
        </w:rPr>
      </w:pPr>
      <w:r>
        <w:rPr>
          <w:rFonts w:hint="eastAsia" w:ascii="宋体" w:hAnsi="宋体" w:eastAsia="宋体" w:cs="宋体"/>
          <w:bCs/>
          <w:color w:val="000000" w:themeColor="text1"/>
          <w:sz w:val="24"/>
          <w:szCs w:val="24"/>
          <w:highlight w:val="none"/>
          <w:lang w:val="en-US" w:eastAsia="zh-CN" w:bidi="ar-SA"/>
          <w14:textFill>
            <w14:solidFill>
              <w14:schemeClr w14:val="tx1"/>
            </w14:solidFill>
          </w14:textFill>
        </w:rPr>
        <w:t>（3）供应商拟派项目负责人（注册建造师）具备市政公用工程贰级（含）以上注册建造师（资格），并取得《建筑施工企业项目负责人安全生产考核合格证书》（B证）且无在建工程的承诺书(承诺书格式自拟并加盖电子签章，其余提供原件扫描件加盖电子签章）。</w:t>
      </w:r>
    </w:p>
    <w:p w14:paraId="0295BC16">
      <w:pPr>
        <w:pageBreakBefore w:val="0"/>
        <w:pBdr>
          <w:top w:val="none" w:color="000000" w:sz="0" w:space="0"/>
          <w:left w:val="none" w:color="000000" w:sz="0" w:space="0"/>
          <w:bottom w:val="none" w:color="000000" w:sz="0" w:space="0"/>
          <w:right w:val="none" w:color="000000" w:sz="0" w:space="0"/>
        </w:pBdr>
        <w:spacing w:after="0" w:line="360" w:lineRule="auto"/>
        <w:ind w:firstLine="480"/>
        <w:rPr>
          <w:rFonts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lang w:eastAsia="zh-CN"/>
          <w14:textFill>
            <w14:solidFill>
              <w14:schemeClr w14:val="tx1"/>
            </w14:solidFill>
          </w14:textFill>
        </w:rPr>
        <w:t>）符合条件（必须提供，否则响应无效）</w:t>
      </w:r>
    </w:p>
    <w:p w14:paraId="0BC76CF6">
      <w:pPr>
        <w:pageBreakBefore w:val="0"/>
        <w:pBdr>
          <w:top w:val="none" w:color="000000" w:sz="0" w:space="0"/>
          <w:left w:val="none" w:color="000000" w:sz="0" w:space="0"/>
          <w:bottom w:val="none" w:color="000000" w:sz="0" w:space="0"/>
          <w:right w:val="none" w:color="000000" w:sz="0" w:space="0"/>
        </w:pBdr>
        <w:spacing w:after="0" w:line="360" w:lineRule="auto"/>
        <w:ind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1.《承诺书》（加盖电子签章，格式见《磋商文件》附件）；</w:t>
      </w:r>
    </w:p>
    <w:p w14:paraId="743114E4">
      <w:pPr>
        <w:pageBreakBefore w:val="0"/>
        <w:pBdr>
          <w:top w:val="none" w:color="000000" w:sz="0" w:space="0"/>
          <w:left w:val="none" w:color="000000" w:sz="0" w:space="0"/>
          <w:bottom w:val="none" w:color="000000" w:sz="0" w:space="0"/>
          <w:right w:val="none" w:color="000000" w:sz="0" w:space="0"/>
        </w:pBdr>
        <w:spacing w:after="0" w:line="360" w:lineRule="auto"/>
        <w:ind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2.《磋商报价表》（加盖电子签章，格式见《磋商文件》附件）；</w:t>
      </w:r>
    </w:p>
    <w:p w14:paraId="61048117">
      <w:pPr>
        <w:pageBreakBefore w:val="0"/>
        <w:pBdr>
          <w:top w:val="none" w:color="000000" w:sz="0" w:space="0"/>
          <w:left w:val="none" w:color="000000" w:sz="0" w:space="0"/>
          <w:bottom w:val="none" w:color="000000" w:sz="0" w:space="0"/>
          <w:right w:val="none" w:color="000000" w:sz="0" w:space="0"/>
        </w:pBdr>
        <w:spacing w:after="0" w:line="360" w:lineRule="auto"/>
        <w:ind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3.《分项价格表》（加盖电子签章，格式见《磋商文件》附件）；</w:t>
      </w:r>
    </w:p>
    <w:p w14:paraId="1CEE7C08">
      <w:pPr>
        <w:pageBreakBefore w:val="0"/>
        <w:pBdr>
          <w:top w:val="none" w:color="000000" w:sz="0" w:space="0"/>
          <w:left w:val="none" w:color="000000" w:sz="0" w:space="0"/>
          <w:bottom w:val="none" w:color="000000" w:sz="0" w:space="0"/>
          <w:right w:val="none" w:color="000000" w:sz="0" w:space="0"/>
        </w:pBdr>
        <w:spacing w:after="0" w:line="360" w:lineRule="auto"/>
        <w:ind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4.《授权委托书》（加盖电子签章，格式见《磋商文件》附件）；</w:t>
      </w:r>
    </w:p>
    <w:p w14:paraId="45340734">
      <w:pPr>
        <w:pageBreakBefore w:val="0"/>
        <w:pBdr>
          <w:top w:val="none" w:color="000000" w:sz="0" w:space="0"/>
          <w:left w:val="none" w:color="000000" w:sz="0" w:space="0"/>
          <w:bottom w:val="none" w:color="000000" w:sz="0" w:space="0"/>
          <w:right w:val="none" w:color="000000" w:sz="0" w:space="0"/>
        </w:pBdr>
        <w:spacing w:after="0" w:line="360" w:lineRule="auto"/>
        <w:ind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5.《偏离表》（加盖电子签章，格式见《磋商文件》附件）；</w:t>
      </w:r>
    </w:p>
    <w:p w14:paraId="53D29F20">
      <w:pPr>
        <w:pageBreakBefore w:val="0"/>
        <w:pBdr>
          <w:top w:val="none" w:color="000000" w:sz="0" w:space="0"/>
          <w:left w:val="none" w:color="000000" w:sz="0" w:space="0"/>
          <w:bottom w:val="none" w:color="000000" w:sz="0" w:space="0"/>
          <w:right w:val="none" w:color="000000" w:sz="0" w:space="0"/>
        </w:pBdr>
        <w:spacing w:after="0" w:line="360" w:lineRule="auto"/>
        <w:ind w:firstLine="480"/>
        <w:rPr>
          <w:rFonts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lang w:eastAsia="zh-CN"/>
          <w14:textFill>
            <w14:solidFill>
              <w14:schemeClr w14:val="tx1"/>
            </w14:solidFill>
          </w14:textFill>
        </w:rPr>
        <w:t>）综合评审评分项</w:t>
      </w:r>
    </w:p>
    <w:p w14:paraId="25657BF4">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1.技术部分</w:t>
      </w:r>
    </w:p>
    <w:p w14:paraId="2D4A1CC1">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rPr>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《总体施工方案》（</w:t>
      </w:r>
      <w:r>
        <w:rPr>
          <w:rFonts w:hint="eastAsia" w:ascii="宋体" w:hAnsi="宋体" w:eastAsia="宋体" w:cs="宋体"/>
          <w:color w:val="000000" w:themeColor="text1"/>
          <w:sz w:val="24"/>
          <w:szCs w:val="24"/>
          <w:highlight w:val="none"/>
          <w:lang w:eastAsia="zh-CN"/>
          <w14:textFill>
            <w14:solidFill>
              <w14:schemeClr w14:val="tx1"/>
            </w14:solidFill>
          </w14:textFill>
        </w:rPr>
        <w:t>要求见本文</w:t>
      </w:r>
      <w:r>
        <w:rPr>
          <w:rFonts w:hint="eastAsia" w:ascii="宋体" w:hAnsi="宋体" w:cs="宋体"/>
          <w:color w:val="000000" w:themeColor="text1"/>
          <w:sz w:val="24"/>
          <w:szCs w:val="24"/>
          <w:highlight w:val="none"/>
          <w:lang w:val="en-US" w:eastAsia="zh-CN"/>
          <w14:textFill>
            <w14:solidFill>
              <w14:schemeClr w14:val="tx1"/>
            </w14:solidFill>
          </w14:textFill>
        </w:rPr>
        <w:t>附件</w:t>
      </w:r>
      <w:r>
        <w:rPr>
          <w:rFonts w:hint="eastAsia" w:ascii="宋体" w:hAnsi="宋体" w:eastAsia="宋体" w:cs="宋体"/>
          <w:color w:val="000000" w:themeColor="text1"/>
          <w:sz w:val="24"/>
          <w:szCs w:val="24"/>
          <w:highlight w:val="none"/>
          <w:lang w:eastAsia="zh-CN"/>
          <w14:textFill>
            <w14:solidFill>
              <w14:schemeClr w14:val="tx1"/>
            </w14:solidFill>
          </w14:textFill>
        </w:rPr>
        <w:t>《评分细则》</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12A5F716">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施工进度计划及保证措施》（</w:t>
      </w:r>
      <w:r>
        <w:rPr>
          <w:rFonts w:hint="eastAsia" w:ascii="宋体" w:hAnsi="宋体" w:eastAsia="宋体" w:cs="宋体"/>
          <w:color w:val="000000" w:themeColor="text1"/>
          <w:sz w:val="24"/>
          <w:szCs w:val="24"/>
          <w:highlight w:val="none"/>
          <w:lang w:eastAsia="zh-CN"/>
          <w14:textFill>
            <w14:solidFill>
              <w14:schemeClr w14:val="tx1"/>
            </w14:solidFill>
          </w14:textFill>
        </w:rPr>
        <w:t>要求见本文</w:t>
      </w:r>
      <w:r>
        <w:rPr>
          <w:rFonts w:hint="eastAsia" w:ascii="宋体" w:hAnsi="宋体" w:cs="宋体"/>
          <w:color w:val="000000" w:themeColor="text1"/>
          <w:sz w:val="24"/>
          <w:szCs w:val="24"/>
          <w:highlight w:val="none"/>
          <w:lang w:val="en-US" w:eastAsia="zh-CN"/>
          <w14:textFill>
            <w14:solidFill>
              <w14:schemeClr w14:val="tx1"/>
            </w14:solidFill>
          </w14:textFill>
        </w:rPr>
        <w:t>附件</w:t>
      </w:r>
      <w:r>
        <w:rPr>
          <w:rFonts w:hint="eastAsia" w:ascii="宋体" w:hAnsi="宋体" w:eastAsia="宋体" w:cs="宋体"/>
          <w:color w:val="000000" w:themeColor="text1"/>
          <w:sz w:val="24"/>
          <w:szCs w:val="24"/>
          <w:highlight w:val="none"/>
          <w:lang w:eastAsia="zh-CN"/>
          <w14:textFill>
            <w14:solidFill>
              <w14:schemeClr w14:val="tx1"/>
            </w14:solidFill>
          </w14:textFill>
        </w:rPr>
        <w:t>《评分细则》</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F82409B">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施工质量保证措施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要求见本文</w:t>
      </w:r>
      <w:r>
        <w:rPr>
          <w:rFonts w:hint="eastAsia" w:ascii="宋体" w:hAnsi="宋体" w:cs="宋体"/>
          <w:color w:val="000000" w:themeColor="text1"/>
          <w:sz w:val="24"/>
          <w:szCs w:val="24"/>
          <w:highlight w:val="none"/>
          <w:lang w:val="en-US" w:eastAsia="zh-CN"/>
          <w14:textFill>
            <w14:solidFill>
              <w14:schemeClr w14:val="tx1"/>
            </w14:solidFill>
          </w14:textFill>
        </w:rPr>
        <w:t>附件</w:t>
      </w:r>
      <w:r>
        <w:rPr>
          <w:rFonts w:hint="eastAsia" w:ascii="宋体" w:hAnsi="宋体" w:eastAsia="宋体" w:cs="宋体"/>
          <w:color w:val="000000" w:themeColor="text1"/>
          <w:sz w:val="24"/>
          <w:szCs w:val="24"/>
          <w:highlight w:val="none"/>
          <w:lang w:eastAsia="zh-CN"/>
          <w14:textFill>
            <w14:solidFill>
              <w14:schemeClr w14:val="tx1"/>
            </w14:solidFill>
          </w14:textFill>
        </w:rPr>
        <w:t>《评分细则》</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D83BE3E">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cs="宋体"/>
          <w:color w:val="000000" w:themeColor="text1"/>
          <w:sz w:val="24"/>
          <w:szCs w:val="24"/>
          <w:highlight w:val="none"/>
          <w:lang w:val="en-US" w:eastAsia="zh-CN" w:bidi="ar-SA"/>
          <w14:textFill>
            <w14:solidFill>
              <w14:schemeClr w14:val="tx1"/>
            </w14:solidFill>
          </w14:textFill>
        </w:rPr>
        <w:t>项目管理班子人员配备、素质及管理经验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要求见本文</w:t>
      </w:r>
      <w:r>
        <w:rPr>
          <w:rFonts w:hint="eastAsia" w:ascii="宋体" w:hAnsi="宋体" w:cs="宋体"/>
          <w:color w:val="000000" w:themeColor="text1"/>
          <w:sz w:val="24"/>
          <w:szCs w:val="24"/>
          <w:highlight w:val="none"/>
          <w:lang w:val="en-US" w:eastAsia="zh-CN"/>
          <w14:textFill>
            <w14:solidFill>
              <w14:schemeClr w14:val="tx1"/>
            </w14:solidFill>
          </w14:textFill>
        </w:rPr>
        <w:t>附件</w:t>
      </w:r>
      <w:r>
        <w:rPr>
          <w:rFonts w:hint="eastAsia" w:ascii="宋体" w:hAnsi="宋体" w:eastAsia="宋体" w:cs="宋体"/>
          <w:color w:val="000000" w:themeColor="text1"/>
          <w:sz w:val="24"/>
          <w:szCs w:val="24"/>
          <w:highlight w:val="none"/>
          <w:lang w:eastAsia="zh-CN"/>
          <w14:textFill>
            <w14:solidFill>
              <w14:schemeClr w14:val="tx1"/>
            </w14:solidFill>
          </w14:textFill>
        </w:rPr>
        <w:t>《评分细则》</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0F08E73">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cs="宋体"/>
          <w:color w:val="000000" w:themeColor="text1"/>
          <w:sz w:val="24"/>
          <w:szCs w:val="24"/>
          <w:highlight w:val="none"/>
          <w:lang w:val="en-US" w:eastAsia="zh-CN" w:bidi="ar-SA"/>
          <w14:textFill>
            <w14:solidFill>
              <w14:schemeClr w14:val="tx1"/>
            </w14:solidFill>
          </w14:textFill>
        </w:rPr>
        <w:t>关键施工技术、工艺及工程项目实施的重点、难点和解决方案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要求见本文</w:t>
      </w:r>
      <w:r>
        <w:rPr>
          <w:rFonts w:hint="eastAsia" w:ascii="宋体" w:hAnsi="宋体" w:cs="宋体"/>
          <w:color w:val="000000" w:themeColor="text1"/>
          <w:sz w:val="24"/>
          <w:szCs w:val="24"/>
          <w:highlight w:val="none"/>
          <w:lang w:val="en-US" w:eastAsia="zh-CN"/>
          <w14:textFill>
            <w14:solidFill>
              <w14:schemeClr w14:val="tx1"/>
            </w14:solidFill>
          </w14:textFill>
        </w:rPr>
        <w:t>附件</w:t>
      </w:r>
      <w:r>
        <w:rPr>
          <w:rFonts w:hint="eastAsia" w:ascii="宋体" w:hAnsi="宋体" w:eastAsia="宋体" w:cs="宋体"/>
          <w:color w:val="000000" w:themeColor="text1"/>
          <w:sz w:val="24"/>
          <w:szCs w:val="24"/>
          <w:highlight w:val="none"/>
          <w:lang w:eastAsia="zh-CN"/>
          <w14:textFill>
            <w14:solidFill>
              <w14:schemeClr w14:val="tx1"/>
            </w14:solidFill>
          </w14:textFill>
        </w:rPr>
        <w:t>《评分细则》</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CB13070">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cs="宋体"/>
          <w:color w:val="000000" w:themeColor="text1"/>
          <w:sz w:val="24"/>
          <w:szCs w:val="24"/>
          <w:highlight w:val="none"/>
          <w:lang w:val="en-US" w:eastAsia="zh-CN" w:bidi="ar-SA"/>
          <w14:textFill>
            <w14:solidFill>
              <w14:schemeClr w14:val="tx1"/>
            </w14:solidFill>
          </w14:textFill>
        </w:rPr>
        <w:t>安全文明施工方案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要求见本文</w:t>
      </w:r>
      <w:r>
        <w:rPr>
          <w:rFonts w:hint="eastAsia" w:ascii="宋体" w:hAnsi="宋体" w:cs="宋体"/>
          <w:color w:val="000000" w:themeColor="text1"/>
          <w:sz w:val="24"/>
          <w:szCs w:val="24"/>
          <w:highlight w:val="none"/>
          <w:lang w:val="en-US" w:eastAsia="zh-CN"/>
          <w14:textFill>
            <w14:solidFill>
              <w14:schemeClr w14:val="tx1"/>
            </w14:solidFill>
          </w14:textFill>
        </w:rPr>
        <w:t>附件</w:t>
      </w:r>
      <w:r>
        <w:rPr>
          <w:rFonts w:hint="eastAsia" w:ascii="宋体" w:hAnsi="宋体" w:eastAsia="宋体" w:cs="宋体"/>
          <w:color w:val="000000" w:themeColor="text1"/>
          <w:sz w:val="24"/>
          <w:szCs w:val="24"/>
          <w:highlight w:val="none"/>
          <w:lang w:eastAsia="zh-CN"/>
          <w14:textFill>
            <w14:solidFill>
              <w14:schemeClr w14:val="tx1"/>
            </w14:solidFill>
          </w14:textFill>
        </w:rPr>
        <w:t>《评分细则》</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948561E">
      <w:pPr>
        <w:keepNext w:val="0"/>
        <w:keepLines w:val="0"/>
        <w:pageBreakBefore w:val="0"/>
        <w:widowControl/>
        <w:spacing w:line="360" w:lineRule="auto"/>
        <w:ind w:firstLine="480"/>
        <w:rPr>
          <w:highlight w:val="none"/>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cs="宋体"/>
          <w:color w:val="000000" w:themeColor="text1"/>
          <w:sz w:val="24"/>
          <w:szCs w:val="24"/>
          <w:highlight w:val="none"/>
          <w:lang w:val="en-US" w:eastAsia="zh-CN" w:bidi="ar-SA"/>
          <w14:textFill>
            <w14:solidFill>
              <w14:schemeClr w14:val="tx1"/>
            </w14:solidFill>
          </w14:textFill>
        </w:rPr>
        <w:t>后期维保方案及措施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要求见本文</w:t>
      </w:r>
      <w:r>
        <w:rPr>
          <w:rFonts w:hint="eastAsia" w:ascii="宋体" w:hAnsi="宋体" w:cs="宋体"/>
          <w:color w:val="000000" w:themeColor="text1"/>
          <w:sz w:val="24"/>
          <w:szCs w:val="24"/>
          <w:highlight w:val="none"/>
          <w:lang w:val="en-US" w:eastAsia="zh-CN"/>
          <w14:textFill>
            <w14:solidFill>
              <w14:schemeClr w14:val="tx1"/>
            </w14:solidFill>
          </w14:textFill>
        </w:rPr>
        <w:t>附件</w:t>
      </w:r>
      <w:r>
        <w:rPr>
          <w:rFonts w:hint="eastAsia" w:ascii="宋体" w:hAnsi="宋体" w:eastAsia="宋体" w:cs="宋体"/>
          <w:color w:val="000000" w:themeColor="text1"/>
          <w:sz w:val="24"/>
          <w:szCs w:val="24"/>
          <w:highlight w:val="none"/>
          <w:lang w:eastAsia="zh-CN"/>
          <w14:textFill>
            <w14:solidFill>
              <w14:schemeClr w14:val="tx1"/>
            </w14:solidFill>
          </w14:textFill>
        </w:rPr>
        <w:t>《评分细则》</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F6BD7C1">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.商务部分</w:t>
      </w:r>
    </w:p>
    <w:p w14:paraId="1A66B9CD">
      <w:pPr>
        <w:pStyle w:val="292"/>
        <w:pageBreakBefore w:val="0"/>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类似</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业绩》</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要求见本文</w:t>
      </w:r>
      <w:r>
        <w:rPr>
          <w:rFonts w:hint="eastAsia" w:ascii="宋体" w:hAnsi="宋体" w:cs="宋体"/>
          <w:color w:val="000000" w:themeColor="text1"/>
          <w:sz w:val="24"/>
          <w:szCs w:val="24"/>
          <w:highlight w:val="none"/>
          <w:lang w:val="en-US" w:eastAsia="zh-CN"/>
          <w14:textFill>
            <w14:solidFill>
              <w14:schemeClr w14:val="tx1"/>
            </w14:solidFill>
          </w14:textFill>
        </w:rPr>
        <w:t>附件</w:t>
      </w:r>
      <w:r>
        <w:rPr>
          <w:rFonts w:hint="eastAsia" w:ascii="宋体" w:hAnsi="宋体" w:eastAsia="宋体" w:cs="宋体"/>
          <w:color w:val="000000" w:themeColor="text1"/>
          <w:sz w:val="24"/>
          <w:szCs w:val="24"/>
          <w:highlight w:val="none"/>
          <w:lang w:eastAsia="zh-CN"/>
          <w14:textFill>
            <w14:solidFill>
              <w14:schemeClr w14:val="tx1"/>
            </w14:solidFill>
          </w14:textFill>
        </w:rPr>
        <w:t>《评分细则》</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3803849">
      <w:pPr>
        <w:pStyle w:val="292"/>
        <w:pageBreakBefore w:val="0"/>
        <w:spacing w:line="360" w:lineRule="auto"/>
        <w:ind w:firstLine="48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企业资信</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要求见本文</w:t>
      </w:r>
      <w:r>
        <w:rPr>
          <w:rFonts w:hint="eastAsia" w:ascii="宋体" w:hAnsi="宋体" w:cs="宋体"/>
          <w:color w:val="000000" w:themeColor="text1"/>
          <w:sz w:val="24"/>
          <w:szCs w:val="24"/>
          <w:highlight w:val="none"/>
          <w:lang w:val="en-US" w:eastAsia="zh-CN"/>
          <w14:textFill>
            <w14:solidFill>
              <w14:schemeClr w14:val="tx1"/>
            </w14:solidFill>
          </w14:textFill>
        </w:rPr>
        <w:t>附件</w:t>
      </w:r>
      <w:r>
        <w:rPr>
          <w:rFonts w:hint="eastAsia" w:ascii="宋体" w:hAnsi="宋体" w:eastAsia="宋体" w:cs="宋体"/>
          <w:color w:val="000000" w:themeColor="text1"/>
          <w:sz w:val="24"/>
          <w:szCs w:val="24"/>
          <w:highlight w:val="none"/>
          <w:lang w:eastAsia="zh-CN"/>
          <w14:textFill>
            <w14:solidFill>
              <w14:schemeClr w14:val="tx1"/>
            </w14:solidFill>
          </w14:textFill>
        </w:rPr>
        <w:t>《评分细则》</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F5860F6">
      <w:pPr>
        <w:pageBreakBefore w:val="0"/>
        <w:pBdr>
          <w:top w:val="none" w:color="000000" w:sz="0" w:space="0"/>
          <w:left w:val="none" w:color="000000" w:sz="0" w:space="0"/>
          <w:bottom w:val="none" w:color="000000" w:sz="0" w:space="0"/>
          <w:right w:val="none" w:color="000000" w:sz="0" w:space="0"/>
        </w:pBdr>
        <w:spacing w:after="0" w:line="360" w:lineRule="auto"/>
        <w:ind w:firstLine="241"/>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lang w:eastAsia="zh-CN"/>
          <w14:textFill>
            <w14:solidFill>
              <w14:schemeClr w14:val="tx1"/>
            </w14:solidFill>
          </w14:textFill>
        </w:rPr>
        <w:t>）价格折扣文件格式</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无</w:t>
      </w:r>
    </w:p>
    <w:p w14:paraId="68806854">
      <w:pPr>
        <w:pStyle w:val="70"/>
        <w:pageBreakBefore w:val="0"/>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bookmarkStart w:id="37" w:name="_Toc1742"/>
      <w:bookmarkStart w:id="38" w:name="_Toc13331"/>
      <w:bookmarkStart w:id="39" w:name="_Toc25734"/>
      <w:bookmarkStart w:id="40" w:name="_Toc25964"/>
      <w:bookmarkStart w:id="41" w:name="_Toc4298"/>
      <w:bookmarkStart w:id="42" w:name="_Toc9739"/>
      <w:bookmarkStart w:id="43" w:name="_Toc20389"/>
      <w:bookmarkStart w:id="44" w:name="_Toc17282"/>
      <w:bookmarkStart w:id="45" w:name="_Toc575"/>
      <w:bookmarkStart w:id="46" w:name="_Toc4286"/>
      <w:r>
        <w:rPr>
          <w:rFonts w:hint="eastAsia" w:ascii="宋体" w:hAnsi="宋体" w:eastAsia="宋体" w:cs="宋体"/>
          <w:color w:val="000000" w:themeColor="text1"/>
          <w:sz w:val="30"/>
          <w:szCs w:val="30"/>
          <w:highlight w:val="none"/>
          <w14:textFill>
            <w14:solidFill>
              <w14:schemeClr w14:val="tx1"/>
            </w14:solidFill>
          </w14:textFill>
        </w:rPr>
        <w:t>第四章 磋商相关说明</w:t>
      </w:r>
      <w:bookmarkEnd w:id="37"/>
      <w:bookmarkEnd w:id="38"/>
      <w:bookmarkEnd w:id="39"/>
      <w:bookmarkEnd w:id="40"/>
      <w:bookmarkEnd w:id="41"/>
      <w:bookmarkEnd w:id="42"/>
      <w:bookmarkEnd w:id="43"/>
      <w:bookmarkEnd w:id="44"/>
      <w:bookmarkEnd w:id="45"/>
      <w:bookmarkEnd w:id="46"/>
    </w:p>
    <w:p w14:paraId="7D79830F">
      <w:pPr>
        <w:pStyle w:val="55"/>
        <w:keepNext w:val="0"/>
        <w:keepLines w:val="0"/>
        <w:pageBreakBefore w:val="0"/>
        <w:widowControl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一、评审程序：</w:t>
      </w:r>
    </w:p>
    <w:p w14:paraId="71B349A1">
      <w:pPr>
        <w:pStyle w:val="48"/>
        <w:keepNext w:val="0"/>
        <w:keepLines w:val="0"/>
        <w:pageBreakBefore w:val="0"/>
        <w:widowControl w:val="0"/>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(一)磋商要求</w:t>
      </w:r>
    </w:p>
    <w:p w14:paraId="0310BB1E">
      <w:pPr>
        <w:pStyle w:val="48"/>
        <w:keepNext w:val="0"/>
        <w:keepLines w:val="0"/>
        <w:pageBreakBefore w:val="0"/>
        <w:widowControl w:val="0"/>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1.被邀请参与磋商的供应商需按本竞争性磋商文件要求的截止时间、方式（地点）提交首次响应文件，同时派人通过“苏采云”系统在“开标大厅”等待磋商。</w:t>
      </w:r>
    </w:p>
    <w:p w14:paraId="0518B4EE">
      <w:pPr>
        <w:pStyle w:val="48"/>
        <w:keepNext w:val="0"/>
        <w:keepLines w:val="0"/>
        <w:pageBreakBefore w:val="0"/>
        <w:widowControl w:val="0"/>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2. 供应商可通过CA数字证书，在首次响应文件开启时间后，使用CA数字证书在规定时间内解密各自响应文件。</w:t>
      </w:r>
    </w:p>
    <w:p w14:paraId="2CDD7AE3">
      <w:pPr>
        <w:pStyle w:val="48"/>
        <w:keepNext w:val="0"/>
        <w:keepLines w:val="0"/>
        <w:pageBreakBefore w:val="0"/>
        <w:widowControl w:val="0"/>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3.</w:t>
      </w:r>
      <w:r>
        <w:rPr>
          <w:rFonts w:hint="eastAsia" w:ascii="宋体" w:hAnsi="宋体" w:eastAsia="宋体" w:cs="宋体"/>
          <w:b w:val="0"/>
          <w:bCs/>
          <w:color w:val="000000" w:themeColor="text1"/>
          <w:highlight w:val="none"/>
          <w:lang w:eastAsia="zh-CN"/>
          <w14:textFill>
            <w14:solidFill>
              <w14:schemeClr w14:val="tx1"/>
            </w14:solidFill>
          </w14:textFill>
        </w:rPr>
        <w:t>供应商的授权代表或法定代表人须全程守候在“苏采云”系统开标大厅，并确保视频设备正常使用。授权代表或法定代表人须携带授权委托书原件及身份证原件，经磋商小组核查后参与磋商活动</w:t>
      </w:r>
      <w:r>
        <w:rPr>
          <w:rFonts w:hint="eastAsia" w:ascii="宋体" w:hAnsi="宋体" w:eastAsia="宋体" w:cs="宋体"/>
          <w:b w:val="0"/>
          <w:bCs/>
          <w:color w:val="000000" w:themeColor="text1"/>
          <w:highlight w:val="none"/>
          <w14:textFill>
            <w14:solidFill>
              <w14:schemeClr w14:val="tx1"/>
            </w14:solidFill>
          </w14:textFill>
        </w:rPr>
        <w:t>。</w:t>
      </w:r>
    </w:p>
    <w:p w14:paraId="56676939">
      <w:pPr>
        <w:pStyle w:val="48"/>
        <w:keepNext w:val="0"/>
        <w:keepLines w:val="0"/>
        <w:pageBreakBefore w:val="0"/>
        <w:widowControl w:val="0"/>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4.磋商顺序按照电子标书解密先后时间进行，解密时间相同的，不分先后顺序。</w:t>
      </w:r>
    </w:p>
    <w:p w14:paraId="149AD289">
      <w:pPr>
        <w:pStyle w:val="48"/>
        <w:keepNext w:val="0"/>
        <w:keepLines w:val="0"/>
        <w:pageBreakBefore w:val="0"/>
        <w:widowControl w:val="0"/>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5.磋商方式：</w:t>
      </w:r>
      <w:r>
        <w:rPr>
          <w:rFonts w:hint="eastAsia" w:ascii="宋体" w:hAnsi="宋体" w:eastAsia="宋体" w:cs="宋体"/>
          <w:color w:val="000000" w:themeColor="text1"/>
          <w:highlight w:val="none"/>
          <w14:textFill>
            <w14:solidFill>
              <w14:schemeClr w14:val="tx1"/>
            </w14:solidFill>
          </w14:textFill>
        </w:rPr>
        <w:t>本次磋商采用“苏采云”系统中的视频会议，供应商自行选择任意地点参加远程磋商会议。请供应商在磋商前等候在开标大厅，随时接听磋商小组发出的磋商视频邀请（所有邀请等待时间2分钟，2分钟内所邀请供应商无响应，视同放弃磋商的权利，由解密顺序下一家进行磋商，不再后补）</w:t>
      </w:r>
    </w:p>
    <w:p w14:paraId="7183E509">
      <w:pPr>
        <w:pStyle w:val="48"/>
        <w:keepNext w:val="0"/>
        <w:keepLines w:val="0"/>
        <w:pageBreakBefore w:val="0"/>
        <w:widowControl w:val="0"/>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6.未在规定时间内进行答疑澄清的，视同放弃澄清。</w:t>
      </w:r>
    </w:p>
    <w:p w14:paraId="7824A6E1">
      <w:pPr>
        <w:pStyle w:val="48"/>
        <w:keepNext w:val="0"/>
        <w:keepLines w:val="0"/>
        <w:pageBreakBefore w:val="0"/>
        <w:widowControl w:val="0"/>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7.未在规定时间内进行报价的，视为响应无效。</w:t>
      </w:r>
    </w:p>
    <w:p w14:paraId="1F28C546">
      <w:pPr>
        <w:pStyle w:val="59"/>
        <w:keepNext w:val="0"/>
        <w:keepLines w:val="0"/>
        <w:pageBreakBefore w:val="0"/>
        <w:widowControl w:val="0"/>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8.被邀请参与磋商的供应商如未按上述磋商要求执行，视同放弃磋商的权利。</w:t>
      </w:r>
    </w:p>
    <w:p w14:paraId="63431F37">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9.本项目无效标书判定（磋商文件的实质性要求）</w:t>
      </w:r>
    </w:p>
    <w:p w14:paraId="4E59E81E">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9.1供应商资格条件不符合国家有关规定或磋商文件要求的；</w:t>
      </w:r>
    </w:p>
    <w:p w14:paraId="2C69FAA1">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9.2响应报价低于成本或者高于磋商文件设定的最高限价的；</w:t>
      </w:r>
    </w:p>
    <w:p w14:paraId="033CA8AB">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9.</w:t>
      </w:r>
      <w:r>
        <w:rPr>
          <w:rFonts w:hint="eastAsia" w:ascii="宋体" w:hAnsi="宋体" w:eastAsia="宋体" w:cs="宋体"/>
          <w:b w:val="0"/>
          <w:bCs/>
          <w:color w:val="000000" w:themeColor="text1"/>
          <w:highlight w:val="none"/>
          <w:lang w:val="en-US" w:eastAsia="zh-CN"/>
          <w14:textFill>
            <w14:solidFill>
              <w14:schemeClr w14:val="tx1"/>
            </w14:solidFill>
          </w14:textFill>
        </w:rPr>
        <w:t>3</w:t>
      </w:r>
      <w:r>
        <w:rPr>
          <w:rFonts w:hint="eastAsia" w:ascii="宋体" w:hAnsi="宋体" w:eastAsia="宋体" w:cs="宋体"/>
          <w:b w:val="0"/>
          <w:bCs/>
          <w:color w:val="000000" w:themeColor="text1"/>
          <w:highlight w:val="none"/>
          <w14:textFill>
            <w14:solidFill>
              <w14:schemeClr w14:val="tx1"/>
            </w14:solidFill>
          </w14:textFill>
        </w:rPr>
        <w:t xml:space="preserve">响应文件载明的招标项目完成期限超过磋商文件规定的期限的； </w:t>
      </w:r>
    </w:p>
    <w:p w14:paraId="31B6595C">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9.</w:t>
      </w:r>
      <w:r>
        <w:rPr>
          <w:rFonts w:hint="eastAsia" w:ascii="宋体" w:hAnsi="宋体" w:eastAsia="宋体" w:cs="宋体"/>
          <w:b w:val="0"/>
          <w:bCs/>
          <w:color w:val="000000" w:themeColor="text1"/>
          <w:highlight w:val="none"/>
          <w:lang w:val="en-US" w:eastAsia="zh-CN"/>
          <w14:textFill>
            <w14:solidFill>
              <w14:schemeClr w14:val="tx1"/>
            </w14:solidFill>
          </w14:textFill>
        </w:rPr>
        <w:t>4</w:t>
      </w:r>
      <w:r>
        <w:rPr>
          <w:rFonts w:hint="eastAsia" w:ascii="宋体" w:hAnsi="宋体" w:eastAsia="宋体" w:cs="宋体"/>
          <w:b w:val="0"/>
          <w:bCs/>
          <w:color w:val="000000" w:themeColor="text1"/>
          <w:highlight w:val="none"/>
          <w14:textFill>
            <w14:solidFill>
              <w14:schemeClr w14:val="tx1"/>
            </w14:solidFill>
          </w14:textFill>
        </w:rPr>
        <w:t xml:space="preserve">明显不符合技术规范、技术标准的要求的； </w:t>
      </w:r>
    </w:p>
    <w:p w14:paraId="19362AA8">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9.</w:t>
      </w:r>
      <w:r>
        <w:rPr>
          <w:rFonts w:hint="eastAsia" w:ascii="宋体" w:hAnsi="宋体" w:eastAsia="宋体" w:cs="宋体"/>
          <w:b w:val="0"/>
          <w:bCs/>
          <w:color w:val="000000" w:themeColor="text1"/>
          <w:highlight w:val="none"/>
          <w:lang w:val="en-US" w:eastAsia="zh-CN"/>
          <w14:textFill>
            <w14:solidFill>
              <w14:schemeClr w14:val="tx1"/>
            </w14:solidFill>
          </w14:textFill>
        </w:rPr>
        <w:t>5</w:t>
      </w:r>
      <w:r>
        <w:rPr>
          <w:rFonts w:hint="eastAsia" w:ascii="宋体" w:hAnsi="宋体" w:eastAsia="宋体" w:cs="宋体"/>
          <w:b w:val="0"/>
          <w:bCs/>
          <w:color w:val="000000" w:themeColor="text1"/>
          <w:highlight w:val="none"/>
          <w14:textFill>
            <w14:solidFill>
              <w14:schemeClr w14:val="tx1"/>
            </w14:solidFill>
          </w14:textFill>
        </w:rPr>
        <w:t xml:space="preserve">响应文件载明的货物包装方式、检验标准和方法等不符合磋商文件的要求的； </w:t>
      </w:r>
    </w:p>
    <w:p w14:paraId="4E032465">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9.</w:t>
      </w:r>
      <w:r>
        <w:rPr>
          <w:rFonts w:hint="eastAsia" w:ascii="宋体" w:hAnsi="宋体" w:eastAsia="宋体" w:cs="宋体"/>
          <w:b w:val="0"/>
          <w:bCs/>
          <w:color w:val="000000" w:themeColor="text1"/>
          <w:highlight w:val="none"/>
          <w:lang w:val="en-US" w:eastAsia="zh-CN"/>
          <w14:textFill>
            <w14:solidFill>
              <w14:schemeClr w14:val="tx1"/>
            </w14:solidFill>
          </w14:textFill>
        </w:rPr>
        <w:t>6</w:t>
      </w:r>
      <w:r>
        <w:rPr>
          <w:rFonts w:hint="eastAsia" w:ascii="宋体" w:hAnsi="宋体" w:eastAsia="宋体" w:cs="宋体"/>
          <w:b w:val="0"/>
          <w:bCs/>
          <w:color w:val="000000" w:themeColor="text1"/>
          <w:highlight w:val="none"/>
          <w14:textFill>
            <w14:solidFill>
              <w14:schemeClr w14:val="tx1"/>
            </w14:solidFill>
          </w14:textFill>
        </w:rPr>
        <w:t xml:space="preserve">响应文件提出了不能满足磋商文件要求或采购人不能接受的验收、计量、价款结算和支付办法的； </w:t>
      </w:r>
    </w:p>
    <w:p w14:paraId="27F93095">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9.</w:t>
      </w:r>
      <w:r>
        <w:rPr>
          <w:rFonts w:hint="eastAsia" w:ascii="宋体" w:hAnsi="宋体" w:eastAsia="宋体" w:cs="宋体"/>
          <w:b w:val="0"/>
          <w:bCs/>
          <w:color w:val="000000" w:themeColor="text1"/>
          <w:highlight w:val="none"/>
          <w:lang w:val="en-US" w:eastAsia="zh-CN"/>
          <w14:textFill>
            <w14:solidFill>
              <w14:schemeClr w14:val="tx1"/>
            </w14:solidFill>
          </w14:textFill>
        </w:rPr>
        <w:t>7</w:t>
      </w:r>
      <w:r>
        <w:rPr>
          <w:rFonts w:hint="eastAsia" w:ascii="宋体" w:hAnsi="宋体" w:eastAsia="宋体" w:cs="宋体"/>
          <w:b w:val="0"/>
          <w:bCs/>
          <w:color w:val="000000" w:themeColor="text1"/>
          <w:highlight w:val="none"/>
          <w14:textFill>
            <w14:solidFill>
              <w14:schemeClr w14:val="tx1"/>
            </w14:solidFill>
          </w14:textFill>
        </w:rPr>
        <w:t xml:space="preserve">不同供应商的响应文件以及响应文件制作过程出现了评标委员会认为不应当雷同的情况的； </w:t>
      </w:r>
    </w:p>
    <w:p w14:paraId="366988AA">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9.</w:t>
      </w:r>
      <w:r>
        <w:rPr>
          <w:rFonts w:hint="eastAsia" w:ascii="宋体" w:hAnsi="宋体" w:eastAsia="宋体" w:cs="宋体"/>
          <w:b w:val="0"/>
          <w:bCs/>
          <w:color w:val="000000" w:themeColor="text1"/>
          <w:highlight w:val="none"/>
          <w:lang w:val="en-US" w:eastAsia="zh-CN"/>
          <w14:textFill>
            <w14:solidFill>
              <w14:schemeClr w14:val="tx1"/>
            </w14:solidFill>
          </w14:textFill>
        </w:rPr>
        <w:t>8</w:t>
      </w:r>
      <w:r>
        <w:rPr>
          <w:rFonts w:hint="eastAsia" w:ascii="宋体" w:hAnsi="宋体" w:eastAsia="宋体" w:cs="宋体"/>
          <w:b w:val="0"/>
          <w:bCs/>
          <w:color w:val="000000" w:themeColor="text1"/>
          <w:highlight w:val="none"/>
          <w14:textFill>
            <w14:solidFill>
              <w14:schemeClr w14:val="tx1"/>
            </w14:solidFill>
          </w14:textFill>
        </w:rPr>
        <w:t>以他人的名义投标、串通投标、以行贿手段谋取成交或者以其他弄虚作假方式投标的；</w:t>
      </w:r>
    </w:p>
    <w:p w14:paraId="16192153">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9.1</w:t>
      </w:r>
      <w:r>
        <w:rPr>
          <w:rFonts w:hint="eastAsia" w:ascii="宋体" w:hAnsi="宋体" w:eastAsia="宋体" w:cs="宋体"/>
          <w:b w:val="0"/>
          <w:bCs/>
          <w:color w:val="000000" w:themeColor="text1"/>
          <w:highlight w:val="none"/>
          <w:lang w:val="en-US" w:eastAsia="zh-CN"/>
          <w14:textFill>
            <w14:solidFill>
              <w14:schemeClr w14:val="tx1"/>
            </w14:solidFill>
          </w14:textFill>
        </w:rPr>
        <w:t>9</w:t>
      </w:r>
      <w:r>
        <w:rPr>
          <w:rFonts w:hint="eastAsia" w:ascii="宋体" w:hAnsi="宋体" w:eastAsia="宋体" w:cs="宋体"/>
          <w:b w:val="0"/>
          <w:bCs/>
          <w:color w:val="000000" w:themeColor="text1"/>
          <w:highlight w:val="none"/>
          <w14:textFill>
            <w14:solidFill>
              <w14:schemeClr w14:val="tx1"/>
            </w14:solidFill>
          </w14:textFill>
        </w:rPr>
        <w:t>响应文件内容不全或关键字模糊、无法辨认的；未按磋商文件要求提供电子响应文件，或者响应文件未能解密且按照磋商文件明确的响应文件解密失败的补救方案补救不成功的。</w:t>
      </w:r>
    </w:p>
    <w:p w14:paraId="145CCB70">
      <w:pPr>
        <w:pStyle w:val="48"/>
        <w:keepNext w:val="0"/>
        <w:keepLines w:val="0"/>
        <w:pageBreakBefore w:val="0"/>
        <w:widowControl w:val="0"/>
        <w:spacing w:line="360" w:lineRule="auto"/>
        <w:ind w:firstLine="24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 xml:space="preserve"> (二) 查询及使用供应商信用记录</w:t>
      </w:r>
    </w:p>
    <w:p w14:paraId="210E3829">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1.由采购人查询信用信息。</w:t>
      </w:r>
    </w:p>
    <w:p w14:paraId="0D670EB0">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2.查询渠道包括：</w:t>
      </w:r>
    </w:p>
    <w:p w14:paraId="443CC712">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(1)“信用中国”网（www.creditchina.gov.cn）；</w:t>
      </w:r>
    </w:p>
    <w:p w14:paraId="34E7CDC1">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(2) 中国政府采购网（www.ccgp.gov.cn）；</w:t>
      </w:r>
    </w:p>
    <w:p w14:paraId="305FC160">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(3) “诚信江苏”网（www.jiangsu.gov.cn/jsxy/index.htm）</w:t>
      </w:r>
    </w:p>
    <w:p w14:paraId="5B46FFA6">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和或“信用江苏”网（http://credit.jiangsu.gov.cn/）；</w:t>
      </w:r>
    </w:p>
    <w:p w14:paraId="2E121723">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(4)“诚信徐州”网（ http://www.xuzhoucredit.gov.cn）。</w:t>
      </w:r>
    </w:p>
    <w:p w14:paraId="6B5CC4AC">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和或“信用徐州”网（www.xuzhoucredit.gov.cn/）。</w:t>
      </w:r>
    </w:p>
    <w:p w14:paraId="26CBD302">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3.截止时点（查询环节）：首次响应文件开启后资格审查结束前。</w:t>
      </w:r>
    </w:p>
    <w:p w14:paraId="66C30C08">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4.信用信息查询记录和证据留存的具体方式：</w:t>
      </w:r>
    </w:p>
    <w:p w14:paraId="57E830AC">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网页截屏打印，与其他采购文件一并保存。</w:t>
      </w:r>
    </w:p>
    <w:p w14:paraId="1301CD59">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5.信用信息的使用规则：</w:t>
      </w:r>
    </w:p>
    <w:p w14:paraId="608669DF">
      <w:pPr>
        <w:pStyle w:val="48"/>
        <w:keepNext w:val="0"/>
        <w:keepLines w:val="0"/>
        <w:pageBreakBefore w:val="0"/>
        <w:widowControl w:val="0"/>
        <w:spacing w:line="360" w:lineRule="auto"/>
        <w:ind w:firstLine="482"/>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17DCDA08">
      <w:pPr>
        <w:pStyle w:val="48"/>
        <w:keepNext w:val="0"/>
        <w:keepLines w:val="0"/>
        <w:pageBreakBefore w:val="0"/>
        <w:widowControl w:val="0"/>
        <w:numPr>
          <w:ilvl w:val="0"/>
          <w:numId w:val="5"/>
        </w:numPr>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评审程序</w:t>
      </w:r>
    </w:p>
    <w:p w14:paraId="4A993FD0">
      <w:pPr>
        <w:pStyle w:val="48"/>
        <w:keepNext w:val="0"/>
        <w:keepLines w:val="0"/>
        <w:pageBreakBefore w:val="0"/>
        <w:widowControl w:val="0"/>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本项目报价采用二轮报价，供应商应凭CA数字证书以及能够登录“苏采云”系统的电脑在规定时间内进行二轮报价，</w:t>
      </w:r>
      <w:r>
        <w:rPr>
          <w:rFonts w:hint="eastAsia" w:ascii="宋体" w:hAnsi="宋体" w:eastAsia="宋体" w:cs="宋体"/>
          <w:color w:val="000000" w:themeColor="text1"/>
          <w:highlight w:val="none"/>
          <w14:textFill>
            <w14:solidFill>
              <w14:schemeClr w14:val="tx1"/>
            </w14:solidFill>
          </w14:textFill>
        </w:rPr>
        <w:t>所有实质性响应的供应商在规定时间内均需提交最后报价</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b w:val="0"/>
          <w:bCs/>
          <w:color w:val="000000" w:themeColor="text1"/>
          <w:highlight w:val="none"/>
          <w14:textFill>
            <w14:solidFill>
              <w14:schemeClr w14:val="tx1"/>
            </w14:solidFill>
          </w14:textFill>
        </w:rPr>
        <w:t xml:space="preserve"> 二轮报价报价时间为</w:t>
      </w:r>
      <w:r>
        <w:rPr>
          <w:rFonts w:hint="eastAsia" w:hAnsi="宋体" w:cs="宋体"/>
          <w:b w:val="0"/>
          <w:bCs/>
          <w:color w:val="000000" w:themeColor="text1"/>
          <w:highlight w:val="none"/>
          <w:lang w:val="en-US" w:eastAsia="zh-CN"/>
          <w14:textFill>
            <w14:solidFill>
              <w14:schemeClr w14:val="tx1"/>
            </w14:solidFill>
          </w14:textFill>
        </w:rPr>
        <w:t>10</w:t>
      </w:r>
      <w:r>
        <w:rPr>
          <w:rFonts w:hint="eastAsia" w:ascii="宋体" w:hAnsi="宋体" w:eastAsia="宋体" w:cs="宋体"/>
          <w:b w:val="0"/>
          <w:bCs/>
          <w:color w:val="000000" w:themeColor="text1"/>
          <w:highlight w:val="none"/>
          <w14:textFill>
            <w14:solidFill>
              <w14:schemeClr w14:val="tx1"/>
            </w14:solidFill>
          </w14:textFill>
        </w:rPr>
        <w:t>分钟。</w:t>
      </w:r>
    </w:p>
    <w:p w14:paraId="46928726">
      <w:pPr>
        <w:pStyle w:val="48"/>
        <w:keepNext w:val="0"/>
        <w:keepLines w:val="0"/>
        <w:pageBreakBefore w:val="0"/>
        <w:widowControl w:val="0"/>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磋商评审小组的组建：采购人组建。</w:t>
      </w:r>
      <w:r>
        <w:rPr>
          <w:rFonts w:hint="eastAsia" w:hAnsi="宋体" w:cs="宋体"/>
          <w:b w:val="0"/>
          <w:bCs/>
        </w:rPr>
        <w:t>磋商小组成员构成：3人。磋商小组确定方式：由采购人评委和政府采购专家（从《江苏省政府采购专家库》随机抽取）组成。</w:t>
      </w:r>
    </w:p>
    <w:p w14:paraId="5AA463D9">
      <w:pPr>
        <w:pStyle w:val="48"/>
        <w:keepNext w:val="0"/>
        <w:keepLines w:val="0"/>
        <w:pageBreakBefore w:val="0"/>
        <w:widowControl w:val="0"/>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03630D27">
      <w:pPr>
        <w:pStyle w:val="48"/>
        <w:keepNext w:val="0"/>
        <w:keepLines w:val="0"/>
        <w:pageBreakBefore w:val="0"/>
        <w:widowControl w:val="0"/>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磋商小组应当根据综合评分情况，按照评审得分由高到低顺序推荐成交候选供应商，并编写评审报告。评审得分相同的，按照最后报价由低到高的顺序推荐。评审得分且最后报价相同的，按照技术部分优劣顺序推荐。</w:t>
      </w:r>
    </w:p>
    <w:p w14:paraId="4AD43A8D">
      <w:pPr>
        <w:pStyle w:val="48"/>
        <w:keepNext w:val="0"/>
        <w:keepLines w:val="0"/>
        <w:pageBreakBefore w:val="0"/>
        <w:widowControl w:val="0"/>
        <w:spacing w:line="360" w:lineRule="auto"/>
        <w:ind w:firstLine="480"/>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磋商小组认为供应商的报价明显低于其他供应商的报价，有可能影响</w:t>
      </w:r>
      <w:r>
        <w:rPr>
          <w:rFonts w:hint="eastAsia" w:hAnsi="宋体" w:cs="宋体"/>
          <w:b w:val="0"/>
          <w:bCs/>
          <w:color w:val="000000" w:themeColor="text1"/>
          <w:highlight w:val="none"/>
          <w:lang w:val="en-US" w:eastAsia="zh-CN"/>
          <w14:textFill>
            <w14:solidFill>
              <w14:schemeClr w14:val="tx1"/>
            </w14:solidFill>
          </w14:textFill>
        </w:rPr>
        <w:t>工程</w:t>
      </w:r>
      <w:r>
        <w:rPr>
          <w:rFonts w:hint="eastAsia" w:ascii="宋体" w:hAnsi="宋体" w:eastAsia="宋体" w:cs="宋体"/>
          <w:b w:val="0"/>
          <w:bCs/>
          <w:color w:val="000000" w:themeColor="text1"/>
          <w:highlight w:val="none"/>
          <w14:textFill>
            <w14:solidFill>
              <w14:schemeClr w14:val="tx1"/>
            </w14:solidFill>
          </w14:textFill>
        </w:rPr>
        <w:t>质量或者不能诚信履约的，应当要求其在评审现场合理的时间内提供书面说明，必要时提交相关证明材料；供应商不能证明其报价合理性的，磋商小组应当将其按响应无效处理。</w:t>
      </w:r>
    </w:p>
    <w:p w14:paraId="5DA2A138">
      <w:pPr>
        <w:pStyle w:val="59"/>
        <w:keepNext w:val="0"/>
        <w:keepLines w:val="0"/>
        <w:pageBreakBefore w:val="0"/>
        <w:widowControl w:val="0"/>
        <w:spacing w:line="360" w:lineRule="auto"/>
        <w:ind w:left="2" w:right="29"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相关内容和要求见：《中华人民共和国政府采购法》、《中华人民共和国政府采购法实施条例》及《政府采购竞争性磋商采购方式管理暂行办法》。</w:t>
      </w:r>
    </w:p>
    <w:p w14:paraId="0CA69CAC">
      <w:pPr>
        <w:pStyle w:val="55"/>
        <w:keepNext w:val="0"/>
        <w:keepLines w:val="0"/>
        <w:pageBreakBefore w:val="0"/>
        <w:widowControl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二、评审方法和评审标准：</w:t>
      </w:r>
    </w:p>
    <w:p w14:paraId="73C2B674">
      <w:pPr>
        <w:pStyle w:val="55"/>
        <w:keepNext w:val="0"/>
        <w:keepLines w:val="0"/>
        <w:pageBreakBefore w:val="0"/>
        <w:widowControl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1、评审方法：综合评分法</w:t>
      </w:r>
    </w:p>
    <w:p w14:paraId="33241B19">
      <w:pPr>
        <w:pStyle w:val="55"/>
        <w:keepNext w:val="0"/>
        <w:keepLines w:val="0"/>
        <w:pageBreakBefore w:val="0"/>
        <w:widowControl w:val="0"/>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评审标准：本项目选用综合评分法，即竞争性磋商响应文件满足竞争性磋商文件全部实质性要求，且按照评审因素的量化指标评审得分最高的供应商为成交候选人。综合评分的主要因素是：报价、技术部分、商务部分，以及相应的比重或者权值等。详见《磋商文件》第八章附件《评分细则》</w:t>
      </w:r>
      <w:r>
        <w:rPr>
          <w:rFonts w:hint="eastAsia" w:ascii="宋体" w:hAnsi="宋体" w:cs="宋体"/>
          <w:color w:val="000000" w:themeColor="text1"/>
          <w:sz w:val="24"/>
          <w:highlight w:val="none"/>
          <w:lang w:eastAsia="zh-CN"/>
          <w14:textFill>
            <w14:solidFill>
              <w14:schemeClr w14:val="tx1"/>
            </w14:solidFill>
          </w14:textFill>
        </w:rPr>
        <w:t>。</w:t>
      </w:r>
    </w:p>
    <w:p w14:paraId="43B83C8F">
      <w:pPr>
        <w:pStyle w:val="55"/>
        <w:keepNext w:val="0"/>
        <w:keepLines w:val="0"/>
        <w:pageBreakBefore w:val="0"/>
        <w:widowControl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三、磋商过程中可能实质性变动的内容：</w:t>
      </w:r>
    </w:p>
    <w:p w14:paraId="15CF0207">
      <w:pPr>
        <w:pStyle w:val="55"/>
        <w:keepNext w:val="0"/>
        <w:keepLines w:val="0"/>
        <w:pageBreakBefore w:val="0"/>
        <w:widowControl w:val="0"/>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在磋商过程中，磋商小组可以根据《磋商文件》和磋商情况实质性变动采购需求中的技术、服务要求以及合同草案条款。</w:t>
      </w:r>
    </w:p>
    <w:p w14:paraId="580A13DD">
      <w:pPr>
        <w:pStyle w:val="55"/>
        <w:keepNext w:val="0"/>
        <w:keepLines w:val="0"/>
        <w:pageBreakBefore w:val="0"/>
        <w:widowControl w:val="0"/>
        <w:spacing w:line="360" w:lineRule="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四、采购人有权对供应商的响应文件的真实性进行核实</w:t>
      </w:r>
      <w:r>
        <w:rPr>
          <w:rFonts w:hint="eastAsia" w:ascii="宋体" w:hAnsi="宋体" w:eastAsia="宋体" w:cs="宋体"/>
          <w:color w:val="000000" w:themeColor="text1"/>
          <w:sz w:val="24"/>
          <w:highlight w:val="none"/>
          <w14:textFill>
            <w14:solidFill>
              <w14:schemeClr w14:val="tx1"/>
            </w14:solidFill>
          </w14:textFill>
        </w:rPr>
        <w:t>，如供应商不能在采购人规定的时间内向采购人提供有效的证明文件，将被采购人认定为具有《中华人民共和国政府采购法》第七十七条所规定的“提供虚假材料谋取中标、成交的”情形，并承担相应的法律责任</w:t>
      </w:r>
      <w:r>
        <w:rPr>
          <w:rFonts w:hint="eastAsia" w:ascii="宋体" w:hAnsi="宋体" w:cs="宋体"/>
          <w:color w:val="000000" w:themeColor="text1"/>
          <w:sz w:val="24"/>
          <w:highlight w:val="none"/>
          <w:lang w:eastAsia="zh-CN"/>
          <w14:textFill>
            <w14:solidFill>
              <w14:schemeClr w14:val="tx1"/>
            </w14:solidFill>
          </w14:textFill>
        </w:rPr>
        <w:t>。</w:t>
      </w:r>
    </w:p>
    <w:p w14:paraId="250C9445">
      <w:pPr>
        <w:pStyle w:val="55"/>
        <w:rPr>
          <w:rFonts w:hint="eastAsia"/>
        </w:rPr>
      </w:pPr>
      <w:bookmarkStart w:id="47" w:name="_Toc1470"/>
      <w:bookmarkStart w:id="48" w:name="_Toc11935"/>
      <w:bookmarkStart w:id="49" w:name="_Toc677"/>
      <w:bookmarkStart w:id="50" w:name="_Toc8321"/>
      <w:bookmarkStart w:id="51" w:name="_Toc5288"/>
      <w:bookmarkStart w:id="52" w:name="_Toc570"/>
      <w:bookmarkStart w:id="53" w:name="_Toc4341"/>
      <w:bookmarkStart w:id="54" w:name="_Toc1946"/>
      <w:bookmarkStart w:id="55" w:name="_Toc4900"/>
      <w:bookmarkStart w:id="56" w:name="_Toc18016"/>
    </w:p>
    <w:p w14:paraId="412A1B0E">
      <w:pPr>
        <w:pStyle w:val="55"/>
        <w:keepNext w:val="0"/>
        <w:keepLines w:val="0"/>
        <w:pageBreakBefore w:val="0"/>
        <w:widowControl w:val="0"/>
        <w:spacing w:line="360" w:lineRule="auto"/>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第五章  确定成交供应商及合同签订等</w:t>
      </w:r>
      <w:bookmarkEnd w:id="47"/>
      <w:bookmarkEnd w:id="48"/>
      <w:bookmarkEnd w:id="49"/>
      <w:bookmarkEnd w:id="50"/>
      <w:bookmarkEnd w:id="51"/>
      <w:bookmarkEnd w:id="52"/>
      <w:bookmarkEnd w:id="53"/>
      <w:bookmarkEnd w:id="54"/>
      <w:bookmarkEnd w:id="55"/>
      <w:bookmarkEnd w:id="56"/>
    </w:p>
    <w:p w14:paraId="10C81DB6">
      <w:pPr>
        <w:pStyle w:val="55"/>
        <w:pageBreakBefore w:val="0"/>
        <w:spacing w:line="360" w:lineRule="auto"/>
        <w:ind w:firstLine="482"/>
        <w:rPr>
          <w:rFonts w:hint="eastAsia" w:ascii="宋体" w:hAnsi="宋体" w:eastAsia="宋体" w:cs="宋体"/>
          <w:color w:val="auto"/>
          <w:sz w:val="24"/>
          <w:highlight w:val="none"/>
        </w:rPr>
      </w:pPr>
      <w:r>
        <w:rPr>
          <w:rFonts w:hint="eastAsia" w:ascii="宋体" w:hAnsi="宋体" w:eastAsia="宋体" w:cs="宋体"/>
          <w:bCs/>
          <w:color w:val="000000" w:themeColor="text1"/>
          <w:sz w:val="24"/>
          <w:highlight w:val="none"/>
          <w14:textFill>
            <w14:solidFill>
              <w14:schemeClr w14:val="tx1"/>
            </w14:solidFill>
          </w14:textFill>
        </w:rPr>
        <w:t>一、成交结果确认：</w:t>
      </w:r>
      <w:r>
        <w:rPr>
          <w:rFonts w:hint="eastAsia" w:ascii="宋体" w:hAnsi="宋体" w:eastAsia="宋体" w:cs="宋体"/>
          <w:color w:val="auto"/>
          <w:sz w:val="24"/>
          <w:highlight w:val="none"/>
        </w:rPr>
        <w:t>采购人应当在收到评审报告后5个工作日内，从评审报告提出的成交候选供应商中，按照排序由高到低的原则确定成交供应商。在省级以上财政部门指定的政府采购信息发布媒体上公告成交结果，公告标的的基本概况为成交供应商的《磋商报价表》（最后报价）。</w:t>
      </w:r>
    </w:p>
    <w:p w14:paraId="5F74B0EB">
      <w:pPr>
        <w:pStyle w:val="55"/>
        <w:pageBreakBefore w:val="0"/>
        <w:spacing w:line="360" w:lineRule="auto"/>
        <w:ind w:firstLine="482"/>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二、供应商应对响应文件的合法性、真实性负责。</w:t>
      </w:r>
      <w:r>
        <w:rPr>
          <w:rFonts w:hint="eastAsia" w:ascii="宋体" w:hAnsi="宋体" w:eastAsia="宋体" w:cs="宋体"/>
          <w:b/>
          <w:color w:val="000000" w:themeColor="text1"/>
          <w:sz w:val="24"/>
          <w:highlight w:val="none"/>
          <w14:textFill>
            <w14:solidFill>
              <w14:schemeClr w14:val="tx1"/>
            </w14:solidFill>
          </w14:textFill>
        </w:rPr>
        <w:t>签订合同前，中标人必须向采购人提交其响应文件中所有扫描件的原件，采购人核查无误后，签订合同。</w:t>
      </w:r>
      <w:r>
        <w:rPr>
          <w:rFonts w:hint="eastAsia" w:ascii="宋体" w:hAnsi="宋体" w:eastAsia="宋体" w:cs="宋体"/>
          <w:bCs/>
          <w:color w:val="000000" w:themeColor="text1"/>
          <w:sz w:val="24"/>
          <w:highlight w:val="none"/>
          <w14:textFill>
            <w14:solidFill>
              <w14:schemeClr w14:val="tx1"/>
            </w14:solidFill>
          </w14:textFill>
        </w:rPr>
        <w:t>如成交供应商不能在采购人规定的时间内向采购人提供原件，将被采购人认定为具有《中华人民共和国政府采购法》第七十七条所规定的“提供虚假材料谋取中标、成交的”情形，并承担相应的法律责任。特别要求的除外。</w:t>
      </w:r>
    </w:p>
    <w:p w14:paraId="10D5EEC4">
      <w:pPr>
        <w:pStyle w:val="55"/>
        <w:pageBreakBefore w:val="0"/>
        <w:spacing w:line="360" w:lineRule="auto"/>
        <w:ind w:firstLine="482"/>
        <w:rPr>
          <w:rFonts w:hint="eastAsia" w:ascii="宋体" w:hAnsi="宋体" w:eastAsia="宋体" w:cs="宋体"/>
          <w:color w:val="auto"/>
          <w:highlight w:val="none"/>
        </w:rPr>
      </w:pPr>
      <w:r>
        <w:rPr>
          <w:rFonts w:hint="eastAsia" w:ascii="宋体" w:hAnsi="宋体" w:cs="宋体"/>
          <w:bCs/>
          <w:color w:val="000000" w:themeColor="text1"/>
          <w:sz w:val="24"/>
          <w:highlight w:val="none"/>
          <w:lang w:val="en-US" w:eastAsia="zh-CN"/>
          <w14:textFill>
            <w14:solidFill>
              <w14:schemeClr w14:val="tx1"/>
            </w14:solidFill>
          </w14:textFill>
        </w:rPr>
        <w:t>三</w:t>
      </w:r>
      <w:r>
        <w:rPr>
          <w:rFonts w:hint="eastAsia" w:ascii="宋体" w:hAnsi="宋体" w:eastAsia="宋体" w:cs="宋体"/>
          <w:bCs/>
          <w:color w:val="000000" w:themeColor="text1"/>
          <w:sz w:val="24"/>
          <w:highlight w:val="none"/>
          <w14:textFill>
            <w14:solidFill>
              <w14:schemeClr w14:val="tx1"/>
            </w14:solidFill>
          </w14:textFill>
        </w:rPr>
        <w:t>、</w:t>
      </w:r>
      <w:bookmarkStart w:id="57" w:name="_Toc27571"/>
      <w:bookmarkStart w:id="58" w:name="_Toc8179"/>
      <w:bookmarkStart w:id="59" w:name="_Toc753"/>
      <w:bookmarkStart w:id="60" w:name="_Toc26346"/>
      <w:bookmarkStart w:id="61" w:name="_Toc11048"/>
      <w:bookmarkStart w:id="62" w:name="_Toc11573"/>
      <w:bookmarkStart w:id="63" w:name="_Toc9526"/>
      <w:bookmarkStart w:id="64" w:name="_Toc26370"/>
      <w:bookmarkStart w:id="65" w:name="_Toc22576"/>
      <w:bookmarkStart w:id="66" w:name="_Toc28376"/>
      <w:r>
        <w:rPr>
          <w:rFonts w:hint="eastAsia" w:ascii="宋体" w:hAnsi="宋体" w:eastAsia="宋体" w:cs="宋体"/>
          <w:color w:val="auto"/>
          <w:sz w:val="24"/>
          <w:highlight w:val="none"/>
        </w:rPr>
        <w:t>特别说明：按照《政府采购法》及其实施条例以及相关规定，中标或者成交后无正当理由拒不与采购人签订政府采购合同的, 在一至三年内禁止参加政府采购活动，列入政府采购严重违法失信行为记录名单。</w:t>
      </w:r>
    </w:p>
    <w:p w14:paraId="59873480">
      <w:pPr>
        <w:pStyle w:val="57"/>
        <w:ind w:left="0" w:firstLine="0"/>
        <w:rPr>
          <w:rFonts w:hint="eastAsia" w:ascii="宋体" w:hAnsi="宋体" w:eastAsia="宋体" w:cs="宋体"/>
          <w:color w:val="000000" w:themeColor="text1"/>
          <w:sz w:val="24"/>
          <w:szCs w:val="24"/>
          <w:highlight w:val="none"/>
          <w14:textFill>
            <w14:solidFill>
              <w14:schemeClr w14:val="tx1"/>
            </w14:solidFill>
          </w14:textFill>
        </w:rPr>
      </w:pPr>
    </w:p>
    <w:p w14:paraId="18275B2D">
      <w:pPr>
        <w:pStyle w:val="70"/>
        <w:pageBreakBefore w:val="0"/>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第六章 磋商文件的澄清或者修改</w:t>
      </w:r>
      <w:bookmarkEnd w:id="57"/>
      <w:bookmarkEnd w:id="58"/>
      <w:bookmarkEnd w:id="59"/>
      <w:bookmarkEnd w:id="60"/>
      <w:bookmarkEnd w:id="61"/>
      <w:bookmarkEnd w:id="62"/>
      <w:bookmarkEnd w:id="63"/>
      <w:bookmarkEnd w:id="64"/>
      <w:bookmarkEnd w:id="65"/>
      <w:bookmarkEnd w:id="66"/>
    </w:p>
    <w:p w14:paraId="63904340">
      <w:pPr>
        <w:pStyle w:val="55"/>
        <w:pageBreakBefore w:val="0"/>
        <w:spacing w:line="360" w:lineRule="auto"/>
        <w:ind w:firstLine="48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一、《磋商文件》的澄清或者修改：</w:t>
      </w:r>
    </w:p>
    <w:p w14:paraId="5707E217">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附件的形式通知所有获取《磋商文件》的供应商。发布本项目的“更正公告”后采购代理机构已尽通知义务。敬请各所有获取《磋商文件》的供应商关注本项目的“更正公告”及附件，否则，将自行承担相应的风险。</w:t>
      </w:r>
    </w:p>
    <w:p w14:paraId="5192D60E">
      <w:pPr>
        <w:pStyle w:val="319"/>
        <w:pageBreakBefore w:val="0"/>
        <w:spacing w:line="360" w:lineRule="auto"/>
        <w:ind w:left="0" w:firstLine="0"/>
        <w:rPr>
          <w:rFonts w:hint="eastAsia" w:ascii="宋体" w:hAnsi="宋体" w:eastAsia="宋体" w:cs="宋体"/>
          <w:color w:val="000000" w:themeColor="text1"/>
          <w:sz w:val="24"/>
          <w:highlight w:val="none"/>
          <w14:textFill>
            <w14:solidFill>
              <w14:schemeClr w14:val="tx1"/>
            </w14:solidFill>
          </w14:textFill>
        </w:rPr>
      </w:pPr>
    </w:p>
    <w:p w14:paraId="543BC6CE">
      <w:pPr>
        <w:pStyle w:val="70"/>
        <w:pageBreakBefore w:val="0"/>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bookmarkStart w:id="67" w:name="_Toc7515"/>
      <w:bookmarkStart w:id="68" w:name="_Toc8704"/>
      <w:bookmarkStart w:id="69" w:name="_Toc21663"/>
      <w:bookmarkStart w:id="70" w:name="_Toc31276"/>
      <w:bookmarkStart w:id="71" w:name="_Toc24021"/>
      <w:bookmarkStart w:id="72" w:name="_Toc26635"/>
      <w:bookmarkStart w:id="73" w:name="_Toc24692"/>
      <w:bookmarkStart w:id="74" w:name="_Toc6980"/>
      <w:bookmarkStart w:id="75" w:name="_Toc21449"/>
      <w:bookmarkStart w:id="76" w:name="_Toc29765"/>
      <w:r>
        <w:rPr>
          <w:rFonts w:hint="eastAsia" w:ascii="宋体" w:hAnsi="宋体" w:eastAsia="宋体" w:cs="宋体"/>
          <w:color w:val="000000" w:themeColor="text1"/>
          <w:sz w:val="30"/>
          <w:szCs w:val="30"/>
          <w:highlight w:val="none"/>
          <w14:textFill>
            <w14:solidFill>
              <w14:schemeClr w14:val="tx1"/>
            </w14:solidFill>
          </w14:textFill>
        </w:rPr>
        <w:t>第七章 询问和质疑</w:t>
      </w:r>
      <w:bookmarkEnd w:id="67"/>
      <w:bookmarkEnd w:id="68"/>
      <w:bookmarkEnd w:id="69"/>
      <w:bookmarkEnd w:id="70"/>
      <w:bookmarkEnd w:id="71"/>
      <w:bookmarkEnd w:id="72"/>
      <w:bookmarkEnd w:id="73"/>
      <w:bookmarkEnd w:id="74"/>
      <w:bookmarkEnd w:id="75"/>
      <w:bookmarkEnd w:id="76"/>
    </w:p>
    <w:p w14:paraId="6F9E26AA">
      <w:pPr>
        <w:pStyle w:val="55"/>
        <w:pageBreakBefore w:val="0"/>
        <w:widowControl/>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一、询问和质疑：</w:t>
      </w:r>
    </w:p>
    <w:p w14:paraId="4C0939CF">
      <w:pPr>
        <w:pStyle w:val="55"/>
        <w:pageBreakBefore w:val="0"/>
        <w:widowControl/>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0D44E620">
      <w:pPr>
        <w:pStyle w:val="55"/>
        <w:pageBreakBefore w:val="0"/>
        <w:widowControl/>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2、质疑和投诉按《政府采购质疑和投诉办法》执行。</w:t>
      </w:r>
    </w:p>
    <w:p w14:paraId="002AA7F1">
      <w:pPr>
        <w:pStyle w:val="55"/>
        <w:pageBreakBefore w:val="0"/>
        <w:widowControl/>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3、供应商对同一采购程序环节的质疑应在质疑期内一次性提出。</w:t>
      </w:r>
    </w:p>
    <w:p w14:paraId="0422672D">
      <w:pPr>
        <w:pStyle w:val="55"/>
        <w:pageBreakBefore w:val="0"/>
        <w:widowControl/>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4、接收质疑函的方式：供应商直接送交或供应商通过EMS邮寄。</w:t>
      </w:r>
    </w:p>
    <w:p w14:paraId="2AB23D27">
      <w:pPr>
        <w:pStyle w:val="55"/>
        <w:pageBreakBefore w:val="0"/>
        <w:widowControl/>
        <w:spacing w:line="360" w:lineRule="auto"/>
        <w:ind w:firstLine="1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质疑接收人：</w:t>
      </w:r>
      <w:r>
        <w:rPr>
          <w:rFonts w:hint="eastAsia" w:ascii="宋体" w:hAnsi="宋体" w:cs="宋体"/>
          <w:color w:val="000000" w:themeColor="text1"/>
          <w:sz w:val="24"/>
          <w:highlight w:val="none"/>
          <w:lang w:val="en-US" w:eastAsia="zh-CN"/>
          <w14:textFill>
            <w14:solidFill>
              <w14:schemeClr w14:val="tx1"/>
            </w14:solidFill>
          </w14:textFill>
        </w:rPr>
        <w:t>沈溪</w:t>
      </w:r>
      <w:r>
        <w:rPr>
          <w:rFonts w:hint="eastAsia" w:ascii="宋体" w:hAnsi="宋体" w:eastAsia="宋体" w:cs="宋体"/>
          <w:color w:val="000000" w:themeColor="text1"/>
          <w:sz w:val="24"/>
          <w:highlight w:val="none"/>
          <w14:textFill>
            <w14:solidFill>
              <w14:schemeClr w14:val="tx1"/>
            </w14:solidFill>
          </w14:textFill>
        </w:rPr>
        <w:t xml:space="preserve">      联系电话：</w:t>
      </w:r>
      <w:r>
        <w:rPr>
          <w:rFonts w:hint="eastAsia" w:ascii="宋体" w:hAnsi="宋体" w:cs="宋体"/>
          <w:color w:val="000000" w:themeColor="text1"/>
          <w:sz w:val="24"/>
          <w:highlight w:val="none"/>
          <w:lang w:val="en-US" w:eastAsia="zh-CN"/>
          <w14:textFill>
            <w14:solidFill>
              <w14:schemeClr w14:val="tx1"/>
            </w14:solidFill>
          </w14:textFill>
        </w:rPr>
        <w:t>15895271323</w:t>
      </w:r>
    </w:p>
    <w:p w14:paraId="2351E110">
      <w:pPr>
        <w:pStyle w:val="55"/>
        <w:pageBreakBefore w:val="0"/>
        <w:widowControl/>
        <w:spacing w:line="360" w:lineRule="auto"/>
        <w:ind w:firstLine="1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lang w:val="en-US" w:eastAsia="zh-CN"/>
          <w14:textFill>
            <w14:solidFill>
              <w14:schemeClr w14:val="tx1"/>
            </w14:solidFill>
          </w14:textFill>
        </w:rPr>
        <w:t>新沂市黄沭路19-</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号</w:t>
      </w:r>
      <w:r>
        <w:rPr>
          <w:rFonts w:hint="eastAsia" w:ascii="宋体" w:hAnsi="宋体" w:eastAsia="宋体" w:cs="宋体"/>
          <w:color w:val="000000" w:themeColor="text1"/>
          <w:sz w:val="24"/>
          <w:highlight w:val="none"/>
          <w14:textFill>
            <w14:solidFill>
              <w14:schemeClr w14:val="tx1"/>
            </w14:solidFill>
          </w14:textFill>
        </w:rPr>
        <w:t xml:space="preserve"> </w:t>
      </w:r>
    </w:p>
    <w:p w14:paraId="035730DD">
      <w:pPr>
        <w:pStyle w:val="70"/>
        <w:pageBreakBefore w:val="0"/>
        <w:spacing w:before="0" w:after="0"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clear="all"/>
      </w:r>
      <w:bookmarkStart w:id="77" w:name="_Toc31"/>
      <w:bookmarkStart w:id="78" w:name="_Toc23683"/>
      <w:bookmarkStart w:id="79" w:name="_Toc12825"/>
      <w:bookmarkStart w:id="80" w:name="_Toc27653"/>
      <w:bookmarkStart w:id="81" w:name="_Toc4671"/>
      <w:bookmarkStart w:id="82" w:name="_Toc31547"/>
      <w:bookmarkStart w:id="83" w:name="_Toc6628"/>
      <w:bookmarkStart w:id="84" w:name="_Toc25097"/>
      <w:bookmarkStart w:id="85" w:name="_Toc1807"/>
      <w:bookmarkStart w:id="86" w:name="_Toc13230"/>
      <w:bookmarkStart w:id="87" w:name="_Toc1369"/>
      <w:bookmarkStart w:id="88" w:name="_Toc21146"/>
      <w:bookmarkStart w:id="89" w:name="_Toc30822"/>
      <w:bookmarkStart w:id="90" w:name="_Toc10229"/>
      <w:bookmarkStart w:id="91" w:name="_Toc18403"/>
      <w:bookmarkStart w:id="92" w:name="_Toc18729"/>
      <w:bookmarkStart w:id="93" w:name="_Toc21113"/>
      <w:r>
        <w:rPr>
          <w:rFonts w:hint="eastAsia" w:ascii="宋体" w:hAnsi="宋体" w:eastAsia="宋体" w:cs="宋体"/>
          <w:color w:val="000000" w:themeColor="text1"/>
          <w:szCs w:val="28"/>
          <w:highlight w:val="none"/>
          <w14:textFill>
            <w14:solidFill>
              <w14:schemeClr w14:val="tx1"/>
            </w14:solidFill>
          </w14:textFill>
        </w:rPr>
        <w:t>第八章 附  件</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2808C5C">
      <w:pPr>
        <w:pStyle w:val="55"/>
        <w:pageBreakBefore w:val="0"/>
        <w:widowControl/>
        <w:spacing w:line="360" w:lineRule="auto"/>
        <w:ind w:firstLine="47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附件：附后</w:t>
      </w:r>
    </w:p>
    <w:p w14:paraId="7F4B04D4">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1、《评分细则》</w:t>
      </w:r>
    </w:p>
    <w:p w14:paraId="16F9C45A">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2、《采购需求》</w:t>
      </w:r>
    </w:p>
    <w:p w14:paraId="5AC8A166">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3、《磋商报价表》</w:t>
      </w:r>
    </w:p>
    <w:p w14:paraId="1BCCCB33">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分项报价表</w:t>
      </w:r>
      <w:r>
        <w:rPr>
          <w:rFonts w:hint="eastAsia" w:ascii="宋体" w:hAnsi="宋体" w:eastAsia="宋体" w:cs="宋体"/>
          <w:color w:val="000000" w:themeColor="text1"/>
          <w:sz w:val="24"/>
          <w:highlight w:val="none"/>
          <w14:textFill>
            <w14:solidFill>
              <w14:schemeClr w14:val="tx1"/>
            </w14:solidFill>
          </w14:textFill>
        </w:rPr>
        <w:t>》</w:t>
      </w:r>
    </w:p>
    <w:p w14:paraId="62860C61">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5、《偏离表》</w:t>
      </w:r>
    </w:p>
    <w:p w14:paraId="2B5F762D">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6、《承诺书》</w:t>
      </w:r>
    </w:p>
    <w:p w14:paraId="3818D231">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7、《法人授权委托书》</w:t>
      </w:r>
    </w:p>
    <w:p w14:paraId="663902AC">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8、《供应商参加政府采购活动前3年内在经营活动中没有重大违法记录的书面声明》</w:t>
      </w:r>
    </w:p>
    <w:p w14:paraId="59C32751">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 《具备履行合同所必需的设备和专业技术能力的书面声明》</w:t>
      </w:r>
    </w:p>
    <w:p w14:paraId="5264B86E">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10、《中小企业声明函》</w:t>
      </w:r>
    </w:p>
    <w:p w14:paraId="14061F68">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11、《残疾人福利性单位声明函》</w:t>
      </w:r>
    </w:p>
    <w:p w14:paraId="05C7C009">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12、《技术方案》</w:t>
      </w:r>
    </w:p>
    <w:p w14:paraId="204E36BD">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eastAsia="宋体" w:cs="宋体"/>
          <w:color w:val="000000" w:themeColor="text1"/>
          <w:sz w:val="24"/>
          <w:highlight w:val="none"/>
          <w14:textFill>
            <w14:solidFill>
              <w14:schemeClr w14:val="tx1"/>
            </w14:solidFill>
          </w14:textFill>
        </w:rPr>
        <w:t>《拟签订的合同文本》</w:t>
      </w:r>
    </w:p>
    <w:p w14:paraId="22E9999B">
      <w:pPr>
        <w:pStyle w:val="293"/>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1A2CDDEB">
      <w:pPr>
        <w:pStyle w:val="55"/>
        <w:pageBreakBefore w:val="0"/>
        <w:spacing w:line="360" w:lineRule="auto"/>
        <w:ind w:firstLine="5782"/>
        <w:rPr>
          <w:rFonts w:hint="eastAsia" w:ascii="宋体" w:hAnsi="宋体" w:eastAsia="宋体" w:cs="宋体"/>
          <w:color w:val="000000" w:themeColor="text1"/>
          <w:sz w:val="24"/>
          <w:highlight w:val="none"/>
          <w14:textFill>
            <w14:solidFill>
              <w14:schemeClr w14:val="tx1"/>
            </w14:solidFill>
          </w14:textFill>
        </w:rPr>
      </w:pPr>
    </w:p>
    <w:p w14:paraId="70CD03DA">
      <w:pPr>
        <w:pStyle w:val="55"/>
        <w:pageBreakBefore w:val="0"/>
        <w:spacing w:line="360" w:lineRule="auto"/>
        <w:ind w:firstLine="5782"/>
        <w:rPr>
          <w:rFonts w:hint="eastAsia" w:ascii="宋体" w:hAnsi="宋体" w:eastAsia="宋体" w:cs="宋体"/>
          <w:color w:val="000000" w:themeColor="text1"/>
          <w:sz w:val="24"/>
          <w:highlight w:val="none"/>
          <w14:textFill>
            <w14:solidFill>
              <w14:schemeClr w14:val="tx1"/>
            </w14:solidFill>
          </w14:textFill>
        </w:rPr>
      </w:pPr>
    </w:p>
    <w:p w14:paraId="3F646087">
      <w:pPr>
        <w:pStyle w:val="57"/>
        <w:pageBreakBefore w:val="0"/>
        <w:spacing w:line="360" w:lineRule="auto"/>
        <w:ind w:left="0" w:right="0" w:firstLine="0"/>
        <w:rPr>
          <w:rFonts w:hint="eastAsia" w:ascii="宋体" w:hAnsi="宋体" w:eastAsia="宋体" w:cs="宋体"/>
          <w:color w:val="000000" w:themeColor="text1"/>
          <w:sz w:val="24"/>
          <w:szCs w:val="24"/>
          <w:highlight w:val="none"/>
          <w14:textFill>
            <w14:solidFill>
              <w14:schemeClr w14:val="tx1"/>
            </w14:solidFill>
          </w14:textFill>
        </w:rPr>
      </w:pPr>
    </w:p>
    <w:p w14:paraId="38AE93BF">
      <w:pPr>
        <w:pStyle w:val="57"/>
        <w:pageBreakBefore w:val="0"/>
        <w:spacing w:line="360" w:lineRule="auto"/>
        <w:ind w:left="0" w:right="0" w:firstLine="0"/>
        <w:rPr>
          <w:rFonts w:hint="eastAsia" w:ascii="宋体" w:hAnsi="宋体" w:eastAsia="宋体" w:cs="宋体"/>
          <w:color w:val="000000" w:themeColor="text1"/>
          <w:sz w:val="24"/>
          <w:szCs w:val="24"/>
          <w:highlight w:val="none"/>
          <w14:textFill>
            <w14:solidFill>
              <w14:schemeClr w14:val="tx1"/>
            </w14:solidFill>
          </w14:textFill>
        </w:rPr>
      </w:pPr>
    </w:p>
    <w:p w14:paraId="566C09E8">
      <w:pPr>
        <w:pStyle w:val="57"/>
        <w:pageBreakBefore w:val="0"/>
        <w:spacing w:line="360" w:lineRule="auto"/>
        <w:ind w:left="0" w:right="0" w:firstLine="0"/>
        <w:rPr>
          <w:rFonts w:hint="eastAsia" w:ascii="宋体" w:hAnsi="宋体" w:eastAsia="宋体" w:cs="宋体"/>
          <w:color w:val="000000" w:themeColor="text1"/>
          <w:sz w:val="24"/>
          <w:szCs w:val="24"/>
          <w:highlight w:val="none"/>
          <w14:textFill>
            <w14:solidFill>
              <w14:schemeClr w14:val="tx1"/>
            </w14:solidFill>
          </w14:textFill>
        </w:rPr>
      </w:pPr>
    </w:p>
    <w:p w14:paraId="2E56C465">
      <w:pPr>
        <w:pStyle w:val="57"/>
        <w:pageBreakBefore w:val="0"/>
        <w:spacing w:line="360" w:lineRule="auto"/>
        <w:ind w:left="0" w:right="0" w:firstLine="0"/>
        <w:rPr>
          <w:rFonts w:hint="eastAsia" w:ascii="宋体" w:hAnsi="宋体" w:eastAsia="宋体" w:cs="宋体"/>
          <w:color w:val="000000" w:themeColor="text1"/>
          <w:sz w:val="24"/>
          <w:szCs w:val="24"/>
          <w:highlight w:val="none"/>
          <w14:textFill>
            <w14:solidFill>
              <w14:schemeClr w14:val="tx1"/>
            </w14:solidFill>
          </w14:textFill>
        </w:rPr>
      </w:pPr>
    </w:p>
    <w:p w14:paraId="38BA3DAE">
      <w:pPr>
        <w:pStyle w:val="57"/>
        <w:pageBreakBefore w:val="0"/>
        <w:spacing w:line="360" w:lineRule="auto"/>
        <w:ind w:left="0" w:right="0" w:firstLine="0"/>
        <w:rPr>
          <w:rFonts w:hint="eastAsia" w:ascii="宋体" w:hAnsi="宋体" w:eastAsia="宋体" w:cs="宋体"/>
          <w:color w:val="000000" w:themeColor="text1"/>
          <w:sz w:val="24"/>
          <w:szCs w:val="24"/>
          <w:highlight w:val="none"/>
          <w14:textFill>
            <w14:solidFill>
              <w14:schemeClr w14:val="tx1"/>
            </w14:solidFill>
          </w14:textFill>
        </w:rPr>
      </w:pPr>
    </w:p>
    <w:p w14:paraId="334C33F7">
      <w:pPr>
        <w:pStyle w:val="57"/>
        <w:pageBreakBefore w:val="0"/>
        <w:spacing w:line="360" w:lineRule="auto"/>
        <w:ind w:left="0" w:right="0" w:firstLine="0"/>
        <w:rPr>
          <w:rFonts w:hint="eastAsia" w:ascii="宋体" w:hAnsi="宋体" w:eastAsia="宋体" w:cs="宋体"/>
          <w:color w:val="000000" w:themeColor="text1"/>
          <w:sz w:val="24"/>
          <w:szCs w:val="24"/>
          <w:highlight w:val="none"/>
          <w14:textFill>
            <w14:solidFill>
              <w14:schemeClr w14:val="tx1"/>
            </w14:solidFill>
          </w14:textFill>
        </w:rPr>
      </w:pPr>
    </w:p>
    <w:p w14:paraId="51D45D2F">
      <w:pPr>
        <w:rPr>
          <w:rFonts w:hint="eastAsia" w:ascii="宋体" w:hAnsi="宋体" w:eastAsia="宋体" w:cs="宋体"/>
          <w:color w:val="000000" w:themeColor="text1"/>
          <w:sz w:val="24"/>
          <w:szCs w:val="24"/>
          <w:highlight w:val="none"/>
          <w14:textFill>
            <w14:solidFill>
              <w14:schemeClr w14:val="tx1"/>
            </w14:solidFill>
          </w14:textFill>
        </w:rPr>
      </w:pPr>
    </w:p>
    <w:p w14:paraId="447E5B66">
      <w:pPr>
        <w:pStyle w:val="57"/>
        <w:pageBreakBefore w:val="0"/>
        <w:numPr>
          <w:ilvl w:val="0"/>
          <w:numId w:val="0"/>
        </w:numPr>
        <w:spacing w:line="360" w:lineRule="auto"/>
        <w:ind w:right="6"/>
        <w:jc w:val="both"/>
        <w:rPr>
          <w:rStyle w:val="230"/>
          <w:rFonts w:hint="eastAsia" w:ascii="宋体" w:hAnsi="宋体" w:eastAsia="宋体" w:cs="宋体"/>
          <w:color w:val="000000" w:themeColor="text1"/>
          <w:sz w:val="24"/>
          <w:szCs w:val="24"/>
          <w:highlight w:val="none"/>
          <w:lang w:val="en-US"/>
          <w14:textFill>
            <w14:solidFill>
              <w14:schemeClr w14:val="tx1"/>
            </w14:solidFill>
          </w14:textFill>
        </w:rPr>
      </w:pPr>
    </w:p>
    <w:p w14:paraId="6DEF6F3A">
      <w:pPr>
        <w:pStyle w:val="57"/>
        <w:pageBreakBefore w:val="0"/>
        <w:numPr>
          <w:ilvl w:val="0"/>
          <w:numId w:val="0"/>
        </w:numPr>
        <w:spacing w:line="360" w:lineRule="auto"/>
        <w:ind w:right="6"/>
        <w:jc w:val="both"/>
        <w:rPr>
          <w:rStyle w:val="230"/>
          <w:rFonts w:hint="eastAsia" w:ascii="宋体" w:hAnsi="宋体" w:eastAsia="宋体" w:cs="宋体"/>
          <w:color w:val="000000" w:themeColor="text1"/>
          <w:sz w:val="24"/>
          <w:szCs w:val="24"/>
          <w:highlight w:val="none"/>
          <w:lang w:val="en-US"/>
          <w14:textFill>
            <w14:solidFill>
              <w14:schemeClr w14:val="tx1"/>
            </w14:solidFill>
          </w14:textFill>
        </w:rPr>
      </w:pPr>
    </w:p>
    <w:p w14:paraId="3A536E18">
      <w:pPr>
        <w:rPr>
          <w:rFonts w:hint="eastAsia"/>
          <w:lang w:val="en-US"/>
        </w:rPr>
      </w:pPr>
    </w:p>
    <w:p w14:paraId="0C5F422C">
      <w:pPr>
        <w:pStyle w:val="57"/>
        <w:pageBreakBefore w:val="0"/>
        <w:numPr>
          <w:ilvl w:val="0"/>
          <w:numId w:val="0"/>
        </w:numPr>
        <w:spacing w:line="360" w:lineRule="auto"/>
        <w:ind w:right="6"/>
        <w:jc w:val="center"/>
        <w:rPr>
          <w:rStyle w:val="230"/>
          <w:rFonts w:hint="eastAsia" w:ascii="宋体" w:hAnsi="宋体" w:eastAsia="宋体" w:cs="宋体"/>
          <w:color w:val="000000" w:themeColor="text1"/>
          <w:sz w:val="24"/>
          <w:szCs w:val="24"/>
          <w:highlight w:val="none"/>
          <w14:textFill>
            <w14:solidFill>
              <w14:schemeClr w14:val="tx1"/>
            </w14:solidFill>
          </w14:textFill>
        </w:rPr>
      </w:pPr>
      <w:r>
        <w:rPr>
          <w:rStyle w:val="230"/>
          <w:rFonts w:hint="eastAsia" w:ascii="宋体" w:hAnsi="宋体" w:eastAsia="宋体" w:cs="宋体"/>
          <w:color w:val="000000" w:themeColor="text1"/>
          <w:sz w:val="24"/>
          <w:szCs w:val="24"/>
          <w:highlight w:val="none"/>
          <w:lang w:val="en-US"/>
          <w14:textFill>
            <w14:solidFill>
              <w14:schemeClr w14:val="tx1"/>
            </w14:solidFill>
          </w14:textFill>
        </w:rPr>
        <w:t>1、</w:t>
      </w:r>
      <w:r>
        <w:rPr>
          <w:rStyle w:val="230"/>
          <w:rFonts w:hint="eastAsia" w:ascii="宋体" w:hAnsi="宋体" w:eastAsia="宋体" w:cs="宋体"/>
          <w:color w:val="000000" w:themeColor="text1"/>
          <w:sz w:val="24"/>
          <w:szCs w:val="24"/>
          <w:highlight w:val="none"/>
          <w14:textFill>
            <w14:solidFill>
              <w14:schemeClr w14:val="tx1"/>
            </w14:solidFill>
          </w14:textFill>
        </w:rPr>
        <w:t>评分细则</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805"/>
        <w:gridCol w:w="6079"/>
      </w:tblGrid>
      <w:tr w14:paraId="7F26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76" w:type="dxa"/>
            <w:tcBorders>
              <w:top w:val="single" w:color="auto" w:sz="4" w:space="0"/>
              <w:left w:val="single" w:color="auto" w:sz="4" w:space="0"/>
              <w:bottom w:val="single" w:color="auto" w:sz="4" w:space="0"/>
              <w:right w:val="single" w:color="auto" w:sz="4" w:space="0"/>
            </w:tcBorders>
            <w:noWrap w:val="0"/>
          </w:tcPr>
          <w:p w14:paraId="7D50E6FA">
            <w:pPr>
              <w:pStyle w:val="292"/>
              <w:pageBreakBefore w:val="0"/>
              <w:spacing w:line="360" w:lineRule="auto"/>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w:t>
            </w:r>
          </w:p>
        </w:tc>
        <w:tc>
          <w:tcPr>
            <w:tcW w:w="7884" w:type="dxa"/>
            <w:gridSpan w:val="2"/>
            <w:tcBorders>
              <w:top w:val="single" w:color="auto" w:sz="4" w:space="0"/>
              <w:left w:val="single" w:color="auto" w:sz="4" w:space="0"/>
              <w:bottom w:val="single" w:color="auto" w:sz="4" w:space="0"/>
              <w:right w:val="single" w:color="auto" w:sz="4" w:space="0"/>
            </w:tcBorders>
            <w:noWrap w:val="0"/>
          </w:tcPr>
          <w:p w14:paraId="6697853A">
            <w:pPr>
              <w:pStyle w:val="292"/>
              <w:pageBreakBefore w:val="0"/>
              <w:spacing w:line="360" w:lineRule="auto"/>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评分标准</w:t>
            </w:r>
          </w:p>
        </w:tc>
      </w:tr>
      <w:tr w14:paraId="0504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14:paraId="30D31B71">
            <w:pPr>
              <w:pStyle w:val="292"/>
              <w:pageBreakBefore w:val="0"/>
              <w:spacing w:line="360" w:lineRule="auto"/>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价格部分</w:t>
            </w:r>
          </w:p>
          <w:p w14:paraId="342A85B0">
            <w:pPr>
              <w:pageBreakBefore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30</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tc>
        <w:tc>
          <w:tcPr>
            <w:tcW w:w="1805" w:type="dxa"/>
            <w:tcBorders>
              <w:top w:val="single" w:color="auto" w:sz="4" w:space="0"/>
              <w:left w:val="single" w:color="auto" w:sz="4" w:space="0"/>
              <w:bottom w:val="single" w:color="auto" w:sz="4" w:space="0"/>
              <w:right w:val="single" w:color="auto" w:sz="4" w:space="0"/>
            </w:tcBorders>
            <w:noWrap w:val="0"/>
            <w:vAlign w:val="center"/>
          </w:tcPr>
          <w:p w14:paraId="1FD21530">
            <w:pPr>
              <w:pStyle w:val="292"/>
              <w:pageBreakBefore w:val="0"/>
              <w:spacing w:line="360" w:lineRule="auto"/>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价格</w:t>
            </w:r>
            <w:r>
              <w:rPr>
                <w:rFonts w:hint="eastAsia" w:ascii="宋体" w:hAnsi="宋体" w:eastAsia="宋体" w:cs="宋体"/>
                <w:color w:val="000000" w:themeColor="text1"/>
                <w:sz w:val="22"/>
                <w:szCs w:val="22"/>
                <w:highlight w:val="none"/>
                <w:lang w:val="en-US" w:eastAsia="zh-CN"/>
                <w14:textFill>
                  <w14:solidFill>
                    <w14:schemeClr w14:val="tx1"/>
                  </w14:solidFill>
                </w14:textFill>
              </w:rPr>
              <w:t>分</w:t>
            </w:r>
          </w:p>
          <w:p w14:paraId="64A7AC17">
            <w:pPr>
              <w:pStyle w:val="292"/>
              <w:pageBreakBefore w:val="0"/>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30</w:t>
            </w:r>
            <w:r>
              <w:rPr>
                <w:rFonts w:hint="eastAsia" w:ascii="宋体" w:hAnsi="宋体" w:eastAsia="宋体" w:cs="宋体"/>
                <w:color w:val="000000" w:themeColor="text1"/>
                <w:sz w:val="22"/>
                <w:szCs w:val="22"/>
                <w:highlight w:val="none"/>
                <w14:textFill>
                  <w14:solidFill>
                    <w14:schemeClr w14:val="tx1"/>
                  </w14:solidFill>
                </w14:textFill>
              </w:rPr>
              <w:t>分</w:t>
            </w:r>
            <w:r>
              <w:rPr>
                <w:rFonts w:hint="eastAsia" w:ascii="宋体" w:hAnsi="宋体" w:eastAsia="宋体" w:cs="宋体"/>
                <w:color w:val="000000" w:themeColor="text1"/>
                <w:sz w:val="22"/>
                <w:szCs w:val="22"/>
                <w:highlight w:val="none"/>
                <w:lang w:eastAsia="zh-CN"/>
                <w14:textFill>
                  <w14:solidFill>
                    <w14:schemeClr w14:val="tx1"/>
                  </w14:solidFill>
                </w14:textFill>
              </w:rPr>
              <w:t>）</w:t>
            </w:r>
          </w:p>
        </w:tc>
        <w:tc>
          <w:tcPr>
            <w:tcW w:w="6079" w:type="dxa"/>
            <w:tcBorders>
              <w:top w:val="single" w:color="auto" w:sz="4" w:space="0"/>
              <w:left w:val="single" w:color="auto" w:sz="4" w:space="0"/>
              <w:bottom w:val="single" w:color="auto" w:sz="4" w:space="0"/>
              <w:right w:val="single" w:color="auto" w:sz="4" w:space="0"/>
            </w:tcBorders>
            <w:noWrap w:val="0"/>
          </w:tcPr>
          <w:p w14:paraId="3CB71997">
            <w:pPr>
              <w:pStyle w:val="292"/>
              <w:keepNext w:val="0"/>
              <w:keepLines w:val="0"/>
              <w:pageBreakBefore w:val="0"/>
              <w:spacing w:line="360" w:lineRule="auto"/>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本项目价格评分采用低价优先法计算，即满足</w:t>
            </w:r>
            <w:r>
              <w:rPr>
                <w:rFonts w:hint="eastAsia" w:ascii="宋体" w:hAnsi="宋体" w:cs="宋体"/>
                <w:color w:val="000000" w:themeColor="text1"/>
                <w:sz w:val="22"/>
                <w:szCs w:val="22"/>
                <w:highlight w:val="none"/>
                <w:lang w:val="en-US" w:eastAsia="zh-CN"/>
                <w14:textFill>
                  <w14:solidFill>
                    <w14:schemeClr w14:val="tx1"/>
                  </w14:solidFill>
                </w14:textFill>
              </w:rPr>
              <w:t>磋商</w:t>
            </w:r>
            <w:r>
              <w:rPr>
                <w:rFonts w:hint="eastAsia" w:ascii="宋体" w:hAnsi="宋体" w:eastAsia="宋体" w:cs="宋体"/>
                <w:color w:val="000000" w:themeColor="text1"/>
                <w:sz w:val="22"/>
                <w:szCs w:val="22"/>
                <w:highlight w:val="none"/>
                <w14:textFill>
                  <w14:solidFill>
                    <w14:schemeClr w14:val="tx1"/>
                  </w14:solidFill>
                </w14:textFill>
              </w:rPr>
              <w:t>文件要求且投标价格最低的有效投标报价为评标基准价，其价格分为满分。</w:t>
            </w:r>
          </w:p>
          <w:p w14:paraId="6BE2CDB9">
            <w:pPr>
              <w:pStyle w:val="292"/>
              <w:keepNext w:val="0"/>
              <w:keepLines w:val="0"/>
              <w:pageBreakBefore w:val="0"/>
              <w:spacing w:line="360" w:lineRule="auto"/>
              <w:jc w:val="both"/>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其他供应商报价得分：投标报价得分=(评标基准价／投标报价)×</w:t>
            </w:r>
            <w:r>
              <w:rPr>
                <w:rFonts w:hint="eastAsia" w:ascii="宋体" w:hAnsi="宋体" w:cs="宋体"/>
                <w:color w:val="000000" w:themeColor="text1"/>
                <w:sz w:val="22"/>
                <w:szCs w:val="22"/>
                <w:highlight w:val="none"/>
                <w:lang w:val="en-US" w:eastAsia="zh-CN"/>
                <w14:textFill>
                  <w14:solidFill>
                    <w14:schemeClr w14:val="tx1"/>
                  </w14:solidFill>
                </w14:textFill>
              </w:rPr>
              <w:t>30</w:t>
            </w:r>
            <w:r>
              <w:rPr>
                <w:rFonts w:hint="eastAsia" w:ascii="宋体" w:hAnsi="宋体" w:eastAsia="宋体" w:cs="宋体"/>
                <w:color w:val="000000" w:themeColor="text1"/>
                <w:sz w:val="22"/>
                <w:szCs w:val="22"/>
                <w:highlight w:val="none"/>
                <w14:textFill>
                  <w14:solidFill>
                    <w14:schemeClr w14:val="tx1"/>
                  </w14:solidFill>
                </w14:textFill>
              </w:rPr>
              <w:t xml:space="preserve">（四舍五入后保留小数点后两位） </w:t>
            </w:r>
          </w:p>
        </w:tc>
      </w:tr>
      <w:tr w14:paraId="3147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vMerge w:val="restart"/>
            <w:tcBorders>
              <w:top w:val="single" w:color="auto" w:sz="4" w:space="0"/>
              <w:left w:val="single" w:color="auto" w:sz="4" w:space="0"/>
              <w:right w:val="single" w:color="auto" w:sz="4" w:space="0"/>
            </w:tcBorders>
            <w:noWrap w:val="0"/>
            <w:vAlign w:val="center"/>
          </w:tcPr>
          <w:p w14:paraId="259B79B4">
            <w:pPr>
              <w:pStyle w:val="292"/>
              <w:pageBreakBefore w:val="0"/>
              <w:spacing w:line="360" w:lineRule="auto"/>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p w14:paraId="47C8F1C1">
            <w:pPr>
              <w:pStyle w:val="292"/>
              <w:pageBreakBefore w:val="0"/>
              <w:spacing w:line="360" w:lineRule="auto"/>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商务</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部分</w:t>
            </w:r>
          </w:p>
          <w:p w14:paraId="34BC98EC">
            <w:pPr>
              <w:pageBreakBefore w:val="0"/>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分）</w:t>
            </w:r>
          </w:p>
        </w:tc>
        <w:tc>
          <w:tcPr>
            <w:tcW w:w="1805" w:type="dxa"/>
            <w:tcBorders>
              <w:top w:val="single" w:color="auto" w:sz="4" w:space="0"/>
              <w:left w:val="single" w:color="auto" w:sz="4" w:space="0"/>
              <w:bottom w:val="single" w:color="auto" w:sz="4" w:space="0"/>
              <w:right w:val="single" w:color="auto" w:sz="4" w:space="0"/>
            </w:tcBorders>
            <w:noWrap w:val="0"/>
            <w:vAlign w:val="center"/>
          </w:tcPr>
          <w:p w14:paraId="3923BFAE">
            <w:pPr>
              <w:pStyle w:val="292"/>
              <w:pageBreakBefore w:val="0"/>
              <w:spacing w:line="360" w:lineRule="auto"/>
              <w:ind w:firstLine="440"/>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p w14:paraId="2F365DA4">
            <w:pPr>
              <w:pStyle w:val="292"/>
              <w:pageBreakBefore w:val="0"/>
              <w:spacing w:line="360" w:lineRule="auto"/>
              <w:ind w:firstLine="44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类似</w:t>
            </w:r>
            <w:r>
              <w:rPr>
                <w:rFonts w:hint="eastAsia" w:ascii="宋体" w:hAnsi="宋体" w:eastAsia="宋体" w:cs="宋体"/>
                <w:b w:val="0"/>
                <w:bCs w:val="0"/>
                <w:color w:val="000000" w:themeColor="text1"/>
                <w:sz w:val="22"/>
                <w:szCs w:val="22"/>
                <w:highlight w:val="none"/>
                <w14:textFill>
                  <w14:solidFill>
                    <w14:schemeClr w14:val="tx1"/>
                  </w14:solidFill>
                </w14:textFill>
              </w:rPr>
              <w:t>业绩</w:t>
            </w:r>
          </w:p>
          <w:p w14:paraId="7A30593C">
            <w:pPr>
              <w:pStyle w:val="292"/>
              <w:pageBreakBefore w:val="0"/>
              <w:spacing w:line="360" w:lineRule="auto"/>
              <w:ind w:firstLine="44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2"/>
                <w:szCs w:val="22"/>
                <w:highlight w:val="none"/>
                <w14:textFill>
                  <w14:solidFill>
                    <w14:schemeClr w14:val="tx1"/>
                  </w14:solidFill>
                </w14:textFill>
              </w:rPr>
              <w:t>分）</w:t>
            </w:r>
          </w:p>
        </w:tc>
        <w:tc>
          <w:tcPr>
            <w:tcW w:w="6079" w:type="dxa"/>
            <w:tcBorders>
              <w:top w:val="single" w:color="auto" w:sz="4" w:space="0"/>
              <w:left w:val="single" w:color="auto" w:sz="4" w:space="0"/>
              <w:bottom w:val="single" w:color="auto" w:sz="4" w:space="0"/>
              <w:right w:val="single" w:color="auto" w:sz="4" w:space="0"/>
            </w:tcBorders>
            <w:noWrap w:val="0"/>
          </w:tcPr>
          <w:p w14:paraId="7180C886">
            <w:pPr>
              <w:pStyle w:val="325"/>
              <w:pageBreakBefore w:val="0"/>
              <w:spacing w:line="360" w:lineRule="auto"/>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投标供应商承担过类似工程项目的施工，每提供一个类似项目业绩证明材料的得1.5分，本项最高得3分。</w:t>
            </w:r>
          </w:p>
          <w:p w14:paraId="5256560C">
            <w:pPr>
              <w:pStyle w:val="325"/>
              <w:pageBreakBefore w:val="0"/>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注：类似项目业绩证明材料包括中标通知书、施工</w:t>
            </w:r>
            <w:r>
              <w:rPr>
                <w:rFonts w:hint="eastAsia" w:ascii="宋体" w:hAnsi="宋体" w:eastAsia="宋体" w:cs="宋体"/>
                <w:b w:val="0"/>
                <w:bCs w:val="0"/>
                <w:color w:val="000000" w:themeColor="text1"/>
                <w:sz w:val="22"/>
                <w:szCs w:val="22"/>
                <w:highlight w:val="none"/>
                <w14:textFill>
                  <w14:solidFill>
                    <w14:schemeClr w14:val="tx1"/>
                  </w14:solidFill>
                </w14:textFill>
              </w:rPr>
              <w:t>合同</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及竣工验收证明，上述材料</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原</w:t>
            </w:r>
            <w:r>
              <w:rPr>
                <w:rFonts w:hint="eastAsia" w:ascii="宋体" w:hAnsi="宋体" w:eastAsia="宋体" w:cs="宋体"/>
                <w:b w:val="0"/>
                <w:bCs w:val="0"/>
                <w:color w:val="000000" w:themeColor="text1"/>
                <w:sz w:val="22"/>
                <w:szCs w:val="22"/>
                <w:highlight w:val="none"/>
                <w14:textFill>
                  <w14:solidFill>
                    <w14:schemeClr w14:val="tx1"/>
                  </w14:solidFill>
                </w14:textFill>
              </w:rPr>
              <w:t>件</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扫描上传并</w:t>
            </w:r>
            <w:r>
              <w:rPr>
                <w:rFonts w:hint="eastAsia" w:ascii="宋体" w:hAnsi="宋体" w:eastAsia="宋体" w:cs="宋体"/>
                <w:b w:val="0"/>
                <w:bCs w:val="0"/>
                <w:color w:val="000000" w:themeColor="text1"/>
                <w:sz w:val="22"/>
                <w:szCs w:val="22"/>
                <w:highlight w:val="none"/>
                <w14:textFill>
                  <w14:solidFill>
                    <w14:schemeClr w14:val="tx1"/>
                  </w14:solidFill>
                </w14:textFill>
              </w:rPr>
              <w:t>加盖</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电子签章</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，三者必须同时具备，否则不得分</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p>
        </w:tc>
      </w:tr>
      <w:tr w14:paraId="572C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176" w:type="dxa"/>
            <w:vMerge w:val="continue"/>
            <w:tcBorders>
              <w:left w:val="single" w:color="auto" w:sz="4" w:space="0"/>
              <w:right w:val="single" w:color="auto" w:sz="4" w:space="0"/>
            </w:tcBorders>
            <w:noWrap w:val="0"/>
            <w:vAlign w:val="center"/>
          </w:tcPr>
          <w:p w14:paraId="39E4CE60">
            <w:pPr>
              <w:pageBreakBefore w:val="0"/>
              <w:spacing w:line="360" w:lineRule="auto"/>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14:paraId="4E7E9D27">
            <w:pPr>
              <w:pStyle w:val="292"/>
              <w:pageBreakBefore w:val="0"/>
              <w:spacing w:line="360" w:lineRule="auto"/>
              <w:ind w:firstLine="440"/>
              <w:jc w:val="both"/>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企业资信</w:t>
            </w:r>
          </w:p>
          <w:p w14:paraId="5812FFC3">
            <w:pPr>
              <w:pStyle w:val="292"/>
              <w:pageBreakBefore w:val="0"/>
              <w:spacing w:line="360" w:lineRule="auto"/>
              <w:ind w:firstLine="440"/>
              <w:jc w:val="both"/>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（3分）</w:t>
            </w:r>
          </w:p>
        </w:tc>
        <w:tc>
          <w:tcPr>
            <w:tcW w:w="6079" w:type="dxa"/>
            <w:tcBorders>
              <w:top w:val="single" w:color="auto" w:sz="4" w:space="0"/>
              <w:left w:val="single" w:color="auto" w:sz="4" w:space="0"/>
              <w:bottom w:val="single" w:color="auto" w:sz="4" w:space="0"/>
              <w:right w:val="single" w:color="auto" w:sz="4" w:space="0"/>
            </w:tcBorders>
            <w:noWrap w:val="0"/>
          </w:tcPr>
          <w:p w14:paraId="63643129">
            <w:pPr>
              <w:pStyle w:val="325"/>
              <w:pageBreakBefore w:val="0"/>
              <w:spacing w:line="360" w:lineRule="auto"/>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投标供应商具有有效期内的质量管理体系认证证书、环境管理体系认证证书、职业健康安全体系认证证书，每提供一项认证证书的得1分，本项最高得3分。</w:t>
            </w:r>
          </w:p>
          <w:p w14:paraId="2734654C">
            <w:pPr>
              <w:pStyle w:val="325"/>
              <w:keepNext w:val="0"/>
              <w:keepLines w:val="0"/>
              <w:pageBreakBefore w:val="0"/>
              <w:widowControl/>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注：认证证书提供证书原件扫描件及全国认证认可信息公共服务平台(网址: http://cx.cnca.cn/CertECloud/result/skipResultList)查询证书状态为有效的网页截图，上传并加盖电子签章，两者必须同时具备，否则不得分。</w:t>
            </w:r>
          </w:p>
        </w:tc>
      </w:tr>
      <w:tr w14:paraId="026A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6" w:type="dxa"/>
            <w:vMerge w:val="restart"/>
            <w:tcBorders>
              <w:top w:val="single" w:color="auto" w:sz="4" w:space="0"/>
              <w:left w:val="single" w:color="auto" w:sz="4" w:space="0"/>
              <w:right w:val="single" w:color="auto" w:sz="4" w:space="0"/>
            </w:tcBorders>
            <w:noWrap w:val="0"/>
          </w:tcPr>
          <w:p w14:paraId="2C5535C0">
            <w:pPr>
              <w:pStyle w:val="292"/>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14:paraId="2EBD71A8">
            <w:pPr>
              <w:pStyle w:val="292"/>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14:paraId="5B12CB42">
            <w:pPr>
              <w:pStyle w:val="292"/>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14:paraId="4B35156A">
            <w:pPr>
              <w:pStyle w:val="292"/>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14:paraId="5E7D0530">
            <w:pPr>
              <w:pStyle w:val="292"/>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14:paraId="5B12707A">
            <w:pPr>
              <w:pStyle w:val="292"/>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14:paraId="2EA86E94">
            <w:pPr>
              <w:pStyle w:val="292"/>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14:paraId="25B98E65">
            <w:pPr>
              <w:pStyle w:val="292"/>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p w14:paraId="21EAD867">
            <w:pPr>
              <w:pStyle w:val="292"/>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bidi="ar-SA"/>
                <w14:textFill>
                  <w14:solidFill>
                    <w14:schemeClr w14:val="tx1"/>
                  </w14:solidFill>
                </w14:textFill>
              </w:rPr>
              <w:t>技术部分</w:t>
            </w:r>
          </w:p>
          <w:p w14:paraId="670AB3DA">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bidi="ar-SA"/>
                <w14:textFill>
                  <w14:solidFill>
                    <w14:schemeClr w14:val="tx1"/>
                  </w14:solidFill>
                </w14:textFill>
              </w:rPr>
              <w:t>（</w:t>
            </w:r>
            <w:r>
              <w:rPr>
                <w:rFonts w:hint="eastAsia" w:ascii="宋体" w:hAnsi="宋体" w:cs="宋体"/>
                <w:color w:val="000000" w:themeColor="text1"/>
                <w:sz w:val="22"/>
                <w:szCs w:val="22"/>
                <w:highlight w:val="none"/>
                <w:lang w:val="en-US" w:eastAsia="zh-CN" w:bidi="ar-SA"/>
                <w14:textFill>
                  <w14:solidFill>
                    <w14:schemeClr w14:val="tx1"/>
                  </w14:solidFill>
                </w14:textFill>
              </w:rPr>
              <w:t>64</w:t>
            </w:r>
            <w:r>
              <w:rPr>
                <w:rFonts w:hint="eastAsia" w:ascii="宋体" w:hAnsi="宋体" w:eastAsia="宋体" w:cs="宋体"/>
                <w:color w:val="000000" w:themeColor="text1"/>
                <w:sz w:val="22"/>
                <w:szCs w:val="22"/>
                <w:highlight w:val="none"/>
                <w:lang w:val="en-US" w:eastAsia="zh-CN" w:bidi="ar-SA"/>
                <w14:textFill>
                  <w14:solidFill>
                    <w14:schemeClr w14:val="tx1"/>
                  </w14:solidFill>
                </w14:textFill>
              </w:rPr>
              <w:t>分）</w:t>
            </w:r>
          </w:p>
        </w:tc>
        <w:tc>
          <w:tcPr>
            <w:tcW w:w="1805" w:type="dxa"/>
            <w:tcBorders>
              <w:top w:val="single" w:color="auto" w:sz="4" w:space="0"/>
              <w:left w:val="single" w:color="auto" w:sz="4" w:space="0"/>
              <w:bottom w:val="single" w:color="auto" w:sz="4" w:space="0"/>
              <w:right w:val="single" w:color="auto" w:sz="4" w:space="0"/>
            </w:tcBorders>
            <w:noWrap w:val="0"/>
            <w:vAlign w:val="center"/>
          </w:tcPr>
          <w:p w14:paraId="72839963">
            <w:pPr>
              <w:pStyle w:val="55"/>
              <w:keepNext w:val="0"/>
              <w:keepLines w:val="0"/>
              <w:pageBreakBefore w:val="0"/>
              <w:widowControl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总体施工方案</w:t>
            </w:r>
          </w:p>
          <w:p w14:paraId="0CE9159D">
            <w:pPr>
              <w:pStyle w:val="55"/>
              <w:keepNext w:val="0"/>
              <w:keepLines w:val="0"/>
              <w:pageBreakBefore w:val="0"/>
              <w:widowControl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分)</w:t>
            </w:r>
          </w:p>
        </w:tc>
        <w:tc>
          <w:tcPr>
            <w:tcW w:w="6079" w:type="dxa"/>
            <w:tcBorders>
              <w:top w:val="single" w:color="auto" w:sz="4" w:space="0"/>
              <w:left w:val="single" w:color="auto" w:sz="4" w:space="0"/>
              <w:bottom w:val="single" w:color="auto" w:sz="4" w:space="0"/>
              <w:right w:val="single" w:color="auto" w:sz="4" w:space="0"/>
            </w:tcBorders>
            <w:noWrap w:val="0"/>
            <w:vAlign w:val="center"/>
          </w:tcPr>
          <w:p w14:paraId="093C271F">
            <w:pPr>
              <w:pStyle w:val="55"/>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根据供应商提供的总体施工方案</w:t>
            </w:r>
            <w:r>
              <w:rPr>
                <w:rFonts w:hint="eastAsia" w:ascii="宋体" w:hAnsi="宋体" w:cs="宋体"/>
                <w:color w:val="auto"/>
                <w:sz w:val="22"/>
                <w:szCs w:val="22"/>
                <w:highlight w:val="none"/>
                <w:lang w:val="en-US" w:eastAsia="zh-CN"/>
              </w:rPr>
              <w:t>中</w:t>
            </w:r>
            <w:r>
              <w:rPr>
                <w:rFonts w:hint="eastAsia" w:ascii="宋体" w:hAnsi="宋体" w:cs="宋体"/>
                <w:color w:val="auto"/>
                <w:sz w:val="22"/>
                <w:szCs w:val="22"/>
                <w:highlight w:val="none"/>
              </w:rPr>
              <w:t>工程总体概述、针对重点部分施工方案及施工工艺方法等方面进行总体评价。</w:t>
            </w:r>
          </w:p>
          <w:p w14:paraId="791B609E">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以上内容不存在瑕疵:</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593C7912">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以上内容存在1处瑕疵:</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65EAF519">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以上内容存在2处瑕疵:</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36B1DC28">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以上内容存在3处瑕疵:</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01455EE6">
            <w:pPr>
              <w:pStyle w:val="55"/>
              <w:keepNext w:val="0"/>
              <w:keepLines w:val="0"/>
              <w:pageBreakBefore w:val="0"/>
              <w:widowControl w:val="0"/>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处瑕疵</w:t>
            </w:r>
            <w:r>
              <w:rPr>
                <w:rFonts w:hint="eastAsia" w:ascii="宋体" w:hAnsi="宋体" w:cs="宋体"/>
                <w:color w:val="auto"/>
                <w:sz w:val="22"/>
                <w:szCs w:val="22"/>
                <w:highlight w:val="none"/>
                <w:lang w:val="en-US" w:eastAsia="zh-CN"/>
              </w:rPr>
              <w:t>:2分；</w:t>
            </w:r>
          </w:p>
          <w:p w14:paraId="4A2B2DAF">
            <w:pPr>
              <w:pStyle w:val="55"/>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未提供方案或不满足施工要求或内容存在</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处及以上瑕疵:0分</w:t>
            </w:r>
            <w:r>
              <w:rPr>
                <w:rFonts w:hint="eastAsia" w:ascii="宋体" w:hAnsi="宋体" w:cs="宋体"/>
                <w:color w:val="auto"/>
                <w:sz w:val="22"/>
                <w:szCs w:val="22"/>
                <w:highlight w:val="none"/>
                <w:lang w:eastAsia="zh-CN"/>
              </w:rPr>
              <w:t>。</w:t>
            </w:r>
          </w:p>
          <w:p w14:paraId="721F3430">
            <w:pPr>
              <w:pStyle w:val="55"/>
              <w:keepNext w:val="0"/>
              <w:keepLines w:val="0"/>
              <w:pageBreakBefore w:val="0"/>
              <w:widowControl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本项所称“瑕疵”是指内容缺项、不完整或缺少关键点:非专门针对本工程或不适用本工程特性、套用其他工程内容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对同一问题前后表述矛盾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存在逻辑</w:t>
            </w:r>
            <w:r>
              <w:rPr>
                <w:rFonts w:hint="eastAsia" w:ascii="宋体" w:hAnsi="宋体" w:cs="宋体"/>
                <w:color w:val="auto"/>
                <w:sz w:val="22"/>
                <w:szCs w:val="22"/>
                <w:highlight w:val="none"/>
                <w:lang w:val="en-US" w:eastAsia="zh-CN"/>
              </w:rPr>
              <w:t>漏</w:t>
            </w:r>
            <w:r>
              <w:rPr>
                <w:rFonts w:hint="eastAsia" w:ascii="宋体" w:hAnsi="宋体" w:cs="宋体"/>
                <w:color w:val="auto"/>
                <w:sz w:val="22"/>
                <w:szCs w:val="22"/>
                <w:highlight w:val="none"/>
              </w:rPr>
              <w:t>洞、科学原理或常识错误</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不利于本工程目标的实现、现有技术条件下不可能出现的情形等任意一种情形)。</w:t>
            </w:r>
          </w:p>
        </w:tc>
      </w:tr>
      <w:tr w14:paraId="0F21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176" w:type="dxa"/>
            <w:vMerge w:val="continue"/>
            <w:tcBorders>
              <w:left w:val="single" w:color="auto" w:sz="4" w:space="0"/>
              <w:right w:val="single" w:color="auto" w:sz="4" w:space="0"/>
            </w:tcBorders>
            <w:noWrap w:val="0"/>
          </w:tcPr>
          <w:p w14:paraId="4D13FC24">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14:paraId="0A3E56AF">
            <w:pPr>
              <w:pStyle w:val="55"/>
              <w:keepNext w:val="0"/>
              <w:keepLines w:val="0"/>
              <w:pageBreakBefore w:val="0"/>
              <w:widowControl w:val="0"/>
              <w:spacing w:line="36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施工进度计划及保证措施</w:t>
            </w:r>
          </w:p>
          <w:p w14:paraId="06DFCDC3">
            <w:pPr>
              <w:pStyle w:val="55"/>
              <w:keepNext w:val="0"/>
              <w:keepLines w:val="0"/>
              <w:pageBreakBefore w:val="0"/>
              <w:widowControl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val="en-US" w:eastAsia="zh-CN"/>
              </w:rPr>
              <w:t>（9分）</w:t>
            </w:r>
          </w:p>
        </w:tc>
        <w:tc>
          <w:tcPr>
            <w:tcW w:w="6079" w:type="dxa"/>
            <w:tcBorders>
              <w:top w:val="single" w:color="auto" w:sz="4" w:space="0"/>
              <w:left w:val="single" w:color="auto" w:sz="4" w:space="0"/>
              <w:bottom w:val="single" w:color="auto" w:sz="4" w:space="0"/>
              <w:right w:val="single" w:color="auto" w:sz="4" w:space="0"/>
            </w:tcBorders>
            <w:noWrap w:val="0"/>
            <w:vAlign w:val="center"/>
          </w:tcPr>
          <w:p w14:paraId="212D5005">
            <w:pPr>
              <w:pStyle w:val="55"/>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w:t>
            </w:r>
            <w:r>
              <w:rPr>
                <w:rFonts w:hint="eastAsia" w:ascii="宋体" w:hAnsi="宋体" w:cs="宋体"/>
                <w:color w:val="auto"/>
                <w:sz w:val="22"/>
                <w:szCs w:val="22"/>
                <w:highlight w:val="none"/>
                <w:lang w:val="en-US" w:eastAsia="zh-CN"/>
              </w:rPr>
              <w:t>的施工进度计划及保证措施中</w:t>
            </w:r>
            <w:r>
              <w:rPr>
                <w:rFonts w:hint="eastAsia" w:ascii="宋体" w:hAnsi="宋体" w:cs="宋体"/>
                <w:color w:val="auto"/>
                <w:sz w:val="22"/>
                <w:szCs w:val="22"/>
                <w:highlight w:val="none"/>
              </w:rPr>
              <w:t>针对本项目工程特点、工程进度计划安排、计划开工竣工日期、关键工作计划及工期保证措施等方面进行总体评价。</w:t>
            </w:r>
          </w:p>
          <w:p w14:paraId="7DF33C32">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以上内容不存在瑕疵:</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6B4D7F3B">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以上内容存在1处瑕疵:</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2E013ABA">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以上内容存在2处瑕疵:</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57105643">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以上内容存在3处瑕疵:</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31394C33">
            <w:pPr>
              <w:pStyle w:val="55"/>
              <w:keepNext w:val="0"/>
              <w:keepLines w:val="0"/>
              <w:pageBreakBefore w:val="0"/>
              <w:widowControl w:val="0"/>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处瑕疵</w:t>
            </w:r>
            <w:r>
              <w:rPr>
                <w:rFonts w:hint="eastAsia" w:ascii="宋体" w:hAnsi="宋体" w:cs="宋体"/>
                <w:color w:val="auto"/>
                <w:sz w:val="22"/>
                <w:szCs w:val="22"/>
                <w:highlight w:val="none"/>
                <w:lang w:val="en-US" w:eastAsia="zh-CN"/>
              </w:rPr>
              <w:t>:1分；</w:t>
            </w:r>
          </w:p>
          <w:p w14:paraId="7720AA89">
            <w:pPr>
              <w:pStyle w:val="55"/>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未提供方案或不满足施工要求或内容存在</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处及以上瑕疵:0分</w:t>
            </w:r>
            <w:r>
              <w:rPr>
                <w:rFonts w:hint="eastAsia" w:ascii="宋体" w:hAnsi="宋体" w:cs="宋体"/>
                <w:color w:val="auto"/>
                <w:sz w:val="22"/>
                <w:szCs w:val="22"/>
                <w:highlight w:val="none"/>
                <w:lang w:eastAsia="zh-CN"/>
              </w:rPr>
              <w:t>。</w:t>
            </w:r>
          </w:p>
          <w:p w14:paraId="25A5DAE1">
            <w:pPr>
              <w:pStyle w:val="55"/>
              <w:keepNext w:val="0"/>
              <w:keepLines w:val="0"/>
              <w:pageBreakBefore w:val="0"/>
              <w:widowControl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本项所称“瑕疵”是指内容缺项、不完整或缺少关键点:非专门针对本工程或不适用本工程特性、套用其他工程内容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对同一问题前后表述矛盾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存在逻辑</w:t>
            </w:r>
            <w:r>
              <w:rPr>
                <w:rFonts w:hint="eastAsia" w:ascii="宋体" w:hAnsi="宋体" w:cs="宋体"/>
                <w:color w:val="auto"/>
                <w:sz w:val="22"/>
                <w:szCs w:val="22"/>
                <w:highlight w:val="none"/>
                <w:lang w:val="en-US" w:eastAsia="zh-CN"/>
              </w:rPr>
              <w:t>漏</w:t>
            </w:r>
            <w:r>
              <w:rPr>
                <w:rFonts w:hint="eastAsia" w:ascii="宋体" w:hAnsi="宋体" w:cs="宋体"/>
                <w:color w:val="auto"/>
                <w:sz w:val="22"/>
                <w:szCs w:val="22"/>
                <w:highlight w:val="none"/>
              </w:rPr>
              <w:t>洞、科学原理或常识错误</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不利于本工程目标的实现、现有技术条件下不可能出现的情形等任意一种情形)。</w:t>
            </w:r>
          </w:p>
        </w:tc>
      </w:tr>
      <w:tr w14:paraId="24FF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6" w:type="dxa"/>
            <w:vMerge w:val="continue"/>
            <w:tcBorders>
              <w:left w:val="single" w:color="auto" w:sz="4" w:space="0"/>
              <w:right w:val="single" w:color="auto" w:sz="4" w:space="0"/>
            </w:tcBorders>
            <w:noWrap w:val="0"/>
          </w:tcPr>
          <w:p w14:paraId="2A7E1D57">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14:paraId="11A075D6">
            <w:pPr>
              <w:pStyle w:val="55"/>
              <w:keepNext w:val="0"/>
              <w:keepLines w:val="0"/>
              <w:pageBreakBefore w:val="0"/>
              <w:widowControl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rPr>
              <w:t>施工质量保证</w:t>
            </w:r>
            <w:r>
              <w:rPr>
                <w:rFonts w:hint="eastAsia" w:ascii="宋体" w:hAnsi="宋体" w:cs="宋体"/>
                <w:color w:val="auto"/>
                <w:sz w:val="22"/>
                <w:szCs w:val="22"/>
                <w:highlight w:val="none"/>
                <w:lang w:val="en-US" w:eastAsia="zh-CN"/>
              </w:rPr>
              <w:t>措施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分)</w:t>
            </w:r>
          </w:p>
        </w:tc>
        <w:tc>
          <w:tcPr>
            <w:tcW w:w="6079" w:type="dxa"/>
            <w:tcBorders>
              <w:top w:val="single" w:color="auto" w:sz="4" w:space="0"/>
              <w:left w:val="single" w:color="auto" w:sz="4" w:space="0"/>
              <w:bottom w:val="single" w:color="auto" w:sz="4" w:space="0"/>
              <w:right w:val="single" w:color="auto" w:sz="4" w:space="0"/>
            </w:tcBorders>
            <w:noWrap w:val="0"/>
            <w:vAlign w:val="center"/>
          </w:tcPr>
          <w:p w14:paraId="0B30A8D1">
            <w:pPr>
              <w:pStyle w:val="55"/>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w:t>
            </w:r>
            <w:r>
              <w:rPr>
                <w:rFonts w:hint="eastAsia" w:ascii="宋体" w:hAnsi="宋体" w:cs="宋体"/>
                <w:color w:val="auto"/>
                <w:sz w:val="22"/>
                <w:szCs w:val="22"/>
                <w:highlight w:val="none"/>
                <w:lang w:val="en-US" w:eastAsia="zh-CN"/>
              </w:rPr>
              <w:t>施工</w:t>
            </w:r>
            <w:r>
              <w:rPr>
                <w:rFonts w:hint="eastAsia" w:ascii="宋体" w:hAnsi="宋体" w:cs="宋体"/>
                <w:color w:val="auto"/>
                <w:sz w:val="22"/>
                <w:szCs w:val="22"/>
                <w:highlight w:val="none"/>
              </w:rPr>
              <w:t>质量保证措施</w:t>
            </w:r>
            <w:r>
              <w:rPr>
                <w:rFonts w:hint="eastAsia" w:ascii="宋体" w:hAnsi="宋体" w:cs="宋体"/>
                <w:color w:val="auto"/>
                <w:sz w:val="22"/>
                <w:szCs w:val="22"/>
                <w:highlight w:val="none"/>
                <w:lang w:val="en-US" w:eastAsia="zh-CN"/>
              </w:rPr>
              <w:t>中</w:t>
            </w:r>
            <w:r>
              <w:rPr>
                <w:rFonts w:hint="eastAsia" w:ascii="宋体" w:hAnsi="宋体" w:cs="宋体"/>
                <w:color w:val="auto"/>
                <w:sz w:val="22"/>
                <w:szCs w:val="22"/>
                <w:highlight w:val="none"/>
              </w:rPr>
              <w:t>对施工质量管理规划及目标、施工质量保证措施及突发情况预防方式等方面进行总体评价。</w:t>
            </w:r>
          </w:p>
          <w:p w14:paraId="252341CB">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以上内容不存在瑕疵:</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5FA35127">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以上内容存在1处瑕疵:</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7E81684B">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以上内容存在2处瑕疵:</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4A8C19EF">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以上内容存在3处瑕疵:</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53B62807">
            <w:pPr>
              <w:pStyle w:val="55"/>
              <w:keepNext w:val="0"/>
              <w:keepLines w:val="0"/>
              <w:pageBreakBefore w:val="0"/>
              <w:widowControl w:val="0"/>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处瑕疵</w:t>
            </w:r>
            <w:r>
              <w:rPr>
                <w:rFonts w:hint="eastAsia" w:ascii="宋体" w:hAnsi="宋体" w:cs="宋体"/>
                <w:color w:val="auto"/>
                <w:sz w:val="22"/>
                <w:szCs w:val="22"/>
                <w:highlight w:val="none"/>
                <w:lang w:val="en-US" w:eastAsia="zh-CN"/>
              </w:rPr>
              <w:t>:1分；</w:t>
            </w:r>
          </w:p>
          <w:p w14:paraId="7DEF7333">
            <w:pPr>
              <w:pStyle w:val="55"/>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未提供方案或不满足施工要求或内容存在</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处及以上瑕疵:0分</w:t>
            </w:r>
            <w:r>
              <w:rPr>
                <w:rFonts w:hint="eastAsia" w:ascii="宋体" w:hAnsi="宋体" w:cs="宋体"/>
                <w:color w:val="auto"/>
                <w:sz w:val="22"/>
                <w:szCs w:val="22"/>
                <w:highlight w:val="none"/>
                <w:lang w:eastAsia="zh-CN"/>
              </w:rPr>
              <w:t>。</w:t>
            </w:r>
          </w:p>
          <w:p w14:paraId="6D22D024">
            <w:pPr>
              <w:pStyle w:val="55"/>
              <w:keepNext w:val="0"/>
              <w:keepLines w:val="0"/>
              <w:pageBreakBefore w:val="0"/>
              <w:widowControl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本项所称“瑕疵”是指内容缺项、不完整或缺少关键点:非专门针对本工程或不适用本工程特性、套用其他工程内容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对同一问题前后表述矛盾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存在逻辑</w:t>
            </w:r>
            <w:r>
              <w:rPr>
                <w:rFonts w:hint="eastAsia" w:ascii="宋体" w:hAnsi="宋体" w:cs="宋体"/>
                <w:color w:val="auto"/>
                <w:sz w:val="22"/>
                <w:szCs w:val="22"/>
                <w:highlight w:val="none"/>
                <w:lang w:val="en-US" w:eastAsia="zh-CN"/>
              </w:rPr>
              <w:t>漏</w:t>
            </w:r>
            <w:r>
              <w:rPr>
                <w:rFonts w:hint="eastAsia" w:ascii="宋体" w:hAnsi="宋体" w:cs="宋体"/>
                <w:color w:val="auto"/>
                <w:sz w:val="22"/>
                <w:szCs w:val="22"/>
                <w:highlight w:val="none"/>
              </w:rPr>
              <w:t>洞、科学原理或常识错误</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不利于本工程目标的实现、现有技术条件下不可能出现的情形等任意一种情形)。</w:t>
            </w:r>
          </w:p>
        </w:tc>
      </w:tr>
      <w:tr w14:paraId="2E1E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1176" w:type="dxa"/>
            <w:vMerge w:val="continue"/>
            <w:tcBorders>
              <w:left w:val="single" w:color="auto" w:sz="4" w:space="0"/>
              <w:right w:val="single" w:color="auto" w:sz="4" w:space="0"/>
            </w:tcBorders>
            <w:noWrap w:val="0"/>
          </w:tcPr>
          <w:p w14:paraId="48A2A28F">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14:paraId="2CD131A7">
            <w:pPr>
              <w:pStyle w:val="55"/>
              <w:keepNext w:val="0"/>
              <w:keepLines w:val="0"/>
              <w:pageBreakBefore w:val="0"/>
              <w:widowControl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项目管理班子人员配备、素质及管理经验</w:t>
            </w:r>
          </w:p>
          <w:p w14:paraId="2BCE115B">
            <w:pPr>
              <w:pStyle w:val="55"/>
              <w:keepNext w:val="0"/>
              <w:keepLines w:val="0"/>
              <w:pageBreakBefore w:val="0"/>
              <w:widowControl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分）</w:t>
            </w:r>
          </w:p>
        </w:tc>
        <w:tc>
          <w:tcPr>
            <w:tcW w:w="6079" w:type="dxa"/>
            <w:tcBorders>
              <w:top w:val="single" w:color="auto" w:sz="4" w:space="0"/>
              <w:left w:val="single" w:color="auto" w:sz="4" w:space="0"/>
              <w:bottom w:val="single" w:color="auto" w:sz="4" w:space="0"/>
              <w:right w:val="single" w:color="auto" w:sz="4" w:space="0"/>
            </w:tcBorders>
            <w:noWrap w:val="0"/>
            <w:vAlign w:val="center"/>
          </w:tcPr>
          <w:p w14:paraId="039106EE">
            <w:pPr>
              <w:pStyle w:val="55"/>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根据供应商提供的项目管理班子人员配备、素质及管理经验等方面进行总体评价。</w:t>
            </w:r>
          </w:p>
          <w:p w14:paraId="29BB41E6">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以上内容不存在瑕疵:</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79225516">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以上内容存在1处瑕疵:</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49279BD0">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以上内容存在2处瑕疵:</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7D06EB4C">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以上内容存在3处瑕疵:</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70D57781">
            <w:pPr>
              <w:pStyle w:val="55"/>
              <w:keepNext w:val="0"/>
              <w:keepLines w:val="0"/>
              <w:pageBreakBefore w:val="0"/>
              <w:widowControl w:val="0"/>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处瑕疵</w:t>
            </w:r>
            <w:r>
              <w:rPr>
                <w:rFonts w:hint="eastAsia" w:ascii="宋体" w:hAnsi="宋体" w:cs="宋体"/>
                <w:color w:val="auto"/>
                <w:sz w:val="22"/>
                <w:szCs w:val="22"/>
                <w:highlight w:val="none"/>
                <w:lang w:val="en-US" w:eastAsia="zh-CN"/>
              </w:rPr>
              <w:t>:1分；</w:t>
            </w:r>
          </w:p>
          <w:p w14:paraId="2D2E3BCB">
            <w:pPr>
              <w:pStyle w:val="55"/>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未提供方案或不满足施工要求或内容存在</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处及以上瑕疵:0分</w:t>
            </w:r>
            <w:r>
              <w:rPr>
                <w:rFonts w:hint="eastAsia" w:ascii="宋体" w:hAnsi="宋体" w:cs="宋体"/>
                <w:color w:val="auto"/>
                <w:sz w:val="22"/>
                <w:szCs w:val="22"/>
                <w:highlight w:val="none"/>
                <w:lang w:eastAsia="zh-CN"/>
              </w:rPr>
              <w:t>。</w:t>
            </w:r>
          </w:p>
          <w:p w14:paraId="6E4536C8">
            <w:pPr>
              <w:pStyle w:val="55"/>
              <w:keepNext w:val="0"/>
              <w:keepLines w:val="0"/>
              <w:pageBreakBefore w:val="0"/>
              <w:widowControl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本项所称“瑕疵”是指内容缺项、不完整或缺少关键点:非专门针对本工程或不适用本工程特性、套用其他工程内容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对同一问题前后表述矛盾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存在逻辑</w:t>
            </w:r>
            <w:r>
              <w:rPr>
                <w:rFonts w:hint="eastAsia" w:ascii="宋体" w:hAnsi="宋体" w:cs="宋体"/>
                <w:color w:val="auto"/>
                <w:sz w:val="22"/>
                <w:szCs w:val="22"/>
                <w:highlight w:val="none"/>
                <w:lang w:val="en-US" w:eastAsia="zh-CN"/>
              </w:rPr>
              <w:t>漏</w:t>
            </w:r>
            <w:r>
              <w:rPr>
                <w:rFonts w:hint="eastAsia" w:ascii="宋体" w:hAnsi="宋体" w:cs="宋体"/>
                <w:color w:val="auto"/>
                <w:sz w:val="22"/>
                <w:szCs w:val="22"/>
                <w:highlight w:val="none"/>
              </w:rPr>
              <w:t>洞、科学原理或常识错误</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不利于本工程目标的实现、现有技术条件下不可能出现的情形等任意一种情形)。</w:t>
            </w:r>
          </w:p>
        </w:tc>
      </w:tr>
      <w:tr w14:paraId="6CBD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176" w:type="dxa"/>
            <w:vMerge w:val="continue"/>
            <w:tcBorders>
              <w:left w:val="single" w:color="auto" w:sz="4" w:space="0"/>
              <w:right w:val="single" w:color="auto" w:sz="4" w:space="0"/>
            </w:tcBorders>
            <w:noWrap w:val="0"/>
          </w:tcPr>
          <w:p w14:paraId="1B403A3C">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14:paraId="3D50A53C">
            <w:pPr>
              <w:pStyle w:val="55"/>
              <w:keepNext w:val="0"/>
              <w:keepLines w:val="0"/>
              <w:pageBreakBefore w:val="0"/>
              <w:widowControl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关键施工技术、工艺及工程项目实施的重点、难点和解决方案</w:t>
            </w:r>
          </w:p>
          <w:p w14:paraId="2DDE5170">
            <w:pPr>
              <w:pStyle w:val="55"/>
              <w:keepNext w:val="0"/>
              <w:keepLines w:val="0"/>
              <w:pageBreakBefore w:val="0"/>
              <w:widowControl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tc>
        <w:tc>
          <w:tcPr>
            <w:tcW w:w="6079" w:type="dxa"/>
            <w:tcBorders>
              <w:top w:val="single" w:color="auto" w:sz="4" w:space="0"/>
              <w:left w:val="single" w:color="auto" w:sz="4" w:space="0"/>
              <w:bottom w:val="single" w:color="auto" w:sz="4" w:space="0"/>
              <w:right w:val="single" w:color="auto" w:sz="4" w:space="0"/>
            </w:tcBorders>
            <w:noWrap w:val="0"/>
            <w:vAlign w:val="center"/>
          </w:tcPr>
          <w:p w14:paraId="60698AFD">
            <w:pPr>
              <w:pStyle w:val="55"/>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根据供应商提供的关键施工技术、工艺及工程项目实施的重点、难点和解决方案等方面进行总体评价。</w:t>
            </w:r>
          </w:p>
          <w:p w14:paraId="4611FFD5">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以上内容不存在瑕疵:</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10A58EBA">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以上内容存在1处瑕疵:</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689E8CD3">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以上内容存在2处瑕疵:</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4D3D6BC0">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以上内容存在3处瑕疵:</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02646B80">
            <w:pPr>
              <w:pStyle w:val="55"/>
              <w:keepNext w:val="0"/>
              <w:keepLines w:val="0"/>
              <w:pageBreakBefore w:val="0"/>
              <w:widowControl w:val="0"/>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处瑕疵</w:t>
            </w:r>
            <w:r>
              <w:rPr>
                <w:rFonts w:hint="eastAsia" w:ascii="宋体" w:hAnsi="宋体" w:cs="宋体"/>
                <w:color w:val="auto"/>
                <w:sz w:val="22"/>
                <w:szCs w:val="22"/>
                <w:highlight w:val="none"/>
                <w:lang w:val="en-US" w:eastAsia="zh-CN"/>
              </w:rPr>
              <w:t>:1分；</w:t>
            </w:r>
          </w:p>
          <w:p w14:paraId="6E251F0F">
            <w:pPr>
              <w:pStyle w:val="55"/>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未提供方案或不满足施工要求或内容存在</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处及以上瑕疵:0分</w:t>
            </w:r>
            <w:r>
              <w:rPr>
                <w:rFonts w:hint="eastAsia" w:ascii="宋体" w:hAnsi="宋体" w:cs="宋体"/>
                <w:color w:val="auto"/>
                <w:sz w:val="22"/>
                <w:szCs w:val="22"/>
                <w:highlight w:val="none"/>
                <w:lang w:eastAsia="zh-CN"/>
              </w:rPr>
              <w:t>。</w:t>
            </w:r>
          </w:p>
          <w:p w14:paraId="1538602F">
            <w:pPr>
              <w:pStyle w:val="55"/>
              <w:keepNext w:val="0"/>
              <w:keepLines w:val="0"/>
              <w:pageBreakBefore w:val="0"/>
              <w:widowControl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本项所称“瑕疵”是指内容缺项、不完整或缺少关键点:非专门针对本工程或不适用本工程特性、套用其他工程内容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对同一问题前后表述矛盾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存在逻辑</w:t>
            </w:r>
            <w:r>
              <w:rPr>
                <w:rFonts w:hint="eastAsia" w:ascii="宋体" w:hAnsi="宋体" w:cs="宋体"/>
                <w:color w:val="auto"/>
                <w:sz w:val="22"/>
                <w:szCs w:val="22"/>
                <w:highlight w:val="none"/>
                <w:lang w:val="en-US" w:eastAsia="zh-CN"/>
              </w:rPr>
              <w:t>漏</w:t>
            </w:r>
            <w:r>
              <w:rPr>
                <w:rFonts w:hint="eastAsia" w:ascii="宋体" w:hAnsi="宋体" w:cs="宋体"/>
                <w:color w:val="auto"/>
                <w:sz w:val="22"/>
                <w:szCs w:val="22"/>
                <w:highlight w:val="none"/>
              </w:rPr>
              <w:t>洞、科学原理或常识错误</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不利于本工程目标的实现、现有技术条件下不可能出现的情形等任意一种情形)。</w:t>
            </w:r>
          </w:p>
        </w:tc>
      </w:tr>
      <w:tr w14:paraId="159B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1176" w:type="dxa"/>
            <w:vMerge w:val="continue"/>
            <w:tcBorders>
              <w:left w:val="single" w:color="auto" w:sz="4" w:space="0"/>
              <w:right w:val="single" w:color="auto" w:sz="4" w:space="0"/>
            </w:tcBorders>
            <w:noWrap w:val="0"/>
          </w:tcPr>
          <w:p w14:paraId="7B3EA8D4">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14:paraId="1345F686">
            <w:pPr>
              <w:pStyle w:val="55"/>
              <w:keepNext w:val="0"/>
              <w:keepLines w:val="0"/>
              <w:pageBreakBefore w:val="0"/>
              <w:widowControl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val="en-US" w:eastAsia="zh-CN"/>
              </w:rPr>
              <w:t>安全文明施工方案（9分）</w:t>
            </w:r>
          </w:p>
        </w:tc>
        <w:tc>
          <w:tcPr>
            <w:tcW w:w="6079" w:type="dxa"/>
            <w:tcBorders>
              <w:top w:val="single" w:color="auto" w:sz="4" w:space="0"/>
              <w:left w:val="single" w:color="auto" w:sz="4" w:space="0"/>
              <w:bottom w:val="single" w:color="auto" w:sz="4" w:space="0"/>
              <w:right w:val="single" w:color="auto" w:sz="4" w:space="0"/>
            </w:tcBorders>
            <w:noWrap w:val="0"/>
            <w:vAlign w:val="center"/>
          </w:tcPr>
          <w:p w14:paraId="524216CE">
            <w:pPr>
              <w:pStyle w:val="55"/>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根据供应商提供的安全文明施工</w:t>
            </w:r>
            <w:r>
              <w:rPr>
                <w:rFonts w:hint="eastAsia" w:ascii="宋体" w:hAnsi="宋体" w:cs="宋体"/>
                <w:color w:val="auto"/>
                <w:sz w:val="22"/>
                <w:szCs w:val="22"/>
                <w:highlight w:val="none"/>
                <w:lang w:val="en-US" w:eastAsia="zh-CN"/>
              </w:rPr>
              <w:t>方案</w:t>
            </w:r>
            <w:r>
              <w:rPr>
                <w:rFonts w:hint="eastAsia" w:ascii="宋体" w:hAnsi="宋体" w:cs="宋体"/>
                <w:color w:val="auto"/>
                <w:sz w:val="22"/>
                <w:szCs w:val="22"/>
                <w:highlight w:val="none"/>
              </w:rPr>
              <w:t>中安全生产管理措施、文明施工管理措施、环境保护措施等方面进行总体评价。</w:t>
            </w:r>
          </w:p>
          <w:p w14:paraId="4763778D">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以上内容不存在瑕疵:</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330554EA">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以上内容存在1处瑕疵:</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54E03925">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以上内容存在2处瑕疵:</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704E341E">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以上内容存在3处瑕疵:</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5B72FE5C">
            <w:pPr>
              <w:pStyle w:val="55"/>
              <w:keepNext w:val="0"/>
              <w:keepLines w:val="0"/>
              <w:pageBreakBefore w:val="0"/>
              <w:widowControl w:val="0"/>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处瑕疵</w:t>
            </w:r>
            <w:r>
              <w:rPr>
                <w:rFonts w:hint="eastAsia" w:ascii="宋体" w:hAnsi="宋体" w:cs="宋体"/>
                <w:color w:val="auto"/>
                <w:sz w:val="22"/>
                <w:szCs w:val="22"/>
                <w:highlight w:val="none"/>
                <w:lang w:val="en-US" w:eastAsia="zh-CN"/>
              </w:rPr>
              <w:t>:1分；</w:t>
            </w:r>
          </w:p>
          <w:p w14:paraId="63351579">
            <w:pPr>
              <w:pStyle w:val="55"/>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未提供方案或不满足施工要求或内容存在</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处及以上瑕疵:0分</w:t>
            </w:r>
            <w:r>
              <w:rPr>
                <w:rFonts w:hint="eastAsia" w:ascii="宋体" w:hAnsi="宋体" w:cs="宋体"/>
                <w:color w:val="auto"/>
                <w:sz w:val="22"/>
                <w:szCs w:val="22"/>
                <w:highlight w:val="none"/>
                <w:lang w:eastAsia="zh-CN"/>
              </w:rPr>
              <w:t>。</w:t>
            </w:r>
          </w:p>
          <w:p w14:paraId="28AED923">
            <w:pPr>
              <w:pStyle w:val="55"/>
              <w:keepNext w:val="0"/>
              <w:keepLines w:val="0"/>
              <w:pageBreakBefore w:val="0"/>
              <w:widowControl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本项所称“瑕疵”是指内容缺项、不完整或缺少关键点:非专门针对本工程或不适用本工程特性、套用其他工程内容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对同一问题前后表述矛盾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存在逻辑</w:t>
            </w:r>
            <w:r>
              <w:rPr>
                <w:rFonts w:hint="eastAsia" w:ascii="宋体" w:hAnsi="宋体" w:cs="宋体"/>
                <w:color w:val="auto"/>
                <w:sz w:val="22"/>
                <w:szCs w:val="22"/>
                <w:highlight w:val="none"/>
                <w:lang w:val="en-US" w:eastAsia="zh-CN"/>
              </w:rPr>
              <w:t>漏</w:t>
            </w:r>
            <w:r>
              <w:rPr>
                <w:rFonts w:hint="eastAsia" w:ascii="宋体" w:hAnsi="宋体" w:cs="宋体"/>
                <w:color w:val="auto"/>
                <w:sz w:val="22"/>
                <w:szCs w:val="22"/>
                <w:highlight w:val="none"/>
              </w:rPr>
              <w:t>洞、科学原理或常识错误</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不利于本工程目标的实现、现有技术条件下不可能出现的情形等任意一种情形)。</w:t>
            </w:r>
          </w:p>
        </w:tc>
      </w:tr>
      <w:tr w14:paraId="7E52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9" w:hRule="atLeast"/>
          <w:jc w:val="center"/>
        </w:trPr>
        <w:tc>
          <w:tcPr>
            <w:tcW w:w="1176" w:type="dxa"/>
            <w:vMerge w:val="continue"/>
            <w:tcBorders>
              <w:left w:val="single" w:color="auto" w:sz="4" w:space="0"/>
              <w:right w:val="single" w:color="auto" w:sz="4" w:space="0"/>
            </w:tcBorders>
            <w:noWrap w:val="0"/>
          </w:tcPr>
          <w:p w14:paraId="570C8428">
            <w:pPr>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p>
        </w:tc>
        <w:tc>
          <w:tcPr>
            <w:tcW w:w="1805" w:type="dxa"/>
            <w:tcBorders>
              <w:top w:val="single" w:color="auto" w:sz="4" w:space="0"/>
              <w:left w:val="single" w:color="auto" w:sz="4" w:space="0"/>
              <w:right w:val="single" w:color="auto" w:sz="4" w:space="0"/>
            </w:tcBorders>
            <w:noWrap w:val="0"/>
            <w:vAlign w:val="center"/>
          </w:tcPr>
          <w:p w14:paraId="24A549EC">
            <w:pPr>
              <w:keepNext w:val="0"/>
              <w:keepLines w:val="0"/>
              <w:pageBreakBefore w:val="0"/>
              <w:pBdr>
                <w:top w:val="none" w:color="000000" w:sz="0" w:space="0"/>
                <w:left w:val="none" w:color="000000" w:sz="0" w:space="0"/>
                <w:bottom w:val="none" w:color="000000" w:sz="0" w:space="0"/>
                <w:right w:val="none" w:color="000000" w:sz="0" w:space="0"/>
              </w:pBdr>
              <w:spacing w:before="240" w:after="240" w:line="360" w:lineRule="auto"/>
              <w:ind w:left="0" w:right="0" w:firstLine="0"/>
              <w:jc w:val="center"/>
              <w:rPr>
                <w:sz w:val="22"/>
                <w:szCs w:val="22"/>
                <w:highlight w:val="none"/>
              </w:rPr>
            </w:pPr>
            <w:r>
              <w:rPr>
                <w:rFonts w:ascii="宋体" w:hAnsi="宋体" w:eastAsia="宋体" w:cs="宋体"/>
                <w:color w:val="000000"/>
                <w:sz w:val="22"/>
                <w:szCs w:val="22"/>
                <w:highlight w:val="none"/>
              </w:rPr>
              <w:t>后期维保方案及措施</w:t>
            </w:r>
          </w:p>
          <w:p w14:paraId="198F94D2">
            <w:pPr>
              <w:pStyle w:val="55"/>
              <w:keepNext w:val="0"/>
              <w:keepLines w:val="0"/>
              <w:pageBreakBefore w:val="0"/>
              <w:spacing w:line="360" w:lineRule="auto"/>
              <w:jc w:val="center"/>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分）</w:t>
            </w:r>
          </w:p>
        </w:tc>
        <w:tc>
          <w:tcPr>
            <w:tcW w:w="6079" w:type="dxa"/>
            <w:tcBorders>
              <w:top w:val="single" w:color="auto" w:sz="4" w:space="0"/>
              <w:left w:val="single" w:color="auto" w:sz="4" w:space="0"/>
              <w:bottom w:val="single" w:color="auto" w:sz="4" w:space="0"/>
              <w:right w:val="single" w:color="auto" w:sz="4" w:space="0"/>
            </w:tcBorders>
            <w:noWrap w:val="0"/>
            <w:vAlign w:val="center"/>
          </w:tcPr>
          <w:p w14:paraId="78EAEAD4">
            <w:pPr>
              <w:pStyle w:val="55"/>
              <w:keepNext w:val="0"/>
              <w:keepLines w:val="0"/>
              <w:pageBreakBefore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w:t>
            </w:r>
            <w:r>
              <w:rPr>
                <w:rFonts w:ascii="宋体" w:hAnsi="宋体" w:eastAsia="宋体" w:cs="宋体"/>
                <w:color w:val="000000"/>
                <w:sz w:val="22"/>
                <w:szCs w:val="22"/>
                <w:highlight w:val="none"/>
              </w:rPr>
              <w:t>后期维保</w:t>
            </w:r>
            <w:r>
              <w:rPr>
                <w:rFonts w:hint="eastAsia" w:ascii="宋体" w:hAnsi="宋体" w:cs="宋体"/>
                <w:color w:val="auto"/>
                <w:sz w:val="22"/>
                <w:szCs w:val="22"/>
                <w:highlight w:val="none"/>
              </w:rPr>
              <w:t>方案及措施</w:t>
            </w:r>
            <w:r>
              <w:rPr>
                <w:rFonts w:hint="eastAsia" w:ascii="宋体" w:hAnsi="宋体" w:cs="宋体"/>
                <w:color w:val="auto"/>
                <w:sz w:val="22"/>
                <w:szCs w:val="22"/>
                <w:highlight w:val="none"/>
                <w:lang w:val="en-US" w:eastAsia="zh-CN"/>
              </w:rPr>
              <w:t>中</w:t>
            </w:r>
            <w:r>
              <w:rPr>
                <w:rFonts w:hint="eastAsia" w:ascii="宋体" w:hAnsi="宋体" w:eastAsia="宋体" w:cs="宋体"/>
                <w:color w:val="auto"/>
                <w:sz w:val="22"/>
                <w:szCs w:val="22"/>
                <w:lang w:val="en-US" w:eastAsia="zh-CN" w:bidi="ar-SA"/>
              </w:rPr>
              <w:t>维护维修服务内容及范围、维修施工人员配备、维修机械设备配备、备品备件配备</w:t>
            </w:r>
            <w:r>
              <w:rPr>
                <w:rFonts w:hint="eastAsia" w:ascii="宋体" w:hAnsi="宋体" w:cs="宋体"/>
                <w:color w:val="auto"/>
                <w:sz w:val="22"/>
                <w:szCs w:val="22"/>
                <w:lang w:val="en-US" w:eastAsia="zh-CN" w:bidi="ar-SA"/>
              </w:rPr>
              <w:t>等内容</w:t>
            </w:r>
            <w:r>
              <w:rPr>
                <w:rFonts w:hint="eastAsia" w:ascii="宋体" w:hAnsi="宋体" w:cs="宋体"/>
                <w:color w:val="auto"/>
                <w:sz w:val="22"/>
                <w:szCs w:val="22"/>
                <w:highlight w:val="none"/>
              </w:rPr>
              <w:t>等方面进行总体评价。</w:t>
            </w:r>
          </w:p>
          <w:p w14:paraId="461F4651">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以上内容不存在瑕疵:</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234F52A3">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以上内容存在1处瑕疵:</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22F3C266">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以上内容存在2处瑕疵:</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58F9E1F7">
            <w:pPr>
              <w:pStyle w:val="55"/>
              <w:keepNext w:val="0"/>
              <w:keepLines w:val="0"/>
              <w:pageBreakBefore w:val="0"/>
              <w:widowControl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以上内容存在3处瑕疵:</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4D7B354B">
            <w:pPr>
              <w:pStyle w:val="55"/>
              <w:keepNext w:val="0"/>
              <w:keepLines w:val="0"/>
              <w:pageBreakBefore w:val="0"/>
              <w:widowControl w:val="0"/>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以上内容存在</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处瑕疵</w:t>
            </w:r>
            <w:r>
              <w:rPr>
                <w:rFonts w:hint="eastAsia" w:ascii="宋体" w:hAnsi="宋体" w:cs="宋体"/>
                <w:color w:val="auto"/>
                <w:sz w:val="22"/>
                <w:szCs w:val="22"/>
                <w:highlight w:val="none"/>
                <w:lang w:val="en-US" w:eastAsia="zh-CN"/>
              </w:rPr>
              <w:t>:1分；</w:t>
            </w:r>
          </w:p>
          <w:p w14:paraId="4D617CEF">
            <w:pPr>
              <w:pStyle w:val="55"/>
              <w:keepNext w:val="0"/>
              <w:keepLines w:val="0"/>
              <w:pageBreakBefore w:val="0"/>
              <w:widowControl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未提供方案或不满足施工要求或内容存在</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处及以上瑕疵:0分</w:t>
            </w:r>
            <w:r>
              <w:rPr>
                <w:rFonts w:hint="eastAsia" w:ascii="宋体" w:hAnsi="宋体" w:cs="宋体"/>
                <w:color w:val="auto"/>
                <w:sz w:val="22"/>
                <w:szCs w:val="22"/>
                <w:highlight w:val="none"/>
                <w:lang w:eastAsia="zh-CN"/>
              </w:rPr>
              <w:t>。</w:t>
            </w:r>
          </w:p>
          <w:p w14:paraId="06CF825F">
            <w:pPr>
              <w:pStyle w:val="55"/>
              <w:keepNext w:val="0"/>
              <w:keepLines w:val="0"/>
              <w:pageBreakBefore w:val="0"/>
              <w:spacing w:line="360" w:lineRule="auto"/>
              <w:jc w:val="left"/>
              <w:rPr>
                <w:rFonts w:hint="eastAsia" w:ascii="宋体" w:hAnsi="宋体" w:eastAsia="宋体" w:cs="宋体"/>
                <w:color w:val="000000" w:themeColor="text1"/>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本项所称“瑕疵”是指内容缺项、不完整或缺少关键点:非专门针对本工程或不适用本工程特性、套用其他工程内容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对同一问题前后表述矛盾</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存在逻辑</w:t>
            </w:r>
            <w:r>
              <w:rPr>
                <w:rFonts w:hint="eastAsia" w:ascii="宋体" w:hAnsi="宋体" w:cs="宋体"/>
                <w:color w:val="auto"/>
                <w:sz w:val="22"/>
                <w:szCs w:val="22"/>
                <w:highlight w:val="none"/>
                <w:lang w:val="en-US" w:eastAsia="zh-CN"/>
              </w:rPr>
              <w:t>漏</w:t>
            </w:r>
            <w:r>
              <w:rPr>
                <w:rFonts w:hint="eastAsia" w:ascii="宋体" w:hAnsi="宋体" w:cs="宋体"/>
                <w:color w:val="auto"/>
                <w:sz w:val="22"/>
                <w:szCs w:val="22"/>
                <w:highlight w:val="none"/>
              </w:rPr>
              <w:t>洞、科学原理或常识错误</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不利于本工程目标的实现、现有技术条件下不可能出现的情形等任意一种情形)。</w:t>
            </w:r>
          </w:p>
        </w:tc>
      </w:tr>
    </w:tbl>
    <w:p w14:paraId="3DE450EE">
      <w:pPr>
        <w:pStyle w:val="64"/>
        <w:pageBreakBefore w:val="0"/>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p>
    <w:p w14:paraId="18D5AFF6">
      <w:pPr>
        <w:pStyle w:val="64"/>
        <w:pageBreakBefore w:val="0"/>
        <w:spacing w:line="36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注：本项目采用综合评分法。供应商技术部分得分取所有评委的平均值，保留小数点后二位</w:t>
      </w:r>
      <w:r>
        <w:rPr>
          <w:rFonts w:hint="eastAsia" w:ascii="宋体" w:hAnsi="宋体" w:cs="宋体"/>
          <w:b/>
          <w:bCs/>
          <w:color w:val="000000" w:themeColor="text1"/>
          <w:sz w:val="22"/>
          <w:szCs w:val="22"/>
          <w:highlight w:val="none"/>
          <w:lang w:eastAsia="zh-CN"/>
          <w14:textFill>
            <w14:solidFill>
              <w14:schemeClr w14:val="tx1"/>
            </w14:solidFill>
          </w14:textFill>
        </w:rPr>
        <w:t>。</w:t>
      </w:r>
    </w:p>
    <w:p w14:paraId="37A72C15">
      <w:pPr>
        <w:pStyle w:val="55"/>
        <w:pageBreakBefore w:val="0"/>
        <w:widowControl/>
        <w:numPr>
          <w:ilvl w:val="0"/>
          <w:numId w:val="0"/>
        </w:numPr>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r>
        <w:rPr>
          <w:rStyle w:val="230"/>
          <w:rFonts w:hint="eastAsia" w:ascii="宋体" w:hAnsi="宋体" w:eastAsia="宋体" w:cs="宋体"/>
          <w:color w:val="000000" w:themeColor="text1"/>
          <w:sz w:val="24"/>
          <w:szCs w:val="24"/>
          <w:highlight w:val="none"/>
          <w:lang w:val="en-US"/>
          <w14:textFill>
            <w14:solidFill>
              <w14:schemeClr w14:val="tx1"/>
            </w14:solidFill>
          </w14:textFill>
        </w:rPr>
        <w:t>2、</w:t>
      </w:r>
      <w:r>
        <w:rPr>
          <w:rStyle w:val="230"/>
          <w:rFonts w:hint="eastAsia" w:ascii="宋体" w:hAnsi="宋体" w:eastAsia="宋体" w:cs="宋体"/>
          <w:color w:val="000000" w:themeColor="text1"/>
          <w:sz w:val="24"/>
          <w:szCs w:val="24"/>
          <w:highlight w:val="none"/>
          <w14:textFill>
            <w14:solidFill>
              <w14:schemeClr w14:val="tx1"/>
            </w14:solidFill>
          </w14:textFill>
        </w:rPr>
        <w:t>采购需求</w:t>
      </w:r>
    </w:p>
    <w:p w14:paraId="12BC7973">
      <w:pPr>
        <w:pStyle w:val="53"/>
        <w:pageBreakBefore w:val="0"/>
        <w:spacing w:line="360" w:lineRule="auto"/>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一、采购预算  </w:t>
      </w:r>
    </w:p>
    <w:p w14:paraId="1DA40CE4">
      <w:pPr>
        <w:pStyle w:val="51"/>
        <w:spacing w:line="360" w:lineRule="auto"/>
        <w:ind w:firstLine="480"/>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本项目不接受超过总价395.00万</w:t>
      </w:r>
      <w:r>
        <w:rPr>
          <w:rFonts w:hint="eastAsia" w:ascii="宋体" w:hAnsi="宋体" w:cs="宋体"/>
          <w:color w:val="000000" w:themeColor="text1"/>
          <w:sz w:val="24"/>
          <w:highlight w:val="none"/>
          <w:lang w:val="en-US" w:eastAsia="zh-CN"/>
          <w14:textFill>
            <w14:solidFill>
              <w14:schemeClr w14:val="tx1"/>
            </w14:solidFill>
          </w14:textFill>
        </w:rPr>
        <w:t>元</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人民币的报价。报价包含</w:t>
      </w:r>
      <w:r>
        <w:rPr>
          <w:rFonts w:hint="eastAsia" w:ascii="宋体" w:hAnsi="宋体" w:cs="Times New Roman"/>
          <w:color w:val="000000" w:themeColor="text1"/>
          <w:sz w:val="24"/>
          <w:szCs w:val="24"/>
          <w:highlight w:val="none"/>
          <w:lang w:val="en-US" w:eastAsia="zh-CN" w:bidi="ar-SA"/>
          <w14:textFill>
            <w14:solidFill>
              <w14:schemeClr w14:val="tx1"/>
            </w14:solidFill>
          </w14:textFill>
        </w:rPr>
        <w:t>人工费</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、材料费、机械费、管理费、</w:t>
      </w:r>
      <w:r>
        <w:rPr>
          <w:rFonts w:hint="eastAsia" w:ascii="宋体" w:hAnsi="宋体" w:cs="Times New Roman"/>
          <w:color w:val="000000" w:themeColor="text1"/>
          <w:sz w:val="24"/>
          <w:szCs w:val="24"/>
          <w:highlight w:val="none"/>
          <w:lang w:val="en-US" w:eastAsia="zh-CN" w:bidi="ar-SA"/>
          <w14:textFill>
            <w14:solidFill>
              <w14:schemeClr w14:val="tx1"/>
            </w14:solidFill>
          </w14:textFill>
        </w:rPr>
        <w:t>验收、</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税金等完成本项目所需的全部费用，采购人不再支付除报价以外的其他任何额外费用。</w:t>
      </w:r>
      <w:r>
        <w:rPr>
          <w:rFonts w:hint="eastAsia" w:ascii="宋体" w:hAnsi="宋体" w:eastAsia="宋体" w:cs="Times New Roman"/>
          <w:color w:val="000000"/>
          <w:sz w:val="24"/>
          <w:szCs w:val="24"/>
          <w:highlight w:val="none"/>
          <w:lang w:val="en-US" w:eastAsia="zh-CN" w:bidi="ar-SA"/>
        </w:rPr>
        <w:t>磋商小组认为供应商的报价明显低于其他通过符合性审查供应商的报价，有可能影响质量或者不能诚信履约的，要求其在评标现场合理的时间内提供书面说明，必要时提交相关证明材料。</w:t>
      </w:r>
    </w:p>
    <w:p w14:paraId="08ABEF3B">
      <w:pPr>
        <w:pStyle w:val="53"/>
        <w:pageBreakBefore w:val="0"/>
        <w:spacing w:line="360" w:lineRule="auto"/>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二、项目概况：</w:t>
      </w:r>
    </w:p>
    <w:p w14:paraId="5EE331F4">
      <w:pPr>
        <w:pStyle w:val="53"/>
        <w:pageBreakBefore w:val="0"/>
        <w:spacing w:line="360" w:lineRule="auto"/>
        <w:ind w:firstLine="480"/>
        <w:rPr>
          <w:rFonts w:ascii="宋体" w:hAns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1、项目名称：</w:t>
      </w:r>
      <w:r>
        <w:rPr>
          <w:rFonts w:hint="eastAsia" w:ascii="宋体" w:hAnsi="宋体" w:cs="Times New Roman"/>
          <w:color w:val="000000" w:themeColor="text1"/>
          <w:sz w:val="24"/>
          <w:szCs w:val="24"/>
          <w:highlight w:val="none"/>
          <w:lang w:val="en-US" w:eastAsia="zh-CN" w:bidi="ar-SA"/>
          <w14:textFill>
            <w14:solidFill>
              <w14:schemeClr w14:val="tx1"/>
            </w14:solidFill>
          </w14:textFill>
        </w:rPr>
        <w:t>2024年度新沂市骆马湖片区外（时集镇白石村）省级宜居宜业和美乡村工程</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w:t>
      </w:r>
    </w:p>
    <w:p w14:paraId="798A3E4C">
      <w:pPr>
        <w:pStyle w:val="292"/>
        <w:pageBreakBefore w:val="0"/>
        <w:spacing w:line="360" w:lineRule="auto"/>
        <w:ind w:firstLine="480"/>
        <w:rPr>
          <w:rFonts w:hAnsi="宋体"/>
          <w:color w:val="000000" w:themeColor="text1"/>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2、</w:t>
      </w:r>
      <w:r>
        <w:rPr>
          <w:rFonts w:hAnsi="宋体"/>
          <w:color w:val="000000" w:themeColor="text1"/>
          <w:highlight w:val="none"/>
          <w14:textFill>
            <w14:solidFill>
              <w14:schemeClr w14:val="tx1"/>
            </w14:solidFill>
          </w14:textFill>
        </w:rPr>
        <w:t>本项目主要内容：</w:t>
      </w:r>
      <w:r>
        <w:rPr>
          <w:rFonts w:hint="eastAsia" w:ascii="宋体" w:hAnsi="宋体" w:cs="宋体"/>
          <w:color w:val="000000" w:themeColor="text1"/>
          <w:sz w:val="24"/>
          <w:highlight w:val="none"/>
          <w:lang w:eastAsia="zh-CN"/>
          <w14:textFill>
            <w14:solidFill>
              <w14:schemeClr w14:val="tx1"/>
            </w14:solidFill>
          </w14:textFill>
        </w:rPr>
        <w:t>2024年度新沂市骆马湖片区外（时集镇白石村）省级宜居宜业和美乡村工程，</w:t>
      </w:r>
      <w:r>
        <w:rPr>
          <w:rFonts w:hint="eastAsia" w:ascii="宋体" w:hAnsi="宋体" w:cs="宋体"/>
          <w:color w:val="000000" w:themeColor="text1"/>
          <w:sz w:val="24"/>
          <w:highlight w:val="none"/>
          <w:lang w:val="en-US" w:eastAsia="zh-CN"/>
          <w14:textFill>
            <w14:solidFill>
              <w14:schemeClr w14:val="tx1"/>
            </w14:solidFill>
          </w14:textFill>
        </w:rPr>
        <w:t>主要包括</w:t>
      </w:r>
      <w:r>
        <w:rPr>
          <w:rFonts w:hint="eastAsia" w:ascii="宋体" w:hAnsi="宋体" w:cs="宋体"/>
          <w:color w:val="000000" w:themeColor="text1"/>
          <w:sz w:val="24"/>
          <w:highlight w:val="none"/>
          <w:lang w:eastAsia="zh-CN"/>
          <w14:textFill>
            <w14:solidFill>
              <w14:schemeClr w14:val="tx1"/>
            </w14:solidFill>
          </w14:textFill>
        </w:rPr>
        <w:t>道路黑化、路灯安装、公厕建设、村庄绿化、生活污水管网铺设</w:t>
      </w:r>
      <w:r>
        <w:rPr>
          <w:rFonts w:hint="eastAsia" w:ascii="宋体" w:hAnsi="宋体" w:cs="宋体"/>
          <w:color w:val="000000" w:themeColor="text1"/>
          <w:sz w:val="24"/>
          <w:highlight w:val="none"/>
          <w:lang w:val="en-US" w:eastAsia="zh-CN"/>
          <w14:textFill>
            <w14:solidFill>
              <w14:schemeClr w14:val="tx1"/>
            </w14:solidFill>
          </w14:textFill>
        </w:rPr>
        <w:t>等建设内容，具体详见施工图纸及招标工程量清单所含全部内容</w:t>
      </w:r>
      <w:r>
        <w:rPr>
          <w:rFonts w:hint="eastAsia" w:ascii="宋体" w:hAnsi="宋体" w:cs="宋体"/>
          <w:color w:val="000000" w:themeColor="text1"/>
          <w:sz w:val="24"/>
          <w:highlight w:val="none"/>
          <w:lang w:eastAsia="zh-CN"/>
          <w14:textFill>
            <w14:solidFill>
              <w14:schemeClr w14:val="tx1"/>
            </w14:solidFill>
          </w14:textFill>
        </w:rPr>
        <w:t>。</w:t>
      </w:r>
    </w:p>
    <w:p w14:paraId="08DBFD93">
      <w:pPr>
        <w:pStyle w:val="53"/>
        <w:pageBreakBefore w:val="0"/>
        <w:spacing w:line="360" w:lineRule="auto"/>
        <w:ind w:firstLine="240"/>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3、工程地点：</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新沂市</w:t>
      </w:r>
      <w:r>
        <w:rPr>
          <w:rFonts w:hint="eastAsia" w:ascii="宋体" w:hAnsi="宋体" w:cs="宋体"/>
          <w:color w:val="000000" w:themeColor="text1"/>
          <w:sz w:val="24"/>
          <w:highlight w:val="none"/>
          <w:lang w:eastAsia="zh-CN"/>
          <w14:textFill>
            <w14:solidFill>
              <w14:schemeClr w14:val="tx1"/>
            </w14:solidFill>
          </w14:textFill>
        </w:rPr>
        <w:t>时集镇白石村</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w:t>
      </w:r>
    </w:p>
    <w:p w14:paraId="2DB2B509">
      <w:pPr>
        <w:pStyle w:val="53"/>
        <w:pageBreakBefore w:val="0"/>
        <w:spacing w:line="360" w:lineRule="auto"/>
        <w:ind w:firstLine="48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合同履行</w:t>
      </w:r>
      <w:r>
        <w:rPr>
          <w:rFonts w:hint="eastAsia" w:ascii="宋体" w:hAnsi="宋体" w:eastAsia="宋体" w:cs="宋体"/>
          <w:color w:val="000000" w:themeColor="text1"/>
          <w:sz w:val="24"/>
          <w:highlight w:val="none"/>
          <w14:textFill>
            <w14:solidFill>
              <w14:schemeClr w14:val="tx1"/>
            </w14:solidFill>
          </w14:textFill>
        </w:rPr>
        <w:t>期限</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45日历天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 xml:space="preserve">    </w:t>
      </w:r>
    </w:p>
    <w:p w14:paraId="5014A942">
      <w:pPr>
        <w:pStyle w:val="53"/>
        <w:pageBreakBefore w:val="0"/>
        <w:spacing w:line="360" w:lineRule="auto"/>
        <w:ind w:firstLine="48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lang w:eastAsia="zh-CN"/>
          <w14:textFill>
            <w14:solidFill>
              <w14:schemeClr w14:val="tx1"/>
            </w14:solidFill>
          </w14:textFill>
        </w:rPr>
        <w:t>、质量</w:t>
      </w:r>
      <w:r>
        <w:rPr>
          <w:rFonts w:hint="eastAsia" w:ascii="宋体" w:hAnsi="宋体"/>
          <w:color w:val="000000" w:themeColor="text1"/>
          <w:sz w:val="24"/>
          <w:highlight w:val="none"/>
          <w:lang w:val="en-US" w:eastAsia="zh-CN"/>
          <w14:textFill>
            <w14:solidFill>
              <w14:schemeClr w14:val="tx1"/>
            </w14:solidFill>
          </w14:textFill>
        </w:rPr>
        <w:t>标准</w:t>
      </w:r>
      <w:r>
        <w:rPr>
          <w:rFonts w:hint="eastAsia" w:ascii="宋体" w:hAnsi="宋体"/>
          <w:color w:val="000000" w:themeColor="text1"/>
          <w:sz w:val="24"/>
          <w:highlight w:val="none"/>
          <w:lang w:eastAsia="zh-CN"/>
          <w14:textFill>
            <w14:solidFill>
              <w14:schemeClr w14:val="tx1"/>
            </w14:solidFill>
          </w14:textFill>
        </w:rPr>
        <w:t>：“合格”</w:t>
      </w:r>
      <w:r>
        <w:rPr>
          <w:rFonts w:hint="eastAsia" w:ascii="宋体" w:hAnsi="宋体"/>
          <w:color w:val="000000" w:themeColor="text1"/>
          <w:sz w:val="24"/>
          <w:highlight w:val="none"/>
          <w:lang w:val="en-US" w:eastAsia="zh-CN"/>
          <w14:textFill>
            <w14:solidFill>
              <w14:schemeClr w14:val="tx1"/>
            </w14:solidFill>
          </w14:textFill>
        </w:rPr>
        <w:t>标准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auto"/>
          <w:sz w:val="24"/>
          <w:szCs w:val="24"/>
          <w:highlight w:val="none"/>
        </w:rPr>
        <w:t>符合现行国家技术、施工及验收规范规程</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000000" w:themeColor="text1"/>
          <w:sz w:val="24"/>
          <w:szCs w:val="16"/>
          <w:highlight w:val="none"/>
          <w:lang w:val="en-US" w:eastAsia="zh-CN"/>
          <w14:textFill>
            <w14:solidFill>
              <w14:schemeClr w14:val="tx1"/>
            </w14:solidFill>
          </w14:textFill>
        </w:rPr>
        <w:t>确保一次性通过相关部门</w:t>
      </w:r>
      <w:r>
        <w:rPr>
          <w:rFonts w:hint="eastAsia" w:ascii="宋体" w:hAnsi="宋体" w:cs="宋体"/>
          <w:color w:val="000000" w:themeColor="text1"/>
          <w:sz w:val="24"/>
          <w:szCs w:val="16"/>
          <w:highlight w:val="none"/>
          <w:lang w:val="en-US" w:eastAsia="zh-CN"/>
          <w14:textFill>
            <w14:solidFill>
              <w14:schemeClr w14:val="tx1"/>
            </w14:solidFill>
          </w14:textFill>
        </w:rPr>
        <w:t>的竣工</w:t>
      </w:r>
      <w:r>
        <w:rPr>
          <w:rFonts w:hint="eastAsia" w:ascii="宋体" w:hAnsi="宋体" w:eastAsia="宋体" w:cs="宋体"/>
          <w:color w:val="000000" w:themeColor="text1"/>
          <w:sz w:val="24"/>
          <w:szCs w:val="16"/>
          <w:highlight w:val="none"/>
          <w:lang w:val="en-US" w:eastAsia="zh-CN"/>
          <w14:textFill>
            <w14:solidFill>
              <w14:schemeClr w14:val="tx1"/>
            </w14:solidFill>
          </w14:textFill>
        </w:rPr>
        <w:t>验收</w:t>
      </w:r>
      <w:r>
        <w:rPr>
          <w:rFonts w:hint="eastAsia" w:ascii="宋体" w:hAnsi="宋体" w:cs="宋体"/>
          <w:color w:val="000000" w:themeColor="text1"/>
          <w:sz w:val="24"/>
          <w:szCs w:val="16"/>
          <w:highlight w:val="none"/>
          <w:lang w:val="en-US" w:eastAsia="zh-CN"/>
          <w14:textFill>
            <w14:solidFill>
              <w14:schemeClr w14:val="tx1"/>
            </w14:solidFill>
          </w14:textFill>
        </w:rPr>
        <w:t>，未达到质量要求的，承包人负责无条件返工，直至达到要求，所发生的费用由承包人承担，承包人还应赔偿因此给发包人造成的损失。</w:t>
      </w:r>
    </w:p>
    <w:p w14:paraId="44733ECF">
      <w:pPr>
        <w:pStyle w:val="53"/>
        <w:pageBreakBefore w:val="0"/>
        <w:spacing w:line="360" w:lineRule="auto"/>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auto"/>
          <w:sz w:val="24"/>
          <w:szCs w:val="24"/>
          <w:highlight w:val="none"/>
        </w:rPr>
        <w:t>施工工艺的特殊要求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按国家有关规定执行</w:t>
      </w:r>
      <w:r>
        <w:rPr>
          <w:rFonts w:hint="eastAsia" w:ascii="宋体" w:hAnsi="宋体" w:eastAsia="宋体" w:cs="宋体"/>
          <w:b w:val="0"/>
          <w:bCs w:val="0"/>
          <w:color w:val="auto"/>
          <w:sz w:val="24"/>
          <w:szCs w:val="24"/>
          <w:highlight w:val="none"/>
          <w:lang w:eastAsia="zh-CN"/>
        </w:rPr>
        <w:t>。</w:t>
      </w:r>
    </w:p>
    <w:p w14:paraId="2EFCEDA9">
      <w:pPr>
        <w:pStyle w:val="53"/>
        <w:pageBreakBefore w:val="0"/>
        <w:spacing w:line="360" w:lineRule="auto"/>
        <w:ind w:firstLine="48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lang w:eastAsia="zh-CN"/>
          <w14:textFill>
            <w14:solidFill>
              <w14:schemeClr w14:val="tx1"/>
            </w14:solidFill>
          </w14:textFill>
        </w:rPr>
        <w:t>承包方式：包工包料，</w:t>
      </w:r>
      <w:r>
        <w:rPr>
          <w:rFonts w:hint="eastAsia" w:ascii="宋体" w:hAnsi="宋体"/>
          <w:color w:val="000000" w:themeColor="text1"/>
          <w:sz w:val="24"/>
          <w:highlight w:val="none"/>
          <w:lang w:val="en-US" w:eastAsia="zh-CN"/>
          <w14:textFill>
            <w14:solidFill>
              <w14:schemeClr w14:val="tx1"/>
            </w14:solidFill>
          </w14:textFill>
        </w:rPr>
        <w:t>不得分包与转包</w:t>
      </w:r>
      <w:r>
        <w:rPr>
          <w:rFonts w:hint="eastAsia" w:ascii="宋体" w:hAnsi="宋体"/>
          <w:color w:val="000000" w:themeColor="text1"/>
          <w:sz w:val="24"/>
          <w:highlight w:val="none"/>
          <w:lang w:eastAsia="zh-CN"/>
          <w14:textFill>
            <w14:solidFill>
              <w14:schemeClr w14:val="tx1"/>
            </w14:solidFill>
          </w14:textFill>
        </w:rPr>
        <w:t>。</w:t>
      </w:r>
    </w:p>
    <w:p w14:paraId="1E75DDA0">
      <w:pPr>
        <w:pStyle w:val="53"/>
        <w:pageBreakBefore w:val="0"/>
        <w:spacing w:line="360" w:lineRule="auto"/>
        <w:rPr>
          <w:rFonts w:hint="eastAsia" w:ascii="宋体" w:hAnsi="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三、投标报价要求：</w:t>
      </w:r>
    </w:p>
    <w:p w14:paraId="1CCA67CC">
      <w:pPr>
        <w:pStyle w:val="53"/>
        <w:pageBreakBefore w:val="0"/>
        <w:spacing w:line="360" w:lineRule="auto"/>
        <w:rPr>
          <w:rFonts w:hint="eastAsia" w:ascii="宋体" w:hAnsi="宋体" w:eastAsia="宋体" w:cs="宋体"/>
          <w:b/>
          <w:bCs/>
          <w:color w:val="000000" w:themeColor="text1"/>
          <w:sz w:val="24"/>
          <w:szCs w:val="16"/>
          <w:highlight w:val="none"/>
          <w:lang w:val="en-US" w:eastAsia="zh-CN"/>
          <w14:textFill>
            <w14:solidFill>
              <w14:schemeClr w14:val="tx1"/>
            </w14:solidFill>
          </w14:textFill>
        </w:rPr>
      </w:pPr>
      <w:r>
        <w:rPr>
          <w:rFonts w:hint="eastAsia" w:ascii="宋体" w:hAnsi="宋体" w:eastAsia="宋体" w:cs="宋体"/>
          <w:b/>
          <w:bCs/>
          <w:color w:val="000000" w:themeColor="text1"/>
          <w:sz w:val="24"/>
          <w:szCs w:val="16"/>
          <w:highlight w:val="none"/>
          <w:lang w:val="en-US" w:eastAsia="zh-CN"/>
          <w14:textFill>
            <w14:solidFill>
              <w14:schemeClr w14:val="tx1"/>
            </w14:solidFill>
          </w14:textFill>
        </w:rPr>
        <w:t>1、响应报价内容</w:t>
      </w:r>
    </w:p>
    <w:p w14:paraId="70E8D281">
      <w:pPr>
        <w:pStyle w:val="53"/>
        <w:pageBreakBefore w:val="0"/>
        <w:spacing w:line="360" w:lineRule="auto"/>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1.1响应报价应包括磋商文件中所确定的招标范围内工程量清单中所含的全部内容，以及为完成上述内容所需的全部费用，其根据为供应商提交的已标价的工程量清单及附表。</w:t>
      </w:r>
    </w:p>
    <w:p w14:paraId="39961B0C">
      <w:pPr>
        <w:pStyle w:val="53"/>
        <w:pageBreakBefore w:val="0"/>
        <w:spacing w:line="360" w:lineRule="auto"/>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1.2供应商应按采购人提供的工程量清单填报价格。填写的项目编码、项目名称、项目特征、计量单位、工程量必须与采购人提供的一致。</w:t>
      </w:r>
    </w:p>
    <w:p w14:paraId="2AC51AC4">
      <w:pPr>
        <w:pStyle w:val="53"/>
        <w:pageBreakBefore w:val="0"/>
        <w:spacing w:line="360" w:lineRule="auto"/>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1.3实行工程量清单招标的工程建设项目，量的风险由发包人承担，价的风险在约定风险范围内的，由承包人承担，风险范围以外的按合同约定。</w:t>
      </w:r>
    </w:p>
    <w:p w14:paraId="4EFE6633">
      <w:pPr>
        <w:pStyle w:val="53"/>
        <w:pageBreakBefore w:val="0"/>
        <w:spacing w:line="360" w:lineRule="auto"/>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1.4供应商应按采购人提供的工程量计算工程项目的单价和合价。工程量清单中的每一单项均需计算填写单价和合价，供应商没有填写单价和合价的项目将不予支付，认为此项费用已包括在工程量清单的其他单价和合价中。项目特征描述不全的工序，如图纸已明确或已指明引用的规范、图集等或是常规工艺必须的工序应包括在报价中。</w:t>
      </w:r>
    </w:p>
    <w:p w14:paraId="782B589D">
      <w:pPr>
        <w:pStyle w:val="53"/>
        <w:pageBreakBefore w:val="0"/>
        <w:spacing w:line="360" w:lineRule="auto"/>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1.5响应的供应商必须按统一的工程量清单报价，成交后，在施工过程中，不论由于工程量清单有误或漏项，还是由于设计变更、现场变更、签证引起的工程量清单项目或清单项目工程数量的增减，均按实调整。</w:t>
      </w:r>
    </w:p>
    <w:p w14:paraId="31EE17E1">
      <w:pPr>
        <w:pStyle w:val="53"/>
        <w:pageBreakBefore w:val="0"/>
        <w:spacing w:line="360" w:lineRule="auto"/>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1.6 施工组织设计所描述的技术措施所发生的费用，视为已体现在供应商报价的非实体性消耗所发生的费用中。</w:t>
      </w:r>
    </w:p>
    <w:p w14:paraId="365FAD5A">
      <w:pPr>
        <w:pStyle w:val="53"/>
        <w:pageBreakBefore w:val="0"/>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 xml:space="preserve">1.7 </w:t>
      </w:r>
      <w:r>
        <w:rPr>
          <w:rFonts w:ascii="宋体" w:hAnsi="宋体" w:eastAsia="宋体" w:cs="宋体"/>
          <w:color w:val="000000" w:themeColor="text1"/>
          <w:sz w:val="24"/>
          <w:highlight w:val="none"/>
          <w14:textFill>
            <w14:solidFill>
              <w14:schemeClr w14:val="tx1"/>
            </w14:solidFill>
          </w14:textFill>
        </w:rPr>
        <w:t>投标人如勘察现场，投标人在现场勘察活动中须服从采购人指挥，不得因任何原因使采购人及其人员蒙受损失。投标人在现场勘察中所发生的人员伤亡、财产损失自行负责。供应商在现场勘察时应充分了解周边原有建筑、设施，事先视察工地，取得所有有关资料及充分了解工程位置、邻近建筑物、工地情况、开挖的土质，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样因素，并在响应报价中予以考虑，采购人不接受供应商关于此类费用的任何诉讼或索赔。</w:t>
      </w:r>
    </w:p>
    <w:p w14:paraId="627D8991">
      <w:pPr>
        <w:pStyle w:val="53"/>
        <w:pageBreakBefore w:val="0"/>
        <w:spacing w:line="360" w:lineRule="auto"/>
        <w:ind w:firstLine="480"/>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1.8安全文明施工是供应商的责任，采购人不接受任何由于供应商施工而导致的扰民或民扰引起的诉讼或索赔。供应商应在其响应报价时充分考虑因扰民与民扰而造成的工期影响与费用增加，在报价予以考虑，采购人不接受任何由于供应商考虑不周为由而提出的任何索赔。</w:t>
      </w:r>
    </w:p>
    <w:p w14:paraId="7C11BD68">
      <w:pPr>
        <w:pStyle w:val="53"/>
        <w:pageBreakBefore w:val="0"/>
        <w:spacing w:line="360" w:lineRule="auto"/>
        <w:ind w:firstLine="480"/>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1.9由供应商负责办理相关建设、城管、市政、安全、环保等部门的手续，施工供应商在响应报价时应考虑这样因素，费用包含在报价中，采购人不接受供应商关于此类费用的任何诉讼或索赔。</w:t>
      </w:r>
    </w:p>
    <w:p w14:paraId="479AE0FE">
      <w:pPr>
        <w:pageBreakBefore w:val="0"/>
        <w:pBdr>
          <w:top w:val="none" w:color="000000" w:sz="0" w:space="0"/>
          <w:left w:val="none" w:color="000000" w:sz="0" w:space="0"/>
          <w:bottom w:val="none" w:color="000000" w:sz="0" w:space="0"/>
          <w:right w:val="none" w:color="000000" w:sz="0" w:space="0"/>
        </w:pBdr>
        <w:spacing w:before="220" w:after="0" w:line="360" w:lineRule="auto"/>
        <w:ind w:right="0"/>
        <w:jc w:val="both"/>
        <w:rPr>
          <w:rFonts w:hint="eastAsia" w:ascii="宋体" w:hAnsi="宋体" w:eastAsia="宋体" w:cs="宋体"/>
          <w:b/>
          <w:bCs/>
          <w:color w:val="000000" w:themeColor="text1"/>
          <w:sz w:val="24"/>
          <w:szCs w:val="16"/>
          <w:highlight w:val="none"/>
          <w:lang w:val="en-US" w:eastAsia="zh-CN"/>
          <w14:textFill>
            <w14:solidFill>
              <w14:schemeClr w14:val="tx1"/>
            </w14:solidFill>
          </w14:textFill>
        </w:rPr>
      </w:pPr>
      <w:r>
        <w:rPr>
          <w:rFonts w:hint="eastAsia" w:ascii="宋体" w:hAnsi="宋体" w:eastAsia="宋体" w:cs="宋体"/>
          <w:b/>
          <w:bCs/>
          <w:color w:val="000000" w:themeColor="text1"/>
          <w:sz w:val="24"/>
          <w:szCs w:val="16"/>
          <w:highlight w:val="none"/>
          <w:lang w:val="en-US" w:eastAsia="zh-CN"/>
          <w14:textFill>
            <w14:solidFill>
              <w14:schemeClr w14:val="tx1"/>
            </w14:solidFill>
          </w14:textFill>
        </w:rPr>
        <w:t>2、投标报价方式</w:t>
      </w:r>
    </w:p>
    <w:p w14:paraId="29EC8169">
      <w:pPr>
        <w:pageBreakBefore w:val="0"/>
        <w:pBdr>
          <w:top w:val="none" w:color="000000" w:sz="0" w:space="0"/>
          <w:left w:val="none" w:color="000000" w:sz="0" w:space="0"/>
          <w:bottom w:val="none" w:color="000000" w:sz="0" w:space="0"/>
          <w:right w:val="none" w:color="000000" w:sz="0" w:space="0"/>
        </w:pBdr>
        <w:spacing w:before="220" w:after="0" w:line="360" w:lineRule="auto"/>
        <w:ind w:right="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2.1本工程采用固定单价合同（除另有规定外）。供应商应充分考虑施工期间各类建材的市场风险，并计入总报价，供应商在计算报价时应考虑一定的风险系数。</w:t>
      </w:r>
    </w:p>
    <w:p w14:paraId="00221DB9">
      <w:pPr>
        <w:pageBreakBefore w:val="0"/>
        <w:pBdr>
          <w:top w:val="none" w:color="000000" w:sz="0" w:space="0"/>
          <w:left w:val="none" w:color="000000" w:sz="0" w:space="0"/>
          <w:bottom w:val="none" w:color="000000" w:sz="0" w:space="0"/>
          <w:right w:val="none" w:color="000000" w:sz="0" w:space="0"/>
        </w:pBdr>
        <w:spacing w:before="220" w:after="0" w:line="360" w:lineRule="auto"/>
        <w:ind w:right="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2.2材料风险约定：</w:t>
      </w:r>
    </w:p>
    <w:p w14:paraId="64F0596A">
      <w:pPr>
        <w:pageBreakBefore w:val="0"/>
        <w:pBdr>
          <w:top w:val="none" w:color="000000" w:sz="0" w:space="0"/>
          <w:left w:val="none" w:color="000000" w:sz="0" w:space="0"/>
          <w:bottom w:val="none" w:color="000000" w:sz="0" w:space="0"/>
          <w:right w:val="none" w:color="000000" w:sz="0" w:space="0"/>
        </w:pBdr>
        <w:spacing w:before="220" w:after="0" w:line="360" w:lineRule="auto"/>
        <w:ind w:right="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2.2.1对于法律、法规、规章或有关政策出台导致工程税金、规费等发生变化的，应按照有关规定执行。</w:t>
      </w:r>
    </w:p>
    <w:p w14:paraId="00E764E9">
      <w:pPr>
        <w:pageBreakBefore w:val="0"/>
        <w:pBdr>
          <w:top w:val="none" w:color="000000" w:sz="0" w:space="0"/>
          <w:left w:val="none" w:color="000000" w:sz="0" w:space="0"/>
          <w:bottom w:val="none" w:color="000000" w:sz="0" w:space="0"/>
          <w:right w:val="none" w:color="000000" w:sz="0" w:space="0"/>
        </w:pBdr>
        <w:spacing w:before="220" w:after="0" w:line="360" w:lineRule="auto"/>
        <w:ind w:right="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2.2.2 本工程对材料风险约定如下：供应商应充分考虑施工期间各类建材的市场风险，充分考虑政策性关于人工、机械费用等方面调整，并计入总报价，供应商所填写的单价和合价在合同实施期间不因市场变化因素而变动，结算不再调整。</w:t>
      </w:r>
    </w:p>
    <w:p w14:paraId="0D0EA6FC">
      <w:pPr>
        <w:pageBreakBefore w:val="0"/>
        <w:pBdr>
          <w:top w:val="none" w:color="000000" w:sz="0" w:space="0"/>
          <w:left w:val="none" w:color="000000" w:sz="0" w:space="0"/>
          <w:bottom w:val="none" w:color="000000" w:sz="0" w:space="0"/>
          <w:right w:val="none" w:color="000000" w:sz="0" w:space="0"/>
        </w:pBdr>
        <w:spacing w:before="220" w:after="0" w:line="360" w:lineRule="auto"/>
        <w:ind w:right="0"/>
        <w:jc w:val="both"/>
        <w:rPr>
          <w:rFonts w:hint="eastAsia" w:ascii="宋体" w:hAnsi="宋体" w:eastAsia="宋体" w:cs="宋体"/>
          <w:b/>
          <w:bCs/>
          <w:color w:val="000000" w:themeColor="text1"/>
          <w:sz w:val="24"/>
          <w:szCs w:val="16"/>
          <w:highlight w:val="none"/>
          <w:lang w:val="en-US" w:eastAsia="zh-CN"/>
          <w14:textFill>
            <w14:solidFill>
              <w14:schemeClr w14:val="tx1"/>
            </w14:solidFill>
          </w14:textFill>
        </w:rPr>
      </w:pPr>
      <w:r>
        <w:rPr>
          <w:rFonts w:hint="eastAsia" w:ascii="宋体" w:hAnsi="宋体" w:eastAsia="宋体" w:cs="宋体"/>
          <w:b/>
          <w:bCs/>
          <w:color w:val="000000" w:themeColor="text1"/>
          <w:sz w:val="24"/>
          <w:szCs w:val="16"/>
          <w:highlight w:val="none"/>
          <w:lang w:val="en-US" w:eastAsia="zh-CN"/>
          <w14:textFill>
            <w14:solidFill>
              <w14:schemeClr w14:val="tx1"/>
            </w14:solidFill>
          </w14:textFill>
        </w:rPr>
        <w:t>3、报价的计价方法</w:t>
      </w:r>
    </w:p>
    <w:p w14:paraId="40B8E45D">
      <w:pPr>
        <w:pageBreakBefore w:val="0"/>
        <w:pBdr>
          <w:top w:val="none" w:color="000000" w:sz="0" w:space="0"/>
          <w:left w:val="none" w:color="000000" w:sz="0" w:space="0"/>
          <w:bottom w:val="none" w:color="000000" w:sz="0" w:space="0"/>
          <w:right w:val="none" w:color="000000" w:sz="0" w:space="0"/>
        </w:pBdr>
        <w:spacing w:before="220" w:after="0" w:line="360" w:lineRule="auto"/>
        <w:ind w:left="0" w:right="0" w:firstLine="60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本工程项目采用工程量清单计价。供应商应根据采购人提供的图纸和工程量清单计算工程项目的单价、合价。工程量清单中每一个子目和单项均需计算填写单价、合价。若供应商没有填写单价、合价的项目采购人将不予支付，并认为此项费用已包括在工程量清单的其它单价、合价中。</w:t>
      </w:r>
    </w:p>
    <w:p w14:paraId="68E25022">
      <w:pPr>
        <w:pageBreakBefore w:val="0"/>
        <w:pBdr>
          <w:top w:val="none" w:color="000000" w:sz="0" w:space="0"/>
          <w:left w:val="none" w:color="000000" w:sz="0" w:space="0"/>
          <w:bottom w:val="none" w:color="000000" w:sz="0" w:space="0"/>
          <w:right w:val="none" w:color="000000" w:sz="0" w:space="0"/>
        </w:pBdr>
        <w:spacing w:before="220" w:after="0" w:line="360" w:lineRule="auto"/>
        <w:ind w:right="0"/>
        <w:jc w:val="both"/>
        <w:rPr>
          <w:rFonts w:hint="eastAsia" w:ascii="宋体" w:hAnsi="宋体" w:eastAsia="宋体" w:cs="宋体"/>
          <w:b/>
          <w:bCs/>
          <w:color w:val="000000" w:themeColor="text1"/>
          <w:sz w:val="24"/>
          <w:szCs w:val="16"/>
          <w:highlight w:val="none"/>
          <w:lang w:val="en-US" w:eastAsia="zh-CN"/>
          <w14:textFill>
            <w14:solidFill>
              <w14:schemeClr w14:val="tx1"/>
            </w14:solidFill>
          </w14:textFill>
        </w:rPr>
      </w:pPr>
      <w:r>
        <w:rPr>
          <w:rFonts w:hint="eastAsia" w:ascii="宋体" w:hAnsi="宋体" w:cs="宋体"/>
          <w:b/>
          <w:bCs/>
          <w:color w:val="000000" w:themeColor="text1"/>
          <w:sz w:val="24"/>
          <w:szCs w:val="16"/>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16"/>
          <w:highlight w:val="none"/>
          <w:lang w:val="en-US" w:eastAsia="zh-CN"/>
          <w14:textFill>
            <w14:solidFill>
              <w14:schemeClr w14:val="tx1"/>
            </w14:solidFill>
          </w14:textFill>
        </w:rPr>
        <w:t>、低于成本报价</w:t>
      </w:r>
    </w:p>
    <w:p w14:paraId="520B3A5F">
      <w:pPr>
        <w:pageBreakBefore w:val="0"/>
        <w:pBdr>
          <w:top w:val="none" w:color="000000" w:sz="0" w:space="0"/>
          <w:left w:val="none" w:color="000000" w:sz="0" w:space="0"/>
          <w:bottom w:val="none" w:color="000000" w:sz="0" w:space="0"/>
          <w:right w:val="none" w:color="000000" w:sz="0" w:space="0"/>
        </w:pBdr>
        <w:spacing w:before="220" w:after="0" w:line="360" w:lineRule="auto"/>
        <w:ind w:left="0" w:right="0" w:firstLine="60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在评标过程中，磋商小组发现供应商的报价明显低于其他报价，使得其报价可能低于其个别成本的，应当要求该供应商作出书面说明并提供相关证明材料。供应商不能合理说明或者不能提供相关证明材料的，由评标委员会认定该供应商以低于成本报价，其投标文件应作无效投标文件处理。</w:t>
      </w:r>
    </w:p>
    <w:p w14:paraId="361CBF3C">
      <w:pPr>
        <w:pageBreakBefore w:val="0"/>
        <w:pBdr>
          <w:top w:val="none" w:color="000000" w:sz="0" w:space="0"/>
          <w:left w:val="none" w:color="000000" w:sz="0" w:space="0"/>
          <w:bottom w:val="none" w:color="000000" w:sz="0" w:space="0"/>
          <w:right w:val="none" w:color="000000" w:sz="0" w:space="0"/>
        </w:pBdr>
        <w:spacing w:before="220" w:after="0" w:line="360" w:lineRule="auto"/>
        <w:ind w:left="0" w:right="0" w:firstLine="60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评标委员会全体成员三分之二以上认为该供应商不能合理说明或者不能提供相关证明材料的，认定该供应商以低于成本报价，其投标文件应作无效投标文件处理。持有异议的评标委员会成员可以书面方式阐述其不同意见和理由，拒绝签字且不陈述其不同意见和理由的，视为同意。</w:t>
      </w:r>
    </w:p>
    <w:p w14:paraId="584C3E4B">
      <w:pPr>
        <w:pageBreakBefore w:val="0"/>
        <w:pBdr>
          <w:top w:val="none" w:color="000000" w:sz="0" w:space="0"/>
          <w:left w:val="none" w:color="000000" w:sz="0" w:space="0"/>
          <w:bottom w:val="none" w:color="000000" w:sz="0" w:space="0"/>
          <w:right w:val="none" w:color="000000" w:sz="0" w:space="0"/>
        </w:pBdr>
        <w:spacing w:before="220" w:after="0" w:line="360" w:lineRule="auto"/>
        <w:ind w:right="0"/>
        <w:jc w:val="both"/>
        <w:rPr>
          <w:rFonts w:hint="eastAsia" w:ascii="宋体" w:hAnsi="宋体" w:eastAsia="宋体" w:cs="宋体"/>
          <w:b/>
          <w:bCs/>
          <w:color w:val="000000" w:themeColor="text1"/>
          <w:sz w:val="24"/>
          <w:szCs w:val="16"/>
          <w:highlight w:val="none"/>
          <w:lang w:val="en-US" w:eastAsia="zh-CN"/>
          <w14:textFill>
            <w14:solidFill>
              <w14:schemeClr w14:val="tx1"/>
            </w14:solidFill>
          </w14:textFill>
        </w:rPr>
      </w:pPr>
      <w:r>
        <w:rPr>
          <w:rFonts w:hint="eastAsia" w:ascii="宋体" w:hAnsi="宋体" w:eastAsia="宋体" w:cs="宋体"/>
          <w:b/>
          <w:bCs/>
          <w:color w:val="000000" w:themeColor="text1"/>
          <w:sz w:val="24"/>
          <w:szCs w:val="16"/>
          <w:highlight w:val="none"/>
          <w:lang w:val="en-US" w:eastAsia="zh-CN"/>
          <w14:textFill>
            <w14:solidFill>
              <w14:schemeClr w14:val="tx1"/>
            </w14:solidFill>
          </w14:textFill>
        </w:rPr>
        <w:t>四、项目实施要求</w:t>
      </w:r>
    </w:p>
    <w:p w14:paraId="1D737A1E">
      <w:pPr>
        <w:pageBreakBefore w:val="0"/>
        <w:pBdr>
          <w:top w:val="none" w:color="000000" w:sz="0" w:space="0"/>
          <w:left w:val="none" w:color="000000" w:sz="0" w:space="0"/>
          <w:bottom w:val="none" w:color="000000" w:sz="0" w:space="0"/>
          <w:right w:val="none" w:color="000000" w:sz="0" w:space="0"/>
        </w:pBdr>
        <w:spacing w:before="220" w:after="0" w:line="360" w:lineRule="auto"/>
        <w:ind w:left="0" w:right="0" w:firstLine="60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1、供应商报价时需考虑完成本项目内容所涉及的</w:t>
      </w:r>
      <w:r>
        <w:rPr>
          <w:rFonts w:hint="eastAsia" w:ascii="宋体" w:hAnsi="宋体" w:cs="Times New Roman"/>
          <w:color w:val="000000" w:themeColor="text1"/>
          <w:sz w:val="24"/>
          <w:szCs w:val="24"/>
          <w:highlight w:val="none"/>
          <w:lang w:val="en-US" w:eastAsia="zh-CN" w:bidi="ar-SA"/>
          <w14:textFill>
            <w14:solidFill>
              <w14:schemeClr w14:val="tx1"/>
            </w14:solidFill>
          </w14:textFill>
        </w:rPr>
        <w:t>人工费</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、材料费、机械费、管理费、</w:t>
      </w:r>
      <w:r>
        <w:rPr>
          <w:rFonts w:hint="eastAsia" w:ascii="宋体" w:hAnsi="宋体" w:cs="Times New Roman"/>
          <w:color w:val="000000" w:themeColor="text1"/>
          <w:sz w:val="24"/>
          <w:szCs w:val="24"/>
          <w:highlight w:val="none"/>
          <w:lang w:val="en-US" w:eastAsia="zh-CN" w:bidi="ar-SA"/>
          <w14:textFill>
            <w14:solidFill>
              <w14:schemeClr w14:val="tx1"/>
            </w14:solidFill>
          </w14:textFill>
        </w:rPr>
        <w:t>验收、</w:t>
      </w:r>
      <w:r>
        <w:rPr>
          <w:rFonts w:hint="eastAsia" w:ascii="宋体" w:hAnsi="宋体" w:eastAsia="宋体" w:cs="Times New Roman"/>
          <w:color w:val="000000" w:themeColor="text1"/>
          <w:sz w:val="24"/>
          <w:szCs w:val="24"/>
          <w:highlight w:val="none"/>
          <w:lang w:val="en-US" w:eastAsia="zh-CN" w:bidi="ar-SA"/>
          <w14:textFill>
            <w14:solidFill>
              <w14:schemeClr w14:val="tx1"/>
            </w14:solidFill>
          </w14:textFill>
        </w:rPr>
        <w:t>税金</w:t>
      </w:r>
      <w:r>
        <w:rPr>
          <w:rFonts w:hint="eastAsia" w:ascii="宋体" w:hAnsi="宋体" w:eastAsia="宋体" w:cs="宋体"/>
          <w:color w:val="000000" w:themeColor="text1"/>
          <w:sz w:val="24"/>
          <w:szCs w:val="16"/>
          <w:highlight w:val="none"/>
          <w:lang w:val="en-US" w:eastAsia="zh-CN"/>
          <w14:textFill>
            <w14:solidFill>
              <w14:schemeClr w14:val="tx1"/>
            </w14:solidFill>
          </w14:textFill>
        </w:rPr>
        <w:t>等相关的一切费用。</w:t>
      </w:r>
    </w:p>
    <w:p w14:paraId="6AA66A81">
      <w:pPr>
        <w:pageBreakBefore w:val="0"/>
        <w:pBdr>
          <w:top w:val="none" w:color="000000" w:sz="0" w:space="0"/>
          <w:left w:val="none" w:color="000000" w:sz="0" w:space="0"/>
          <w:bottom w:val="none" w:color="000000" w:sz="0" w:space="0"/>
          <w:right w:val="none" w:color="000000" w:sz="0" w:space="0"/>
        </w:pBdr>
        <w:spacing w:before="220" w:after="0" w:line="360" w:lineRule="auto"/>
        <w:ind w:left="0" w:right="0" w:firstLine="60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2、供应商应根据本项目实际情况，合理配置人员，除项目经理外，安全员、质检员、施工员、预算员、材料员等人员应经验丰富，确保项目顺利实施。</w:t>
      </w:r>
    </w:p>
    <w:p w14:paraId="091114E8">
      <w:pPr>
        <w:pageBreakBefore w:val="0"/>
        <w:pBdr>
          <w:top w:val="none" w:color="000000" w:sz="0" w:space="0"/>
          <w:left w:val="none" w:color="000000" w:sz="0" w:space="0"/>
          <w:bottom w:val="none" w:color="000000" w:sz="0" w:space="0"/>
          <w:right w:val="none" w:color="000000" w:sz="0" w:space="0"/>
        </w:pBdr>
        <w:spacing w:before="220" w:after="0" w:line="360" w:lineRule="auto"/>
        <w:ind w:left="0" w:right="0" w:firstLine="60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 xml:space="preserve">3、供应商对项目现场和周围环境进行实地踏勘，合理编制本项目施工方案。  </w:t>
      </w:r>
    </w:p>
    <w:p w14:paraId="73D72FE4">
      <w:pPr>
        <w:pageBreakBefore w:val="0"/>
        <w:pBdr>
          <w:top w:val="none" w:color="000000" w:sz="0" w:space="0"/>
          <w:left w:val="none" w:color="000000" w:sz="0" w:space="0"/>
          <w:bottom w:val="none" w:color="000000" w:sz="0" w:space="0"/>
          <w:right w:val="none" w:color="000000" w:sz="0" w:space="0"/>
        </w:pBdr>
        <w:spacing w:before="220" w:after="0" w:line="360" w:lineRule="auto"/>
        <w:ind w:left="0" w:right="0" w:firstLine="60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eastAsia="宋体" w:cs="宋体"/>
          <w:color w:val="000000" w:themeColor="text1"/>
          <w:sz w:val="24"/>
          <w:szCs w:val="16"/>
          <w:highlight w:val="none"/>
          <w:lang w:val="en-US" w:eastAsia="zh-CN"/>
          <w14:textFill>
            <w14:solidFill>
              <w14:schemeClr w14:val="tx1"/>
            </w14:solidFill>
          </w14:textFill>
        </w:rPr>
        <w:t>4、承包人对工程建设期间扬尘治理工作负主体责任。应制定施工现场扬尘污染防治专项方案，按照承包工程范围做好扬尘污染防治措施的落实。</w:t>
      </w:r>
    </w:p>
    <w:p w14:paraId="4397D8BD">
      <w:pPr>
        <w:pageBreakBefore w:val="0"/>
        <w:pBdr>
          <w:top w:val="none" w:color="000000" w:sz="0" w:space="0"/>
          <w:left w:val="none" w:color="000000" w:sz="0" w:space="0"/>
          <w:bottom w:val="none" w:color="000000" w:sz="0" w:space="0"/>
          <w:right w:val="none" w:color="000000" w:sz="0" w:space="0"/>
        </w:pBdr>
        <w:spacing w:before="220" w:after="0" w:line="360" w:lineRule="auto"/>
        <w:ind w:left="0" w:right="0" w:firstLine="60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cs="宋体"/>
          <w:color w:val="000000" w:themeColor="text1"/>
          <w:sz w:val="24"/>
          <w:szCs w:val="16"/>
          <w:highlight w:val="none"/>
          <w:lang w:val="en-US" w:eastAsia="zh-CN"/>
          <w14:textFill>
            <w14:solidFill>
              <w14:schemeClr w14:val="tx1"/>
            </w14:solidFill>
          </w14:textFill>
        </w:rPr>
        <w:t>5、</w:t>
      </w:r>
      <w:r>
        <w:rPr>
          <w:rFonts w:hint="eastAsia" w:ascii="宋体" w:hAnsi="宋体" w:eastAsia="宋体" w:cs="宋体"/>
          <w:color w:val="000000" w:themeColor="text1"/>
          <w:sz w:val="24"/>
          <w:szCs w:val="16"/>
          <w:highlight w:val="none"/>
          <w:lang w:val="en-US" w:eastAsia="zh-CN"/>
          <w14:textFill>
            <w14:solidFill>
              <w14:schemeClr w14:val="tx1"/>
            </w14:solidFill>
          </w14:textFill>
        </w:rPr>
        <w:t>建设工程施工活动及其产品的质量,应保证工程的固有特性满足采购人的需要并符合现行国家法律、行政法规和技术标准、规范的要求。</w:t>
      </w:r>
    </w:p>
    <w:p w14:paraId="34FAD9FE">
      <w:pPr>
        <w:pageBreakBefore w:val="0"/>
        <w:pBdr>
          <w:top w:val="none" w:color="000000" w:sz="0" w:space="0"/>
          <w:left w:val="none" w:color="000000" w:sz="0" w:space="0"/>
          <w:bottom w:val="none" w:color="000000" w:sz="0" w:space="0"/>
          <w:right w:val="none" w:color="000000" w:sz="0" w:space="0"/>
        </w:pBdr>
        <w:spacing w:before="220" w:after="0" w:line="360" w:lineRule="auto"/>
        <w:ind w:left="0" w:right="0" w:firstLine="60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cs="宋体"/>
          <w:color w:val="000000" w:themeColor="text1"/>
          <w:sz w:val="24"/>
          <w:szCs w:val="16"/>
          <w:highlight w:val="none"/>
          <w:lang w:val="en-US" w:eastAsia="zh-CN"/>
          <w14:textFill>
            <w14:solidFill>
              <w14:schemeClr w14:val="tx1"/>
            </w14:solidFill>
          </w14:textFill>
        </w:rPr>
        <w:t>6、</w:t>
      </w:r>
      <w:r>
        <w:rPr>
          <w:rFonts w:hint="eastAsia" w:ascii="宋体" w:hAnsi="宋体" w:eastAsia="宋体" w:cs="宋体"/>
          <w:color w:val="000000" w:themeColor="text1"/>
          <w:sz w:val="24"/>
          <w:szCs w:val="16"/>
          <w:highlight w:val="none"/>
          <w:lang w:val="en-US" w:eastAsia="zh-CN"/>
          <w14:textFill>
            <w14:solidFill>
              <w14:schemeClr w14:val="tx1"/>
            </w14:solidFill>
          </w14:textFill>
        </w:rPr>
        <w:t>施工质量要达到的基本要求是:施工建成的工程实体按照国家《建筑工程施工质量验收统一标准》GB50300-2013和相关专业验收规范检查验收合格。施工质量验收合格应符合下列要求:</w:t>
      </w:r>
    </w:p>
    <w:p w14:paraId="5F4B5575">
      <w:pPr>
        <w:pageBreakBefore w:val="0"/>
        <w:pBdr>
          <w:top w:val="none" w:color="000000" w:sz="0" w:space="0"/>
          <w:left w:val="none" w:color="000000" w:sz="0" w:space="0"/>
          <w:bottom w:val="none" w:color="000000" w:sz="0" w:space="0"/>
          <w:right w:val="none" w:color="000000" w:sz="0" w:space="0"/>
        </w:pBdr>
        <w:spacing w:before="220" w:after="0" w:line="360" w:lineRule="auto"/>
        <w:ind w:left="0" w:right="0" w:firstLine="60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cs="宋体"/>
          <w:color w:val="000000" w:themeColor="text1"/>
          <w:sz w:val="24"/>
          <w:szCs w:val="16"/>
          <w:highlight w:val="none"/>
          <w:lang w:val="en-US" w:eastAsia="zh-CN"/>
          <w14:textFill>
            <w14:solidFill>
              <w14:schemeClr w14:val="tx1"/>
            </w14:solidFill>
          </w14:textFill>
        </w:rPr>
        <w:t>（1）</w:t>
      </w:r>
      <w:r>
        <w:rPr>
          <w:rFonts w:hint="eastAsia" w:ascii="宋体" w:hAnsi="宋体" w:eastAsia="宋体" w:cs="宋体"/>
          <w:color w:val="000000" w:themeColor="text1"/>
          <w:sz w:val="24"/>
          <w:szCs w:val="16"/>
          <w:highlight w:val="none"/>
          <w:lang w:val="en-US" w:eastAsia="zh-CN"/>
          <w14:textFill>
            <w14:solidFill>
              <w14:schemeClr w14:val="tx1"/>
            </w14:solidFill>
          </w14:textFill>
        </w:rPr>
        <w:t>符合《建筑工程施工质量验收统一标准》GB50300-2013 和相关专业验收规范的规定;</w:t>
      </w:r>
    </w:p>
    <w:p w14:paraId="2BD4CDE3">
      <w:pPr>
        <w:pageBreakBefore w:val="0"/>
        <w:pBdr>
          <w:top w:val="none" w:color="000000" w:sz="0" w:space="0"/>
          <w:left w:val="none" w:color="000000" w:sz="0" w:space="0"/>
          <w:bottom w:val="none" w:color="000000" w:sz="0" w:space="0"/>
          <w:right w:val="none" w:color="000000" w:sz="0" w:space="0"/>
        </w:pBdr>
        <w:spacing w:before="220" w:after="0" w:line="360" w:lineRule="auto"/>
        <w:ind w:left="0" w:right="0" w:firstLine="600"/>
        <w:jc w:val="both"/>
        <w:rPr>
          <w:rFonts w:hint="eastAsia" w:ascii="宋体" w:hAnsi="宋体" w:eastAsia="宋体" w:cs="宋体"/>
          <w:color w:val="000000" w:themeColor="text1"/>
          <w:sz w:val="24"/>
          <w:szCs w:val="16"/>
          <w:highlight w:val="none"/>
          <w:lang w:val="en-US" w:eastAsia="zh-CN"/>
          <w14:textFill>
            <w14:solidFill>
              <w14:schemeClr w14:val="tx1"/>
            </w14:solidFill>
          </w14:textFill>
        </w:rPr>
      </w:pPr>
      <w:r>
        <w:rPr>
          <w:rFonts w:hint="eastAsia" w:ascii="宋体" w:hAnsi="宋体" w:cs="宋体"/>
          <w:color w:val="000000" w:themeColor="text1"/>
          <w:sz w:val="24"/>
          <w:szCs w:val="16"/>
          <w:highlight w:val="none"/>
          <w:lang w:val="en-US" w:eastAsia="zh-CN"/>
          <w14:textFill>
            <w14:solidFill>
              <w14:schemeClr w14:val="tx1"/>
            </w14:solidFill>
          </w14:textFill>
        </w:rPr>
        <w:t>（2）</w:t>
      </w:r>
      <w:r>
        <w:rPr>
          <w:rFonts w:hint="eastAsia" w:ascii="宋体" w:hAnsi="宋体" w:eastAsia="宋体" w:cs="宋体"/>
          <w:color w:val="000000" w:themeColor="text1"/>
          <w:sz w:val="24"/>
          <w:szCs w:val="16"/>
          <w:highlight w:val="none"/>
          <w:lang w:val="en-US" w:eastAsia="zh-CN"/>
          <w14:textFill>
            <w14:solidFill>
              <w14:schemeClr w14:val="tx1"/>
            </w14:solidFill>
          </w14:textFill>
        </w:rPr>
        <w:t>符合施工承包合同的约定，且</w:t>
      </w:r>
      <w:r>
        <w:rPr>
          <w:rFonts w:hint="eastAsia" w:ascii="宋体" w:hAnsi="宋体" w:cs="宋体"/>
          <w:color w:val="000000" w:themeColor="text1"/>
          <w:sz w:val="24"/>
          <w:szCs w:val="16"/>
          <w:highlight w:val="none"/>
          <w:lang w:val="en-US" w:eastAsia="zh-CN"/>
          <w14:textFill>
            <w14:solidFill>
              <w14:schemeClr w14:val="tx1"/>
            </w14:solidFill>
          </w14:textFill>
        </w:rPr>
        <w:t>确保一次性通过</w:t>
      </w:r>
      <w:r>
        <w:rPr>
          <w:rFonts w:hint="eastAsia" w:ascii="宋体" w:hAnsi="宋体" w:eastAsia="宋体" w:cs="宋体"/>
          <w:color w:val="000000" w:themeColor="text1"/>
          <w:sz w:val="24"/>
          <w:szCs w:val="16"/>
          <w:highlight w:val="none"/>
          <w:lang w:val="en-US" w:eastAsia="zh-CN"/>
          <w14:textFill>
            <w14:solidFill>
              <w14:schemeClr w14:val="tx1"/>
            </w14:solidFill>
          </w14:textFill>
        </w:rPr>
        <w:t>相关部门验收通过；未达到质量要求的，成交供应商负责无条件返工，直至达到要求，所发生的费用由成交供应商承担，成交供应商还应赔偿因此给采购人造成的损失，工期不予顺延，同时采购人有权对成交供应商进行适当处罚。</w:t>
      </w:r>
    </w:p>
    <w:p w14:paraId="4D6690AE">
      <w:pPr>
        <w:pStyle w:val="55"/>
        <w:pageBreakBefore w:val="0"/>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p>
    <w:p w14:paraId="106F6D73">
      <w:pPr>
        <w:pStyle w:val="55"/>
        <w:pageBreakBefore w:val="0"/>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p>
    <w:p w14:paraId="4034840B">
      <w:pPr>
        <w:pStyle w:val="55"/>
        <w:pageBreakBefore w:val="0"/>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p>
    <w:p w14:paraId="5EFAC73B">
      <w:pPr>
        <w:pStyle w:val="55"/>
        <w:pageBreakBefore w:val="0"/>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p>
    <w:p w14:paraId="00D617AE">
      <w:pPr>
        <w:pStyle w:val="55"/>
        <w:pageBreakBefore w:val="0"/>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p>
    <w:p w14:paraId="26662F9E">
      <w:pPr>
        <w:pStyle w:val="55"/>
        <w:pageBreakBefore w:val="0"/>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p>
    <w:p w14:paraId="41E2F737">
      <w:pPr>
        <w:pStyle w:val="67"/>
        <w:ind w:left="0" w:firstLine="0"/>
        <w:rPr>
          <w:rFonts w:hint="eastAsia"/>
        </w:rPr>
      </w:pPr>
    </w:p>
    <w:p w14:paraId="392E800F">
      <w:pPr>
        <w:pStyle w:val="55"/>
        <w:pageBreakBefore w:val="0"/>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r>
        <w:rPr>
          <w:rStyle w:val="230"/>
          <w:rFonts w:hint="eastAsia" w:ascii="宋体" w:hAnsi="宋体" w:eastAsia="宋体" w:cs="宋体"/>
          <w:color w:val="000000" w:themeColor="text1"/>
          <w:sz w:val="24"/>
          <w:szCs w:val="24"/>
          <w:highlight w:val="none"/>
          <w14:textFill>
            <w14:solidFill>
              <w14:schemeClr w14:val="tx1"/>
            </w14:solidFill>
          </w14:textFill>
        </w:rPr>
        <w:t>3、磋商报价表</w:t>
      </w:r>
    </w:p>
    <w:p w14:paraId="3A3BB0BA">
      <w:pPr>
        <w:pStyle w:val="55"/>
        <w:pageBreakBefore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bookmarkStart w:id="94" w:name="_Toc17357"/>
      <w:bookmarkStart w:id="95" w:name="_Toc28445"/>
      <w:bookmarkStart w:id="96" w:name="_Toc2522"/>
      <w:r>
        <w:rPr>
          <w:rFonts w:hint="eastAsia" w:ascii="宋体" w:hAnsi="宋体" w:eastAsia="宋体" w:cs="宋体"/>
          <w:color w:val="000000" w:themeColor="text1"/>
          <w:sz w:val="24"/>
          <w:highlight w:val="none"/>
          <w14:textFill>
            <w14:solidFill>
              <w14:schemeClr w14:val="tx1"/>
            </w14:solidFill>
          </w14:textFill>
        </w:rPr>
        <w:t>（首次）</w:t>
      </w:r>
      <w:bookmarkEnd w:id="94"/>
      <w:bookmarkEnd w:id="95"/>
      <w:bookmarkEnd w:id="96"/>
    </w:p>
    <w:p w14:paraId="6A622800">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p w14:paraId="168221EB">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货币单位：人民币元</w:t>
      </w:r>
    </w:p>
    <w:tbl>
      <w:tblPr>
        <w:tblStyle w:val="37"/>
        <w:tblW w:w="9060"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644"/>
        <w:gridCol w:w="3252"/>
        <w:gridCol w:w="3164"/>
      </w:tblGrid>
      <w:tr w14:paraId="760C2D7F">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631" w:hRule="atLeast"/>
          <w:jc w:val="center"/>
        </w:trPr>
        <w:tc>
          <w:tcPr>
            <w:tcW w:w="2644" w:type="dxa"/>
            <w:tcBorders>
              <w:top w:val="single" w:color="000000" w:sz="2" w:space="0"/>
              <w:left w:val="single" w:color="000000" w:sz="2" w:space="0"/>
              <w:bottom w:val="single" w:color="000000" w:sz="2" w:space="0"/>
              <w:right w:val="single" w:color="000000" w:sz="2" w:space="0"/>
            </w:tcBorders>
            <w:noWrap w:val="0"/>
            <w:vAlign w:val="center"/>
          </w:tcPr>
          <w:p w14:paraId="21B77FD2">
            <w:pPr>
              <w:pStyle w:val="55"/>
              <w:pageBreakBefore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p>
        </w:tc>
        <w:tc>
          <w:tcPr>
            <w:tcW w:w="3252" w:type="dxa"/>
            <w:tcBorders>
              <w:top w:val="single" w:color="000000" w:sz="2" w:space="0"/>
              <w:left w:val="single" w:color="000000" w:sz="2" w:space="0"/>
              <w:bottom w:val="single" w:color="000000" w:sz="2" w:space="0"/>
              <w:right w:val="single" w:color="000000" w:sz="2" w:space="0"/>
            </w:tcBorders>
            <w:noWrap w:val="0"/>
            <w:vAlign w:val="center"/>
          </w:tcPr>
          <w:p w14:paraId="44CF5933">
            <w:pPr>
              <w:pStyle w:val="55"/>
              <w:pageBreakBefore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报价（小写）</w:t>
            </w:r>
          </w:p>
        </w:tc>
        <w:tc>
          <w:tcPr>
            <w:tcW w:w="3164" w:type="dxa"/>
            <w:tcBorders>
              <w:top w:val="single" w:color="000000" w:sz="2" w:space="0"/>
              <w:left w:val="single" w:color="000000" w:sz="2" w:space="0"/>
              <w:bottom w:val="single" w:color="000000" w:sz="2" w:space="0"/>
              <w:right w:val="single" w:color="000000" w:sz="2" w:space="0"/>
            </w:tcBorders>
            <w:noWrap w:val="0"/>
            <w:vAlign w:val="center"/>
          </w:tcPr>
          <w:p w14:paraId="40A2E901">
            <w:pPr>
              <w:pStyle w:val="55"/>
              <w:pageBreakBefore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14:paraId="3E2E270B">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784" w:hRule="atLeast"/>
          <w:jc w:val="center"/>
        </w:trPr>
        <w:tc>
          <w:tcPr>
            <w:tcW w:w="2644" w:type="dxa"/>
            <w:tcBorders>
              <w:top w:val="single" w:color="000000" w:sz="2" w:space="0"/>
              <w:left w:val="single" w:color="000000" w:sz="2" w:space="0"/>
              <w:bottom w:val="single" w:color="000000" w:sz="2" w:space="0"/>
              <w:right w:val="single" w:color="000000" w:sz="2" w:space="0"/>
            </w:tcBorders>
            <w:noWrap w:val="0"/>
            <w:vAlign w:val="center"/>
          </w:tcPr>
          <w:p w14:paraId="62708C33">
            <w:pPr>
              <w:pStyle w:val="55"/>
              <w:pageBreakBefore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2024年度新沂市骆马湖片区外（时集镇白石村）省级宜居宜业和美乡村工程</w:t>
            </w:r>
          </w:p>
        </w:tc>
        <w:tc>
          <w:tcPr>
            <w:tcW w:w="3252" w:type="dxa"/>
            <w:tcBorders>
              <w:top w:val="single" w:color="000000" w:sz="2" w:space="0"/>
              <w:left w:val="single" w:color="000000" w:sz="2" w:space="0"/>
              <w:bottom w:val="single" w:color="000000" w:sz="2" w:space="0"/>
              <w:right w:val="single" w:color="000000" w:sz="2" w:space="0"/>
            </w:tcBorders>
            <w:noWrap w:val="0"/>
            <w:vAlign w:val="center"/>
          </w:tcPr>
          <w:p w14:paraId="77A2D5CC">
            <w:pPr>
              <w:pStyle w:val="55"/>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3164" w:type="dxa"/>
            <w:tcBorders>
              <w:top w:val="single" w:color="000000" w:sz="2" w:space="0"/>
              <w:left w:val="single" w:color="000000" w:sz="2" w:space="0"/>
              <w:bottom w:val="single" w:color="000000" w:sz="2" w:space="0"/>
              <w:right w:val="single" w:color="000000" w:sz="2" w:space="0"/>
            </w:tcBorders>
            <w:noWrap w:val="0"/>
            <w:vAlign w:val="center"/>
          </w:tcPr>
          <w:p w14:paraId="1CD95B13">
            <w:pPr>
              <w:pStyle w:val="55"/>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96DF1D8">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789" w:hRule="atLeast"/>
          <w:jc w:val="center"/>
        </w:trPr>
        <w:tc>
          <w:tcPr>
            <w:tcW w:w="2644" w:type="dxa"/>
            <w:tcBorders>
              <w:top w:val="single" w:color="000000" w:sz="2" w:space="0"/>
              <w:left w:val="single" w:color="000000" w:sz="2" w:space="0"/>
              <w:bottom w:val="single" w:color="000000" w:sz="2" w:space="0"/>
              <w:right w:val="single" w:color="000000" w:sz="2" w:space="0"/>
            </w:tcBorders>
            <w:noWrap w:val="0"/>
            <w:vAlign w:val="center"/>
          </w:tcPr>
          <w:p w14:paraId="3566816F">
            <w:pPr>
              <w:pStyle w:val="55"/>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报价（大写）：</w:t>
            </w:r>
          </w:p>
        </w:tc>
        <w:tc>
          <w:tcPr>
            <w:tcW w:w="6416" w:type="dxa"/>
            <w:gridSpan w:val="2"/>
            <w:tcBorders>
              <w:top w:val="single" w:color="000000" w:sz="2" w:space="0"/>
              <w:left w:val="single" w:color="000000" w:sz="2" w:space="0"/>
              <w:bottom w:val="single" w:color="000000" w:sz="2" w:space="0"/>
              <w:right w:val="single" w:color="000000" w:sz="2" w:space="0"/>
            </w:tcBorders>
            <w:noWrap w:val="0"/>
            <w:vAlign w:val="center"/>
          </w:tcPr>
          <w:p w14:paraId="3784DAA7">
            <w:pPr>
              <w:pStyle w:val="55"/>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07E0DA8E">
      <w:pPr>
        <w:pStyle w:val="55"/>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010D894D">
      <w:pPr>
        <w:pStyle w:val="55"/>
        <w:keepNext w:val="0"/>
        <w:keepLines w:val="0"/>
        <w:pageBreakBefore w:val="0"/>
        <w:widowControl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供应商承诺：本报价（总价）为供应商本企业提供的服务。</w:t>
      </w:r>
    </w:p>
    <w:p w14:paraId="4DA3323C">
      <w:pPr>
        <w:pStyle w:val="55"/>
        <w:keepNext w:val="0"/>
        <w:keepLines w:val="0"/>
        <w:pageBreakBefore w:val="0"/>
        <w:widowControl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报价说明：</w:t>
      </w:r>
    </w:p>
    <w:p w14:paraId="64D63E0D">
      <w:pPr>
        <w:pStyle w:val="55"/>
        <w:keepNext w:val="0"/>
        <w:keepLines w:val="0"/>
        <w:pageBreakBefore w:val="0"/>
        <w:widowControl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1、报价包括完成项目的所有费用。采购人不再支付报价以外的任何费用。</w:t>
      </w:r>
    </w:p>
    <w:p w14:paraId="623017DB">
      <w:pPr>
        <w:pStyle w:val="55"/>
        <w:keepNext w:val="0"/>
        <w:keepLines w:val="0"/>
        <w:pageBreakBefore w:val="0"/>
        <w:widowControl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2、报价以总价为准，大小写不一致以大写为准；</w:t>
      </w:r>
    </w:p>
    <w:p w14:paraId="3D55C817">
      <w:pPr>
        <w:pStyle w:val="55"/>
        <w:keepNext w:val="0"/>
        <w:keepLines w:val="0"/>
        <w:pageBreakBefore w:val="0"/>
        <w:widowControl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3、偏离说明：详见《偏离表》；</w:t>
      </w:r>
    </w:p>
    <w:p w14:paraId="17210EFD">
      <w:pPr>
        <w:pStyle w:val="55"/>
        <w:pageBreakBefore w:val="0"/>
        <w:widowControl/>
        <w:spacing w:line="360" w:lineRule="auto"/>
        <w:ind w:firstLine="472"/>
        <w:jc w:val="left"/>
        <w:rPr>
          <w:rFonts w:hint="eastAsia" w:ascii="宋体" w:hAnsi="宋体" w:eastAsia="宋体" w:cs="宋体"/>
          <w:color w:val="000000" w:themeColor="text1"/>
          <w:sz w:val="24"/>
          <w:highlight w:val="none"/>
          <w14:textFill>
            <w14:solidFill>
              <w14:schemeClr w14:val="tx1"/>
            </w14:solidFill>
          </w14:textFill>
        </w:rPr>
      </w:pPr>
    </w:p>
    <w:p w14:paraId="63352D44">
      <w:pPr>
        <w:pStyle w:val="60"/>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69E0B974">
      <w:pPr>
        <w:pStyle w:val="46"/>
        <w:pageBreakBefore w:val="0"/>
        <w:spacing w:line="360" w:lineRule="auto"/>
        <w:rPr>
          <w:rFonts w:hint="eastAsia"/>
          <w:color w:val="000000" w:themeColor="text1"/>
          <w:highlight w:val="none"/>
          <w14:textFill>
            <w14:solidFill>
              <w14:schemeClr w14:val="tx1"/>
            </w14:solidFill>
          </w14:textFill>
        </w:rPr>
      </w:pPr>
    </w:p>
    <w:p w14:paraId="1471DFAA">
      <w:pPr>
        <w:pStyle w:val="55"/>
        <w:pageBreakBefore w:val="0"/>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p>
    <w:p w14:paraId="5889DFFC">
      <w:pPr>
        <w:pStyle w:val="55"/>
        <w:pageBreakBefore w:val="0"/>
        <w:widowControl/>
        <w:spacing w:line="360" w:lineRule="auto"/>
        <w:ind w:firstLine="472"/>
        <w:jc w:val="left"/>
        <w:rPr>
          <w:rFonts w:hint="eastAsia" w:ascii="宋体" w:hAnsi="宋体" w:eastAsia="宋体" w:cs="宋体"/>
          <w:color w:val="000000" w:themeColor="text1"/>
          <w:sz w:val="24"/>
          <w:highlight w:val="none"/>
          <w14:textFill>
            <w14:solidFill>
              <w14:schemeClr w14:val="tx1"/>
            </w14:solidFill>
          </w14:textFill>
        </w:rPr>
      </w:pPr>
    </w:p>
    <w:p w14:paraId="504236F5">
      <w:pPr>
        <w:pStyle w:val="55"/>
        <w:pageBreakBefore w:val="0"/>
        <w:widowControl/>
        <w:spacing w:line="360" w:lineRule="auto"/>
        <w:ind w:firstLine="472"/>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供应商（公章）：</w:t>
      </w:r>
    </w:p>
    <w:p w14:paraId="45CB5511">
      <w:pPr>
        <w:pStyle w:val="55"/>
        <w:pageBreakBefore w:val="0"/>
        <w:widowControl/>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6E7710AB">
      <w:pPr>
        <w:pStyle w:val="55"/>
        <w:pageBreakBefore w:val="0"/>
        <w:widowControl/>
        <w:spacing w:line="360" w:lineRule="auto"/>
        <w:ind w:firstLine="472"/>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法定代表人(负责人)或授权代表（签字或盖章）：</w:t>
      </w:r>
    </w:p>
    <w:p w14:paraId="103F0AB2">
      <w:pPr>
        <w:pStyle w:val="55"/>
        <w:pageBreakBefore w:val="0"/>
        <w:spacing w:line="360" w:lineRule="auto"/>
        <w:ind w:firstLine="472"/>
        <w:jc w:val="left"/>
        <w:rPr>
          <w:rFonts w:hint="eastAsia" w:ascii="宋体" w:hAnsi="宋体" w:eastAsia="宋体" w:cs="宋体"/>
          <w:color w:val="000000" w:themeColor="text1"/>
          <w:sz w:val="24"/>
          <w:highlight w:val="none"/>
          <w14:textFill>
            <w14:solidFill>
              <w14:schemeClr w14:val="tx1"/>
            </w14:solidFill>
          </w14:textFill>
        </w:rPr>
      </w:pPr>
    </w:p>
    <w:p w14:paraId="1BFAED44">
      <w:pPr>
        <w:pStyle w:val="55"/>
        <w:pageBreakBefore w:val="0"/>
        <w:spacing w:line="360" w:lineRule="auto"/>
        <w:ind w:firstLine="472"/>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1B6E7C23">
      <w:pPr>
        <w:pStyle w:val="55"/>
        <w:pageBreakBefore w:val="0"/>
        <w:spacing w:line="360" w:lineRule="auto"/>
        <w:ind w:firstLine="472"/>
        <w:jc w:val="center"/>
        <w:rPr>
          <w:rStyle w:val="230"/>
          <w:rFonts w:hint="eastAsia" w:ascii="宋体" w:hAnsi="宋体" w:eastAsia="宋体" w:cs="宋体"/>
          <w:color w:val="000000" w:themeColor="text1"/>
          <w:sz w:val="24"/>
          <w:szCs w:val="24"/>
          <w:highlight w:val="none"/>
          <w14:textFill>
            <w14:solidFill>
              <w14:schemeClr w14:val="tx1"/>
            </w14:solidFill>
          </w14:textFill>
        </w:rPr>
      </w:pPr>
    </w:p>
    <w:p w14:paraId="4E9087D6">
      <w:pPr>
        <w:pStyle w:val="55"/>
        <w:pageBreakBefore w:val="0"/>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p>
    <w:p w14:paraId="5B006ABC">
      <w:pPr>
        <w:pStyle w:val="55"/>
        <w:pageBreakBefore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Style w:val="230"/>
          <w:rFonts w:hint="eastAsia" w:ascii="宋体" w:hAnsi="宋体" w:eastAsia="宋体" w:cs="宋体"/>
          <w:color w:val="000000" w:themeColor="text1"/>
          <w:sz w:val="24"/>
          <w:szCs w:val="24"/>
          <w:highlight w:val="none"/>
          <w14:textFill>
            <w14:solidFill>
              <w14:schemeClr w14:val="tx1"/>
            </w14:solidFill>
          </w14:textFill>
        </w:rPr>
        <w:t>4、报价明细表</w:t>
      </w:r>
    </w:p>
    <w:p w14:paraId="326E17C1">
      <w:pPr>
        <w:pageBreakBefore w:val="0"/>
        <w:spacing w:before="240" w:after="240" w:line="360" w:lineRule="auto"/>
        <w:ind w:right="31"/>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JSZC-320381-NJXN-C2024-0027</w:t>
      </w:r>
    </w:p>
    <w:p w14:paraId="018F667B">
      <w:pPr>
        <w:pageBreakBefore w:val="0"/>
        <w:spacing w:before="240" w:after="240"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2024年度新沂市骆马湖片区外（时集镇白石村）省级宜居宜业和美乡村工程</w:t>
      </w:r>
    </w:p>
    <w:p w14:paraId="17107963">
      <w:pPr>
        <w:pageBreakBefore w:val="0"/>
        <w:spacing w:before="240" w:after="240" w:line="360" w:lineRule="auto"/>
        <w:ind w:right="24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货币单位：人民币元</w:t>
      </w:r>
    </w:p>
    <w:p w14:paraId="441C464D">
      <w:pPr>
        <w:pStyle w:val="46"/>
        <w:widowControl w:val="0"/>
        <w:ind w:left="0"/>
        <w:jc w:val="center"/>
        <w:rPr>
          <w:rFonts w:hint="eastAsia" w:ascii="宋体" w:hAnsi="宋体" w:eastAsia="宋体" w:cs="宋体"/>
          <w:color w:val="000000" w:themeColor="text1"/>
          <w:sz w:val="24"/>
          <w:highlight w:val="none"/>
          <w:lang w:val="en-US" w:eastAsia="zh-CN" w:bidi="ar-SA"/>
          <w14:textFill>
            <w14:solidFill>
              <w14:schemeClr w14:val="tx1"/>
            </w14:solidFill>
          </w14:textFill>
        </w:rPr>
      </w:pPr>
    </w:p>
    <w:p w14:paraId="19004499">
      <w:pPr>
        <w:pStyle w:val="46"/>
        <w:widowControl w:val="0"/>
        <w:ind w:left="0"/>
        <w:jc w:val="center"/>
        <w:rPr>
          <w:rFonts w:hint="eastAsia" w:ascii="宋体" w:hAnsi="宋体" w:eastAsia="宋体" w:cs="宋体"/>
          <w:color w:val="000000" w:themeColor="text1"/>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根据发布的《招标工程量清单》进行编制</w:t>
      </w:r>
    </w:p>
    <w:p w14:paraId="3E71B517">
      <w:pPr>
        <w:pageBreakBefore w:val="0"/>
        <w:spacing w:before="240" w:after="240" w:line="360" w:lineRule="auto"/>
        <w:rPr>
          <w:rFonts w:hint="eastAsia" w:ascii="宋体" w:hAnsi="宋体" w:eastAsia="宋体" w:cs="宋体"/>
          <w:color w:val="000000" w:themeColor="text1"/>
          <w:sz w:val="24"/>
          <w:highlight w:val="none"/>
          <w14:textFill>
            <w14:solidFill>
              <w14:schemeClr w14:val="tx1"/>
            </w14:solidFill>
          </w14:textFill>
        </w:rPr>
      </w:pPr>
    </w:p>
    <w:p w14:paraId="7B983E9A">
      <w:pPr>
        <w:pStyle w:val="9"/>
        <w:rPr>
          <w:rFonts w:hint="eastAsia" w:ascii="宋体" w:hAnsi="宋体" w:eastAsia="宋体" w:cs="宋体"/>
          <w:color w:val="000000" w:themeColor="text1"/>
          <w:sz w:val="24"/>
          <w:highlight w:val="none"/>
          <w14:textFill>
            <w14:solidFill>
              <w14:schemeClr w14:val="tx1"/>
            </w14:solidFill>
          </w14:textFill>
        </w:rPr>
      </w:pPr>
    </w:p>
    <w:p w14:paraId="6CBEDC06">
      <w:pPr>
        <w:rPr>
          <w:rFonts w:hint="eastAsia" w:ascii="宋体" w:hAnsi="宋体" w:eastAsia="宋体" w:cs="宋体"/>
          <w:color w:val="000000" w:themeColor="text1"/>
          <w:sz w:val="24"/>
          <w:highlight w:val="none"/>
          <w14:textFill>
            <w14:solidFill>
              <w14:schemeClr w14:val="tx1"/>
            </w14:solidFill>
          </w14:textFill>
        </w:rPr>
      </w:pPr>
    </w:p>
    <w:p w14:paraId="201F7976">
      <w:pPr>
        <w:pStyle w:val="9"/>
        <w:rPr>
          <w:rFonts w:hint="eastAsia" w:ascii="宋体" w:hAnsi="宋体" w:eastAsia="宋体" w:cs="宋体"/>
          <w:color w:val="000000" w:themeColor="text1"/>
          <w:sz w:val="24"/>
          <w:highlight w:val="none"/>
          <w14:textFill>
            <w14:solidFill>
              <w14:schemeClr w14:val="tx1"/>
            </w14:solidFill>
          </w14:textFill>
        </w:rPr>
      </w:pPr>
    </w:p>
    <w:p w14:paraId="370BA4A5">
      <w:pPr>
        <w:rPr>
          <w:rFonts w:hint="eastAsia" w:ascii="宋体" w:hAnsi="宋体" w:eastAsia="宋体" w:cs="宋体"/>
          <w:color w:val="000000" w:themeColor="text1"/>
          <w:sz w:val="24"/>
          <w:highlight w:val="none"/>
          <w14:textFill>
            <w14:solidFill>
              <w14:schemeClr w14:val="tx1"/>
            </w14:solidFill>
          </w14:textFill>
        </w:rPr>
      </w:pPr>
    </w:p>
    <w:p w14:paraId="74A0C92B">
      <w:pPr>
        <w:pStyle w:val="9"/>
        <w:rPr>
          <w:rFonts w:hint="eastAsia" w:ascii="宋体" w:hAnsi="宋体" w:eastAsia="宋体" w:cs="宋体"/>
          <w:color w:val="000000" w:themeColor="text1"/>
          <w:sz w:val="24"/>
          <w:highlight w:val="none"/>
          <w14:textFill>
            <w14:solidFill>
              <w14:schemeClr w14:val="tx1"/>
            </w14:solidFill>
          </w14:textFill>
        </w:rPr>
      </w:pPr>
    </w:p>
    <w:p w14:paraId="2E45D10F">
      <w:pPr>
        <w:rPr>
          <w:rFonts w:hint="eastAsia" w:ascii="宋体" w:hAnsi="宋体" w:eastAsia="宋体" w:cs="宋体"/>
          <w:color w:val="000000" w:themeColor="text1"/>
          <w:sz w:val="24"/>
          <w:highlight w:val="none"/>
          <w14:textFill>
            <w14:solidFill>
              <w14:schemeClr w14:val="tx1"/>
            </w14:solidFill>
          </w14:textFill>
        </w:rPr>
      </w:pPr>
    </w:p>
    <w:p w14:paraId="363E5EF1">
      <w:pPr>
        <w:pStyle w:val="9"/>
        <w:rPr>
          <w:rFonts w:hint="eastAsia"/>
        </w:rPr>
      </w:pPr>
    </w:p>
    <w:p w14:paraId="6A36E5CF">
      <w:pPr>
        <w:pageBreakBefore w:val="0"/>
        <w:spacing w:before="240" w:after="24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供应商（盖电子签章）：</w:t>
      </w:r>
    </w:p>
    <w:p w14:paraId="768BC7D1">
      <w:pPr>
        <w:pageBreakBefore w:val="0"/>
        <w:spacing w:before="240" w:after="24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法定代表人(负责人)或授权代表（签字或盖章）：</w:t>
      </w:r>
    </w:p>
    <w:p w14:paraId="20EAE5EE">
      <w:pPr>
        <w:pageBreakBefore w:val="0"/>
        <w:spacing w:before="240" w:after="24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1A6E9B7B">
      <w:pPr>
        <w:pageBreakBefore w:val="0"/>
        <w:spacing w:before="240" w:after="240" w:line="360" w:lineRule="auto"/>
        <w:ind w:right="8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注：1、如果不提供详细分项报价将视为没有实质性响应。</w:t>
      </w:r>
    </w:p>
    <w:p w14:paraId="6ADE92BE">
      <w:pPr>
        <w:pStyle w:val="55"/>
        <w:keepNext w:val="0"/>
        <w:keepLines w:val="0"/>
        <w:pageBreakBefore w:val="0"/>
        <w:widowControl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2、供应商对以上数据的真实性负责。</w:t>
      </w:r>
    </w:p>
    <w:p w14:paraId="1B9B507F">
      <w:pPr>
        <w:pStyle w:val="55"/>
        <w:keepNext w:val="0"/>
        <w:keepLines w:val="0"/>
        <w:pageBreakBefore w:val="0"/>
        <w:widowControl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采购人或采购代理机构有权将以上内容进行公示。</w:t>
      </w:r>
    </w:p>
    <w:p w14:paraId="3C3D27E5">
      <w:pPr>
        <w:pStyle w:val="55"/>
        <w:rPr>
          <w:rFonts w:hint="eastAsia"/>
        </w:rPr>
      </w:pPr>
    </w:p>
    <w:p w14:paraId="206A53D0">
      <w:pPr>
        <w:pStyle w:val="55"/>
        <w:pageBreakBefore w:val="0"/>
        <w:numPr>
          <w:ilvl w:val="0"/>
          <w:numId w:val="6"/>
        </w:numPr>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r>
        <w:rPr>
          <w:rStyle w:val="230"/>
          <w:rFonts w:hint="eastAsia" w:ascii="宋体" w:hAnsi="宋体" w:eastAsia="宋体" w:cs="宋体"/>
          <w:color w:val="000000" w:themeColor="text1"/>
          <w:sz w:val="24"/>
          <w:szCs w:val="24"/>
          <w:highlight w:val="none"/>
          <w14:textFill>
            <w14:solidFill>
              <w14:schemeClr w14:val="tx1"/>
            </w14:solidFill>
          </w14:textFill>
        </w:rPr>
        <w:t>偏离表</w:t>
      </w:r>
    </w:p>
    <w:p w14:paraId="3D705A9E">
      <w:pPr>
        <w:pStyle w:val="58"/>
        <w:pageBreakBefore w:val="0"/>
        <w:numPr>
          <w:ilvl w:val="0"/>
          <w:numId w:val="0"/>
        </w:numPr>
        <w:spacing w:line="360" w:lineRule="auto"/>
        <w:rPr>
          <w:rFonts w:hint="eastAsia" w:ascii="宋体" w:hAnsi="宋体" w:eastAsia="宋体" w:cs="宋体"/>
          <w:color w:val="000000" w:themeColor="text1"/>
          <w:highlight w:val="none"/>
          <w14:textFill>
            <w14:solidFill>
              <w14:schemeClr w14:val="tx1"/>
            </w14:solidFill>
          </w14:textFill>
        </w:rPr>
      </w:pPr>
    </w:p>
    <w:p w14:paraId="647330D6">
      <w:pPr>
        <w:pStyle w:val="60"/>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项目名称：                                                        </w:t>
      </w:r>
    </w:p>
    <w:p w14:paraId="15A88ECA">
      <w:pPr>
        <w:pStyle w:val="60"/>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项目编号：</w:t>
      </w:r>
    </w:p>
    <w:tbl>
      <w:tblPr>
        <w:tblStyle w:val="37"/>
        <w:tblW w:w="8906"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70"/>
        <w:gridCol w:w="1353"/>
        <w:gridCol w:w="1760"/>
        <w:gridCol w:w="1592"/>
        <w:gridCol w:w="1974"/>
      </w:tblGrid>
      <w:tr w14:paraId="2DA6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57" w:type="dxa"/>
            <w:tcBorders>
              <w:top w:val="single" w:color="auto" w:sz="4" w:space="0"/>
              <w:left w:val="single" w:color="auto" w:sz="4" w:space="0"/>
              <w:bottom w:val="single" w:color="auto" w:sz="4" w:space="0"/>
              <w:right w:val="single" w:color="auto" w:sz="4" w:space="0"/>
            </w:tcBorders>
            <w:noWrap w:val="0"/>
            <w:vAlign w:val="center"/>
          </w:tcPr>
          <w:p w14:paraId="1F68F96B">
            <w:pPr>
              <w:pStyle w:val="55"/>
              <w:pageBreakBefore w:val="0"/>
              <w:pBdr>
                <w:between w:val="single" w:color="auto" w:sz="4" w:space="1"/>
              </w:pBd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58E6642">
            <w:pPr>
              <w:pStyle w:val="55"/>
              <w:pageBreakBefore w:val="0"/>
              <w:pBdr>
                <w:between w:val="single" w:color="auto" w:sz="4" w:space="1"/>
              </w:pBd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内容</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2CF39DC0">
            <w:pPr>
              <w:pStyle w:val="55"/>
              <w:pageBreakBefore w:val="0"/>
              <w:pBdr>
                <w:between w:val="single" w:color="auto" w:sz="4" w:space="1"/>
              </w:pBd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磋商文件要求</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06DD456">
            <w:pPr>
              <w:pStyle w:val="55"/>
              <w:pageBreakBefore w:val="0"/>
              <w:pBdr>
                <w:between w:val="single" w:color="auto" w:sz="4" w:space="1"/>
              </w:pBd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供应商首次响应文件内容</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59F08021">
            <w:pPr>
              <w:pStyle w:val="55"/>
              <w:pageBreakBefore w:val="0"/>
              <w:pBdr>
                <w:between w:val="single" w:color="auto" w:sz="4" w:space="1"/>
              </w:pBd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（正/负/无）偏离</w:t>
            </w:r>
          </w:p>
        </w:tc>
        <w:tc>
          <w:tcPr>
            <w:tcW w:w="1974" w:type="dxa"/>
            <w:tcBorders>
              <w:top w:val="single" w:color="auto" w:sz="4" w:space="0"/>
              <w:left w:val="single" w:color="auto" w:sz="4" w:space="0"/>
              <w:bottom w:val="single" w:color="auto" w:sz="4" w:space="0"/>
              <w:right w:val="single" w:color="auto" w:sz="4" w:space="0"/>
            </w:tcBorders>
            <w:noWrap w:val="0"/>
            <w:vAlign w:val="center"/>
          </w:tcPr>
          <w:p w14:paraId="7CCB7C9D">
            <w:pPr>
              <w:pStyle w:val="55"/>
              <w:pageBreakBefore w:val="0"/>
              <w:pBdr>
                <w:between w:val="single" w:color="auto" w:sz="4" w:space="1"/>
              </w:pBd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w:t>
            </w:r>
          </w:p>
        </w:tc>
      </w:tr>
      <w:tr w14:paraId="62CA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7" w:type="dxa"/>
            <w:tcBorders>
              <w:top w:val="single" w:color="auto" w:sz="4" w:space="0"/>
              <w:left w:val="single" w:color="auto" w:sz="4" w:space="0"/>
              <w:bottom w:val="single" w:color="auto" w:sz="4" w:space="0"/>
              <w:right w:val="single" w:color="auto" w:sz="4" w:space="0"/>
            </w:tcBorders>
            <w:noWrap w:val="0"/>
          </w:tcPr>
          <w:p w14:paraId="4C8ED93C">
            <w:pPr>
              <w:pStyle w:val="55"/>
              <w:pageBreakBefore w:val="0"/>
              <w:pBdr>
                <w:between w:val="single" w:color="auto" w:sz="4" w:space="1"/>
              </w:pBd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tcPr>
          <w:p w14:paraId="003C240B">
            <w:pPr>
              <w:pStyle w:val="55"/>
              <w:pageBreakBefore w:val="0"/>
              <w:pBdr>
                <w:between w:val="single" w:color="auto" w:sz="4" w:space="1"/>
              </w:pBd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noWrap w:val="0"/>
          </w:tcPr>
          <w:p w14:paraId="424DE220">
            <w:pPr>
              <w:pStyle w:val="55"/>
              <w:pageBreakBefore w:val="0"/>
              <w:pBdr>
                <w:between w:val="single" w:color="auto" w:sz="4" w:space="1"/>
              </w:pBd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tcPr>
          <w:p w14:paraId="450620FE">
            <w:pPr>
              <w:pStyle w:val="55"/>
              <w:pageBreakBefore w:val="0"/>
              <w:pBdr>
                <w:between w:val="single" w:color="auto" w:sz="4" w:space="1"/>
              </w:pBd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tcPr>
          <w:p w14:paraId="3CCE098F">
            <w:pPr>
              <w:pStyle w:val="55"/>
              <w:pageBreakBefore w:val="0"/>
              <w:pBdr>
                <w:between w:val="single" w:color="auto" w:sz="4" w:space="1"/>
              </w:pBd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tcPr>
          <w:p w14:paraId="274A143D">
            <w:pPr>
              <w:pStyle w:val="55"/>
              <w:pageBreakBefore w:val="0"/>
              <w:pBdr>
                <w:between w:val="single" w:color="auto" w:sz="4" w:space="1"/>
              </w:pBd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FB6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7" w:type="dxa"/>
            <w:tcBorders>
              <w:top w:val="single" w:color="auto" w:sz="4" w:space="0"/>
              <w:left w:val="single" w:color="auto" w:sz="4" w:space="0"/>
              <w:bottom w:val="single" w:color="auto" w:sz="4" w:space="0"/>
              <w:right w:val="single" w:color="auto" w:sz="4" w:space="0"/>
            </w:tcBorders>
            <w:noWrap w:val="0"/>
          </w:tcPr>
          <w:p w14:paraId="1968217E">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tcPr>
          <w:p w14:paraId="1940569B">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noWrap w:val="0"/>
          </w:tcPr>
          <w:p w14:paraId="67A9E86A">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tcPr>
          <w:p w14:paraId="2D05D797">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tcPr>
          <w:p w14:paraId="4AC0A63E">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tcPr>
          <w:p w14:paraId="17F331E1">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r>
      <w:tr w14:paraId="11D9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7" w:type="dxa"/>
            <w:tcBorders>
              <w:top w:val="single" w:color="auto" w:sz="4" w:space="0"/>
              <w:left w:val="single" w:color="auto" w:sz="4" w:space="0"/>
              <w:bottom w:val="single" w:color="auto" w:sz="4" w:space="0"/>
              <w:right w:val="single" w:color="auto" w:sz="4" w:space="0"/>
            </w:tcBorders>
            <w:noWrap w:val="0"/>
          </w:tcPr>
          <w:p w14:paraId="207F7CC2">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tcPr>
          <w:p w14:paraId="7A83165F">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noWrap w:val="0"/>
          </w:tcPr>
          <w:p w14:paraId="7E52B419">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tcPr>
          <w:p w14:paraId="35D6EA19">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tcPr>
          <w:p w14:paraId="5EAA1A0C">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tcPr>
          <w:p w14:paraId="4B0EB633">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r>
      <w:tr w14:paraId="1522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7" w:type="dxa"/>
            <w:tcBorders>
              <w:top w:val="single" w:color="auto" w:sz="4" w:space="0"/>
              <w:left w:val="single" w:color="auto" w:sz="4" w:space="0"/>
              <w:bottom w:val="single" w:color="auto" w:sz="4" w:space="0"/>
              <w:right w:val="single" w:color="auto" w:sz="4" w:space="0"/>
            </w:tcBorders>
            <w:noWrap w:val="0"/>
          </w:tcPr>
          <w:p w14:paraId="159EDDEC">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tcPr>
          <w:p w14:paraId="4D3FA3A6">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noWrap w:val="0"/>
          </w:tcPr>
          <w:p w14:paraId="154A22A8">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tcPr>
          <w:p w14:paraId="2DE53AB7">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tcPr>
          <w:p w14:paraId="37B92F0F">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tcPr>
          <w:p w14:paraId="1CBE6785">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r>
      <w:tr w14:paraId="0490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7" w:type="dxa"/>
            <w:tcBorders>
              <w:top w:val="single" w:color="auto" w:sz="4" w:space="0"/>
              <w:left w:val="single" w:color="auto" w:sz="4" w:space="0"/>
              <w:bottom w:val="single" w:color="auto" w:sz="4" w:space="0"/>
              <w:right w:val="single" w:color="auto" w:sz="4" w:space="0"/>
            </w:tcBorders>
            <w:noWrap w:val="0"/>
          </w:tcPr>
          <w:p w14:paraId="1895C8CB">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tcPr>
          <w:p w14:paraId="6F351930">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noWrap w:val="0"/>
          </w:tcPr>
          <w:p w14:paraId="01840CF9">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tcPr>
          <w:p w14:paraId="5BE659E0">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tcPr>
          <w:p w14:paraId="0F671DAC">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tcPr>
          <w:p w14:paraId="1DCFF161">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r>
      <w:tr w14:paraId="2113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7" w:type="dxa"/>
            <w:tcBorders>
              <w:top w:val="single" w:color="auto" w:sz="4" w:space="0"/>
              <w:left w:val="single" w:color="auto" w:sz="4" w:space="0"/>
              <w:bottom w:val="single" w:color="auto" w:sz="4" w:space="0"/>
              <w:right w:val="single" w:color="auto" w:sz="4" w:space="0"/>
            </w:tcBorders>
            <w:noWrap w:val="0"/>
          </w:tcPr>
          <w:p w14:paraId="64A257DA">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tcPr>
          <w:p w14:paraId="3D81BD64">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noWrap w:val="0"/>
          </w:tcPr>
          <w:p w14:paraId="009D3219">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tcPr>
          <w:p w14:paraId="61656B62">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tcPr>
          <w:p w14:paraId="5386331B">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tcPr>
          <w:p w14:paraId="43C167B0">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r>
      <w:tr w14:paraId="4766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7" w:type="dxa"/>
            <w:tcBorders>
              <w:top w:val="single" w:color="auto" w:sz="4" w:space="0"/>
              <w:left w:val="single" w:color="auto" w:sz="4" w:space="0"/>
              <w:bottom w:val="single" w:color="auto" w:sz="4" w:space="0"/>
              <w:right w:val="single" w:color="auto" w:sz="4" w:space="0"/>
            </w:tcBorders>
            <w:noWrap w:val="0"/>
          </w:tcPr>
          <w:p w14:paraId="44D3B250">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tcPr>
          <w:p w14:paraId="564476C9">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noWrap w:val="0"/>
          </w:tcPr>
          <w:p w14:paraId="33E15729">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tcPr>
          <w:p w14:paraId="16DC4B48">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592" w:type="dxa"/>
            <w:tcBorders>
              <w:top w:val="single" w:color="auto" w:sz="4" w:space="0"/>
              <w:left w:val="single" w:color="auto" w:sz="4" w:space="0"/>
              <w:bottom w:val="single" w:color="auto" w:sz="4" w:space="0"/>
              <w:right w:val="single" w:color="auto" w:sz="4" w:space="0"/>
            </w:tcBorders>
            <w:noWrap w:val="0"/>
          </w:tcPr>
          <w:p w14:paraId="6FFF022D">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c>
          <w:tcPr>
            <w:tcW w:w="1974" w:type="dxa"/>
            <w:tcBorders>
              <w:top w:val="single" w:color="auto" w:sz="4" w:space="0"/>
              <w:left w:val="single" w:color="auto" w:sz="4" w:space="0"/>
              <w:bottom w:val="single" w:color="auto" w:sz="4" w:space="0"/>
              <w:right w:val="single" w:color="auto" w:sz="4" w:space="0"/>
            </w:tcBorders>
            <w:noWrap w:val="0"/>
          </w:tcPr>
          <w:p w14:paraId="53CF304B">
            <w:pPr>
              <w:pStyle w:val="55"/>
              <w:pageBreakBefore w:val="0"/>
              <w:pBdr>
                <w:between w:val="single" w:color="auto" w:sz="4" w:space="1"/>
              </w:pBdr>
              <w:spacing w:line="360" w:lineRule="auto"/>
              <w:rPr>
                <w:rFonts w:hint="eastAsia" w:ascii="宋体" w:hAnsi="宋体" w:eastAsia="宋体" w:cs="宋体"/>
                <w:b/>
                <w:color w:val="000000" w:themeColor="text1"/>
                <w:sz w:val="24"/>
                <w:highlight w:val="none"/>
                <w14:textFill>
                  <w14:solidFill>
                    <w14:schemeClr w14:val="tx1"/>
                  </w14:solidFill>
                </w14:textFill>
              </w:rPr>
            </w:pPr>
          </w:p>
        </w:tc>
      </w:tr>
    </w:tbl>
    <w:p w14:paraId="419D6B96">
      <w:pPr>
        <w:pStyle w:val="55"/>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4F0032EA">
      <w:pPr>
        <w:pStyle w:val="55"/>
        <w:pageBreakBefore w:val="0"/>
        <w:spacing w:line="360" w:lineRule="auto"/>
        <w:rPr>
          <w:rFonts w:hint="eastAsia"/>
        </w:rPr>
      </w:pPr>
      <w:r>
        <w:rPr>
          <w:rFonts w:hint="eastAsia" w:ascii="宋体" w:hAnsi="宋体" w:eastAsia="宋体" w:cs="宋体"/>
          <w:color w:val="000000" w:themeColor="text1"/>
          <w:sz w:val="24"/>
          <w:highlight w:val="none"/>
          <w14:textFill>
            <w14:solidFill>
              <w14:schemeClr w14:val="tx1"/>
            </w14:solidFill>
          </w14:textFill>
        </w:rPr>
        <w:t>注：供应商递交的首次响应文件中与《磋商文件》和《磋商文件修改（澄清）》（如有）的要求有不同时，应逐条列在偏离表中，否则将认为供应商接受磋商文件的要求。</w:t>
      </w:r>
    </w:p>
    <w:p w14:paraId="1DC101C6">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6748625C">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供应商名称： </w:t>
      </w:r>
    </w:p>
    <w:p w14:paraId="1BC60840">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供应商公章：</w:t>
      </w:r>
    </w:p>
    <w:p w14:paraId="1EE39302">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法定代表人(负责人)或授权代表（签字或盖章）：</w:t>
      </w:r>
    </w:p>
    <w:p w14:paraId="54122341">
      <w:pPr>
        <w:pStyle w:val="55"/>
        <w:pageBreakBefore w:val="0"/>
        <w:spacing w:line="360" w:lineRule="auto"/>
        <w:ind w:firstLine="472"/>
        <w:rPr>
          <w:rFonts w:hint="eastAsia" w:eastAsia="宋体"/>
          <w:lang w:val="en-US" w:eastAsia="zh-CN"/>
        </w:rPr>
      </w:pPr>
      <w:r>
        <w:rPr>
          <w:rFonts w:hint="eastAsia" w:hAnsi="宋体" w:cs="宋体"/>
          <w:color w:val="000000" w:themeColor="text1"/>
          <w:sz w:val="24"/>
          <w:highlight w:val="none"/>
          <w:lang w:val="en-US" w:eastAsia="zh-CN"/>
          <w14:textFill>
            <w14:solidFill>
              <w14:schemeClr w14:val="tx1"/>
            </w14:solidFill>
          </w14:textFill>
        </w:rPr>
        <w:t>日期：</w:t>
      </w:r>
    </w:p>
    <w:p w14:paraId="43E7AEF5">
      <w:pPr>
        <w:pStyle w:val="55"/>
        <w:pageBreakBefore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p>
    <w:p w14:paraId="324441B5">
      <w:pPr>
        <w:pStyle w:val="62"/>
        <w:rPr>
          <w:rFonts w:hint="eastAsia"/>
        </w:rPr>
      </w:pPr>
    </w:p>
    <w:p w14:paraId="0DC94425">
      <w:pPr>
        <w:pStyle w:val="55"/>
        <w:pageBreakBefore w:val="0"/>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r>
        <w:rPr>
          <w:rStyle w:val="230"/>
          <w:rFonts w:hint="eastAsia" w:ascii="宋体" w:hAnsi="宋体" w:eastAsia="宋体" w:cs="宋体"/>
          <w:color w:val="000000" w:themeColor="text1"/>
          <w:sz w:val="24"/>
          <w:szCs w:val="24"/>
          <w:highlight w:val="none"/>
          <w14:textFill>
            <w14:solidFill>
              <w14:schemeClr w14:val="tx1"/>
            </w14:solidFill>
          </w14:textFill>
        </w:rPr>
        <w:t>6、承诺书</w:t>
      </w:r>
    </w:p>
    <w:p w14:paraId="7CE7DCAC">
      <w:pPr>
        <w:pStyle w:val="55"/>
        <w:pageBreakBefore w:val="0"/>
        <w:widowControl/>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lang w:eastAsia="zh-CN"/>
          <w14:textFill>
            <w14:solidFill>
              <w14:schemeClr w14:val="tx1"/>
            </w14:solidFill>
          </w14:textFill>
        </w:rPr>
        <w:t>南京信诺工程造价咨询有限责任公司</w:t>
      </w:r>
    </w:p>
    <w:p w14:paraId="767D4099">
      <w:pPr>
        <w:pStyle w:val="55"/>
        <w:pageBreakBefore w:val="0"/>
        <w:widowControl/>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6733513A">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根据贵方</w:t>
      </w:r>
      <w:r>
        <w:rPr>
          <w:rFonts w:hint="eastAsia" w:ascii="宋体" w:hAnsi="宋体" w:cs="宋体"/>
          <w:color w:val="000000" w:themeColor="text1"/>
          <w:sz w:val="24"/>
          <w:highlight w:val="none"/>
          <w:lang w:eastAsia="zh-CN"/>
          <w14:textFill>
            <w14:solidFill>
              <w14:schemeClr w14:val="tx1"/>
            </w14:solidFill>
          </w14:textFill>
        </w:rPr>
        <w:t>2024年度新沂市骆马湖片区外（时集镇白石村）省级宜居宜业和美乡村工程</w:t>
      </w:r>
      <w:r>
        <w:rPr>
          <w:rFonts w:hint="eastAsia" w:ascii="宋体" w:hAnsi="宋体" w:eastAsia="宋体" w:cs="宋体"/>
          <w:color w:val="000000" w:themeColor="text1"/>
          <w:sz w:val="24"/>
          <w:highlight w:val="none"/>
          <w14:textFill>
            <w14:solidFill>
              <w14:schemeClr w14:val="tx1"/>
            </w14:solidFill>
          </w14:textFill>
        </w:rPr>
        <w:t>《竞争性磋商文件》（项目编号：</w:t>
      </w:r>
      <w:r>
        <w:rPr>
          <w:rFonts w:hint="eastAsia" w:ascii="宋体" w:hAnsi="宋体" w:cs="宋体"/>
          <w:color w:val="000000" w:themeColor="text1"/>
          <w:sz w:val="24"/>
          <w:highlight w:val="none"/>
          <w:lang w:eastAsia="zh-CN"/>
          <w14:textFill>
            <w14:solidFill>
              <w14:schemeClr w14:val="tx1"/>
            </w14:solidFill>
          </w14:textFill>
        </w:rPr>
        <w:t>JSZC-320381-NJXN-C2024-0027</w:t>
      </w:r>
      <w:r>
        <w:rPr>
          <w:rFonts w:hint="eastAsia" w:ascii="宋体" w:hAnsi="宋体" w:eastAsia="宋体" w:cs="宋体"/>
          <w:color w:val="000000" w:themeColor="text1"/>
          <w:sz w:val="24"/>
          <w:highlight w:val="none"/>
          <w14:textFill>
            <w14:solidFill>
              <w14:schemeClr w14:val="tx1"/>
            </w14:solidFill>
          </w14:textFill>
        </w:rPr>
        <w:t>）要求，本供应商正式提交以下首次响应文件。</w:t>
      </w:r>
    </w:p>
    <w:p w14:paraId="723AE3B4">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mc:AlternateContent>
          <mc:Choice Requires="wps">
            <w:drawing>
              <wp:anchor distT="0" distB="0" distL="90805" distR="90805" simplePos="0" relativeHeight="251662336" behindDoc="0" locked="0" layoutInCell="0" allowOverlap="1">
                <wp:simplePos x="0" y="0"/>
                <wp:positionH relativeFrom="column">
                  <wp:posOffset>1866900</wp:posOffset>
                </wp:positionH>
                <wp:positionV relativeFrom="paragraph">
                  <wp:posOffset>16510</wp:posOffset>
                </wp:positionV>
                <wp:extent cx="635" cy="16510"/>
                <wp:effectExtent l="0" t="0" r="0" b="0"/>
                <wp:wrapNone/>
                <wp:docPr id="5" name="直接连接符 6"/>
                <wp:cNvGraphicFramePr/>
                <a:graphic xmlns:a="http://schemas.openxmlformats.org/drawingml/2006/main">
                  <a:graphicData uri="http://schemas.microsoft.com/office/word/2010/wordprocessingShape">
                    <wps:wsp>
                      <wps:cNvCnPr/>
                      <wps:spPr bwMode="auto">
                        <a:xfrm rot="21600000" flipV="1">
                          <a:off x="0" y="0"/>
                          <a:ext cx="762" cy="16510"/>
                        </a:xfrm>
                        <a:prstGeom prst="line">
                          <a:avLst/>
                        </a:prstGeom>
                        <a:solidFill>
                          <a:srgbClr val="FFFFFF"/>
                        </a:solidFill>
                        <a:ln w="9525" cap="flat" cmpd="sng">
                          <a:solidFill>
                            <a:srgbClr val="000000"/>
                          </a:solidFill>
                          <a:prstDash val="solid"/>
                          <a:miter/>
                        </a:ln>
                      </wps:spPr>
                      <wps:bodyPr rot="0">
                        <a:noAutofit/>
                      </wps:bodyPr>
                    </wps:wsp>
                  </a:graphicData>
                </a:graphic>
              </wp:anchor>
            </w:drawing>
          </mc:Choice>
          <mc:Fallback>
            <w:pict>
              <v:line id="直接连接符 6" o:spid="_x0000_s1026" o:spt="20" style="position:absolute;left:0pt;flip:y;margin-left:147pt;margin-top:1.3pt;height:1.3pt;width:0.05pt;z-index:251662336;mso-width-relative:page;mso-height-relative:page;" fillcolor="#FFFFFF" filled="t" stroked="t" coordsize="21600,21600" o:allowincell="f" o:gfxdata="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270F1wAAAAcBAAAPAAAAAAAAAAEAIAAAACIA&#10;AABkcnMvZG93bnJldi54bWxQSwECFAAUAAAACACHTuJAUVavvgoCAAALBAAADgAAAAAAAAABACAA&#10;AAAmAQAAZHJzL2Uyb0RvYy54bWxQSwUGAAAAAAYABgBZAQAAogUAAAAA&#10;">
                <v:fill on="t" focussize="0,0"/>
                <v:stroke color="#000000" joinstyle="miter"/>
                <v:imagedata o:title=""/>
                <o:lock v:ext="edit" aspectratio="f"/>
              </v:line>
            </w:pict>
          </mc:Fallback>
        </mc:AlternateContent>
      </w:r>
      <w:r>
        <w:rPr>
          <w:rFonts w:hint="eastAsia" w:ascii="宋体" w:hAnsi="宋体" w:eastAsia="宋体" w:cs="宋体"/>
          <w:color w:val="000000" w:themeColor="text1"/>
          <w:sz w:val="24"/>
          <w:highlight w:val="none"/>
          <w14:textFill>
            <w14:solidFill>
              <w14:schemeClr w14:val="tx1"/>
            </w14:solidFill>
          </w14:textFill>
        </w:rPr>
        <w:t>承诺书；</w:t>
      </w:r>
    </w:p>
    <w:p w14:paraId="2141B50A">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bookmarkStart w:id="97" w:name="_Toc30031"/>
      <w:bookmarkStart w:id="98" w:name="_Toc20543"/>
      <w:bookmarkStart w:id="99" w:name="_Toc24561"/>
      <w:bookmarkStart w:id="100" w:name="_Toc16644"/>
      <w:bookmarkStart w:id="101" w:name="_Toc18142"/>
      <w:r>
        <w:rPr>
          <w:rFonts w:hint="eastAsia" w:ascii="宋体" w:hAnsi="宋体" w:eastAsia="宋体" w:cs="宋体"/>
          <w:color w:val="000000" w:themeColor="text1"/>
          <w:sz w:val="24"/>
          <w:highlight w:val="none"/>
          <w14:textFill>
            <w14:solidFill>
              <w14:schemeClr w14:val="tx1"/>
            </w14:solidFill>
          </w14:textFill>
        </w:rPr>
        <w:t>（2）磋商报价表；</w:t>
      </w:r>
      <w:bookmarkEnd w:id="97"/>
      <w:bookmarkEnd w:id="98"/>
      <w:bookmarkEnd w:id="99"/>
      <w:bookmarkEnd w:id="100"/>
      <w:bookmarkEnd w:id="101"/>
    </w:p>
    <w:p w14:paraId="678FD767">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bookmarkStart w:id="102" w:name="_Toc15322"/>
      <w:bookmarkStart w:id="103" w:name="_Toc27515"/>
      <w:bookmarkStart w:id="104" w:name="_Toc27728"/>
      <w:bookmarkStart w:id="105" w:name="_Toc26005"/>
      <w:bookmarkStart w:id="106" w:name="_Toc8339"/>
      <w:r>
        <w:rPr>
          <w:rFonts w:hint="eastAsia" w:ascii="宋体" w:hAnsi="宋体" w:eastAsia="宋体" w:cs="宋体"/>
          <w:color w:val="000000" w:themeColor="text1"/>
          <w:sz w:val="24"/>
          <w:highlight w:val="none"/>
          <w14:textFill>
            <w14:solidFill>
              <w14:schemeClr w14:val="tx1"/>
            </w14:solidFill>
          </w14:textFill>
        </w:rPr>
        <w:t>（3）偏离表；</w:t>
      </w:r>
      <w:bookmarkEnd w:id="102"/>
      <w:bookmarkEnd w:id="103"/>
      <w:bookmarkEnd w:id="104"/>
      <w:bookmarkEnd w:id="105"/>
      <w:bookmarkEnd w:id="106"/>
    </w:p>
    <w:p w14:paraId="10A86A10">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bookmarkStart w:id="107" w:name="_Toc10380"/>
      <w:bookmarkStart w:id="108" w:name="_Toc1135"/>
      <w:bookmarkStart w:id="109" w:name="_Toc2652"/>
      <w:bookmarkStart w:id="110" w:name="_Toc30830"/>
      <w:bookmarkStart w:id="111" w:name="_Toc22961"/>
      <w:r>
        <w:rPr>
          <w:rFonts w:hint="eastAsia" w:ascii="宋体" w:hAnsi="宋体" w:eastAsia="宋体" w:cs="宋体"/>
          <w:color w:val="000000" w:themeColor="text1"/>
          <w:sz w:val="24"/>
          <w:highlight w:val="none"/>
          <w14:textFill>
            <w14:solidFill>
              <w14:schemeClr w14:val="tx1"/>
            </w14:solidFill>
          </w14:textFill>
        </w:rPr>
        <w:t>（4）磋商文件要求提供的其他响应文件。</w:t>
      </w:r>
      <w:bookmarkEnd w:id="107"/>
      <w:bookmarkEnd w:id="108"/>
      <w:bookmarkEnd w:id="109"/>
      <w:bookmarkEnd w:id="110"/>
      <w:bookmarkEnd w:id="111"/>
    </w:p>
    <w:p w14:paraId="2DAD255D">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我单位符合《中华人民共和国政府采购法》第二十二条的规定，符合本项目供应商资格要求。</w:t>
      </w:r>
    </w:p>
    <w:p w14:paraId="1C76146C">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我单位按照磋商文件的要求编制响应文件，并对其提交的响应文件的真实性、合法性承担法律责任。</w:t>
      </w:r>
    </w:p>
    <w:p w14:paraId="6FA85B84">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供应商兹宣布同意如下: </w:t>
      </w:r>
    </w:p>
    <w:p w14:paraId="06A7BAD7">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mc:AlternateContent>
          <mc:Choice Requires="wps">
            <w:drawing>
              <wp:anchor distT="0" distB="0" distL="90805" distR="90805" simplePos="0" relativeHeight="251663360" behindDoc="0" locked="0" layoutInCell="0" allowOverlap="1">
                <wp:simplePos x="0" y="0"/>
                <wp:positionH relativeFrom="column">
                  <wp:posOffset>3133725</wp:posOffset>
                </wp:positionH>
                <wp:positionV relativeFrom="paragraph">
                  <wp:posOffset>297180</wp:posOffset>
                </wp:positionV>
                <wp:extent cx="635" cy="635"/>
                <wp:effectExtent l="0" t="0" r="0" b="0"/>
                <wp:wrapNone/>
                <wp:docPr id="6" name="直接连接符 7"/>
                <wp:cNvGraphicFramePr/>
                <a:graphic xmlns:a="http://schemas.openxmlformats.org/drawingml/2006/main">
                  <a:graphicData uri="http://schemas.microsoft.com/office/word/2010/wordprocessingShape">
                    <wps:wsp>
                      <wps:cNvCnPr/>
                      <wps:spPr bwMode="auto">
                        <a:xfrm>
                          <a:off x="0" y="0"/>
                          <a:ext cx="762" cy="761"/>
                        </a:xfrm>
                        <a:prstGeom prst="line">
                          <a:avLst/>
                        </a:prstGeom>
                        <a:solidFill>
                          <a:srgbClr val="FFFFFF"/>
                        </a:solidFill>
                        <a:ln w="9525" cap="flat" cmpd="sng">
                          <a:solidFill>
                            <a:srgbClr val="000000"/>
                          </a:solidFill>
                          <a:prstDash val="solid"/>
                          <a:miter/>
                        </a:ln>
                      </wps:spPr>
                      <wps:bodyPr rot="0">
                        <a:noAutofit/>
                      </wps:bodyPr>
                    </wps:wsp>
                  </a:graphicData>
                </a:graphic>
              </wp:anchor>
            </w:drawing>
          </mc:Choice>
          <mc:Fallback>
            <w:pict>
              <v:line id="直接连接符 7" o:spid="_x0000_s1026" o:spt="20" style="position:absolute;left:0pt;margin-left:246.75pt;margin-top:23.4pt;height:0.05pt;width:0.05pt;z-index:251663360;mso-width-relative:page;mso-height-relative:page;" fillcolor="#FFFFFF" filled="t" stroked="t" coordsize="21600,21600" o:allowincell="f" o:gfxdata="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Nyzo2AAAAAkBAAAPAAAAAAAAAAEAIAAAACIAAABkcnMvZG93bnJldi54bWxQSwEC&#10;FAAUAAAACACHTuJAwlf10fQBAADwAwAADgAAAAAAAAABACAAAAAnAQAAZHJzL2Uyb0RvYy54bWxQ&#10;SwUGAAAAAAYABgBZAQAAjQUAAAAA&#10;">
                <v:fill on="t" focussize="0,0"/>
                <v:stroke color="#000000" joinstyle="miter"/>
                <v:imagedata o:title=""/>
                <o:lock v:ext="edit" aspectratio="f"/>
              </v:line>
            </w:pict>
          </mc:Fallback>
        </mc:AlternateContent>
      </w:r>
      <w:r>
        <w:rPr>
          <w:rFonts w:hint="eastAsia" w:ascii="宋体" w:hAnsi="宋体" w:eastAsia="宋体" w:cs="宋体"/>
          <w:color w:val="000000" w:themeColor="text1"/>
          <w:sz w:val="24"/>
          <w:highlight w:val="none"/>
          <w14:textFill>
            <w14:solidFill>
              <w14:schemeClr w14:val="tx1"/>
            </w14:solidFill>
          </w14:textFill>
        </w:rPr>
        <mc:AlternateContent>
          <mc:Choice Requires="wps">
            <w:drawing>
              <wp:anchor distT="0" distB="0" distL="90805" distR="90805" simplePos="0" relativeHeight="251664384" behindDoc="0" locked="0" layoutInCell="0" allowOverlap="1">
                <wp:simplePos x="0" y="0"/>
                <wp:positionH relativeFrom="column">
                  <wp:posOffset>2800350</wp:posOffset>
                </wp:positionH>
                <wp:positionV relativeFrom="paragraph">
                  <wp:posOffset>594360</wp:posOffset>
                </wp:positionV>
                <wp:extent cx="635" cy="635"/>
                <wp:effectExtent l="0" t="0" r="0" b="0"/>
                <wp:wrapNone/>
                <wp:docPr id="7" name="直接连接符 8"/>
                <wp:cNvGraphicFramePr/>
                <a:graphic xmlns:a="http://schemas.openxmlformats.org/drawingml/2006/main">
                  <a:graphicData uri="http://schemas.microsoft.com/office/word/2010/wordprocessingShape">
                    <wps:wsp>
                      <wps:cNvCnPr/>
                      <wps:spPr bwMode="auto">
                        <a:xfrm>
                          <a:off x="0" y="0"/>
                          <a:ext cx="762" cy="761"/>
                        </a:xfrm>
                        <a:prstGeom prst="line">
                          <a:avLst/>
                        </a:prstGeom>
                        <a:solidFill>
                          <a:srgbClr val="FFFFFF"/>
                        </a:solidFill>
                        <a:ln w="9525" cap="flat" cmpd="sng">
                          <a:solidFill>
                            <a:srgbClr val="000000"/>
                          </a:solidFill>
                          <a:prstDash val="solid"/>
                          <a:miter/>
                        </a:ln>
                      </wps:spPr>
                      <wps:bodyPr rot="0">
                        <a:noAutofit/>
                      </wps:bodyPr>
                    </wps:wsp>
                  </a:graphicData>
                </a:graphic>
              </wp:anchor>
            </w:drawing>
          </mc:Choice>
          <mc:Fallback>
            <w:pict>
              <v:line id="直接连接符 8" o:spid="_x0000_s1026" o:spt="20" style="position:absolute;left:0pt;margin-left:220.5pt;margin-top:46.8pt;height:0.05pt;width:0.05pt;z-index:251664384;mso-width-relative:page;mso-height-relative:page;" fillcolor="#FFFFFF" filled="t" stroked="t" coordsize="21600,21600" o:allowincell="f" o:gfxdata="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x+j9gAAAAJAQAADwAAAAAAAAABACAAAAAiAAAAZHJzL2Rvd25yZXYueG1sUEsB&#10;AhQAFAAAAAgAh07iQDq1wrb1AQAA8AMAAA4AAAAAAAAAAQAgAAAAJwEAAGRycy9lMm9Eb2MueG1s&#10;UEsFBgAAAAAGAAYAWQEAAI4FAAAAAA==&#10;">
                <v:fill on="t" focussize="0,0"/>
                <v:stroke color="#000000" joinstyle="miter"/>
                <v:imagedata o:title=""/>
                <o:lock v:ext="edit" aspectratio="f"/>
              </v:line>
            </w:pict>
          </mc:Fallback>
        </mc:AlternateContent>
      </w:r>
      <w:r>
        <w:rPr>
          <w:rFonts w:hint="eastAsia" w:ascii="宋体" w:hAnsi="宋体" w:eastAsia="宋体" w:cs="宋体"/>
          <w:color w:val="000000" w:themeColor="text1"/>
          <w:sz w:val="24"/>
          <w:highlight w:val="none"/>
          <w14:textFill>
            <w14:solidFill>
              <w14:schemeClr w14:val="tx1"/>
            </w14:solidFill>
          </w14:textFill>
        </w:rPr>
        <w:t>一、完全承担根据《磋商文件》规定完成合同的责任和义务（如有偏离，将全部填写在偏离表中）。</w:t>
      </w:r>
    </w:p>
    <w:p w14:paraId="59DAFAE8">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mc:AlternateContent>
          <mc:Choice Requires="wps">
            <w:drawing>
              <wp:anchor distT="0" distB="0" distL="90805" distR="90805" simplePos="0" relativeHeight="251664384" behindDoc="0" locked="0" layoutInCell="0" allowOverlap="1">
                <wp:simplePos x="0" y="0"/>
                <wp:positionH relativeFrom="column">
                  <wp:posOffset>2667000</wp:posOffset>
                </wp:positionH>
                <wp:positionV relativeFrom="paragraph">
                  <wp:posOffset>247650</wp:posOffset>
                </wp:positionV>
                <wp:extent cx="635" cy="635"/>
                <wp:effectExtent l="0" t="0" r="0" b="0"/>
                <wp:wrapNone/>
                <wp:docPr id="8" name="直接连接符 9"/>
                <wp:cNvGraphicFramePr/>
                <a:graphic xmlns:a="http://schemas.openxmlformats.org/drawingml/2006/main">
                  <a:graphicData uri="http://schemas.microsoft.com/office/word/2010/wordprocessingShape">
                    <wps:wsp>
                      <wps:cNvCnPr/>
                      <wps:spPr bwMode="auto">
                        <a:xfrm>
                          <a:off x="0" y="0"/>
                          <a:ext cx="762" cy="761"/>
                        </a:xfrm>
                        <a:prstGeom prst="line">
                          <a:avLst/>
                        </a:prstGeom>
                        <a:solidFill>
                          <a:srgbClr val="FFFFFF"/>
                        </a:solidFill>
                        <a:ln w="9525" cap="flat" cmpd="sng">
                          <a:solidFill>
                            <a:srgbClr val="000000"/>
                          </a:solidFill>
                          <a:prstDash val="solid"/>
                          <a:miter/>
                        </a:ln>
                      </wps:spPr>
                      <wps:bodyPr rot="0">
                        <a:noAutofit/>
                      </wps:bodyPr>
                    </wps:wsp>
                  </a:graphicData>
                </a:graphic>
              </wp:anchor>
            </w:drawing>
          </mc:Choice>
          <mc:Fallback>
            <w:pict>
              <v:line id="直接连接符 9" o:spid="_x0000_s1026" o:spt="20" style="position:absolute;left:0pt;margin-left:210pt;margin-top:19.5pt;height:0.05pt;width:0.05pt;z-index:251664384;mso-width-relative:page;mso-height-relative:page;" fillcolor="#FFFFFF" filled="t" stroked="t" coordsize="21600,21600" o:allowincell="f" o:gfxdata="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Jg8dTWAAAACQEAAA8AAAAAAAAAAQAgAAAAIgAAAGRycy9kb3ducmV2LnhtbFBLAQIU&#10;ABQAAAAIAIdO4kAC8gNQ9QEAAPADAAAOAAAAAAAAAAEAIAAAACUBAABkcnMvZTJvRG9jLnhtbFBL&#10;BQYAAAAABgAGAFkBAACMBQAAAAA=&#10;">
                <v:fill on="t" focussize="0,0"/>
                <v:stroke color="#000000" joinstyle="miter"/>
                <v:imagedata o:title=""/>
                <o:lock v:ext="edit" aspectratio="f"/>
              </v:line>
            </w:pict>
          </mc:Fallback>
        </mc:AlternateContent>
      </w:r>
      <w:r>
        <w:rPr>
          <w:rFonts w:hint="eastAsia" w:ascii="宋体" w:hAnsi="宋体" w:eastAsia="宋体" w:cs="宋体"/>
          <w:color w:val="000000" w:themeColor="text1"/>
          <w:sz w:val="24"/>
          <w:highlight w:val="none"/>
          <w14:textFill>
            <w14:solidFill>
              <w14:schemeClr w14:val="tx1"/>
            </w14:solidFill>
          </w14:textFill>
        </w:rPr>
        <mc:AlternateContent>
          <mc:Choice Requires="wps">
            <w:drawing>
              <wp:anchor distT="0" distB="0" distL="90805" distR="90805" simplePos="0" relativeHeight="251665408" behindDoc="0" locked="0" layoutInCell="0" allowOverlap="1">
                <wp:simplePos x="0" y="0"/>
                <wp:positionH relativeFrom="column">
                  <wp:posOffset>2667000</wp:posOffset>
                </wp:positionH>
                <wp:positionV relativeFrom="paragraph">
                  <wp:posOffset>247650</wp:posOffset>
                </wp:positionV>
                <wp:extent cx="635" cy="635"/>
                <wp:effectExtent l="0" t="0" r="0" b="0"/>
                <wp:wrapNone/>
                <wp:docPr id="9" name="直接连接符 10"/>
                <wp:cNvGraphicFramePr/>
                <a:graphic xmlns:a="http://schemas.openxmlformats.org/drawingml/2006/main">
                  <a:graphicData uri="http://schemas.microsoft.com/office/word/2010/wordprocessingShape">
                    <wps:wsp>
                      <wps:cNvCnPr/>
                      <wps:spPr bwMode="auto">
                        <a:xfrm>
                          <a:off x="0" y="0"/>
                          <a:ext cx="762" cy="761"/>
                        </a:xfrm>
                        <a:prstGeom prst="line">
                          <a:avLst/>
                        </a:prstGeom>
                        <a:solidFill>
                          <a:srgbClr val="FFFFFF"/>
                        </a:solidFill>
                        <a:ln w="9525" cap="flat" cmpd="sng">
                          <a:solidFill>
                            <a:srgbClr val="000000"/>
                          </a:solidFill>
                          <a:prstDash val="solid"/>
                          <a:miter/>
                        </a:ln>
                      </wps:spPr>
                      <wps:bodyPr rot="0">
                        <a:noAutofit/>
                      </wps:bodyPr>
                    </wps:wsp>
                  </a:graphicData>
                </a:graphic>
              </wp:anchor>
            </w:drawing>
          </mc:Choice>
          <mc:Fallback>
            <w:pict>
              <v:line id="直接连接符 10" o:spid="_x0000_s1026" o:spt="20" style="position:absolute;left:0pt;margin-left:210pt;margin-top:19.5pt;height:0.05pt;width:0.05pt;z-index:251665408;mso-width-relative:page;mso-height-relative:page;" fillcolor="#FFFFFF" filled="t" stroked="t" coordsize="21600,21600" o:allowincell="f" o:gfxdata="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Jg8dTWAAAACQEAAA8AAAAAAAAAAQAgAAAAIgAAAGRycy9kb3ducmV2LnhtbFBLAQIU&#10;ABQAAAAIAIdO4kDcPRdL9QEAAPEDAAAOAAAAAAAAAAEAIAAAACUBAABkcnMvZTJvRG9jLnhtbFBL&#10;BQYAAAAABgAGAFkBAACMBQAAAAA=&#10;">
                <v:fill on="t" focussize="0,0"/>
                <v:stroke color="#000000" joinstyle="miter"/>
                <v:imagedata o:title=""/>
                <o:lock v:ext="edit" aspectratio="f"/>
              </v:line>
            </w:pict>
          </mc:Fallback>
        </mc:AlternateContent>
      </w:r>
      <w:r>
        <w:rPr>
          <w:rFonts w:hint="eastAsia" w:ascii="宋体" w:hAnsi="宋体" w:eastAsia="宋体" w:cs="宋体"/>
          <w:color w:val="000000" w:themeColor="text1"/>
          <w:sz w:val="24"/>
          <w:highlight w:val="none"/>
          <w14:textFill>
            <w14:solidFill>
              <w14:schemeClr w14:val="tx1"/>
            </w14:solidFill>
          </w14:textFill>
        </w:rPr>
        <w:t>二、保证所提供的响应文件及所有材料的真实、合法、有效，并对其负责。</w:t>
      </w:r>
    </w:p>
    <w:p w14:paraId="07A8CCBD">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三、已详细审核竞争性磋商文件（含竞争性磋商文件的澄清或者修改），本供应商完全理解并同意放弃对这方面不明及误解的权利。</w:t>
      </w:r>
    </w:p>
    <w:p w14:paraId="3BD4D49C">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四、所供服务保证符合国家有关产品质量、性能和安全标准，无权利瑕疵。</w:t>
      </w:r>
    </w:p>
    <w:p w14:paraId="554E5277">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五、投标有效期为45日。</w:t>
      </w:r>
    </w:p>
    <w:p w14:paraId="4B28A239">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六、同意向贵方提供贵方可能要求的与本次磋商采购有关的任何证据或资料。</w:t>
      </w:r>
    </w:p>
    <w:p w14:paraId="013E4093">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七、完全理解贵方不一定要接受最低的报价或收到的任何报价。</w:t>
      </w:r>
    </w:p>
    <w:p w14:paraId="776A1731">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w:t>
      </w:r>
      <w:r>
        <w:rPr>
          <w:rFonts w:hint="eastAsia" w:ascii="宋体" w:hAnsi="宋体" w:cs="宋体"/>
          <w:color w:val="000000" w:themeColor="text1"/>
          <w:sz w:val="24"/>
          <w:highlight w:val="none"/>
          <w:lang w:eastAsia="zh-CN"/>
          <w14:textFill>
            <w14:solidFill>
              <w14:schemeClr w14:val="tx1"/>
            </w14:solidFill>
          </w14:textFill>
        </w:rPr>
        <w:t>南京信诺工程造价咨询有限责任公司</w:t>
      </w:r>
      <w:r>
        <w:rPr>
          <w:rFonts w:hint="eastAsia" w:ascii="宋体" w:hAnsi="宋体" w:eastAsia="宋体" w:cs="宋体"/>
          <w:color w:val="000000" w:themeColor="text1"/>
          <w:sz w:val="24"/>
          <w:highlight w:val="none"/>
          <w14:textFill>
            <w14:solidFill>
              <w14:schemeClr w14:val="tx1"/>
            </w14:solidFill>
          </w14:textFill>
        </w:rPr>
        <w:t>有权将我单位本项目的《磋商报价表》予以公示，公示的方式由</w:t>
      </w:r>
      <w:r>
        <w:rPr>
          <w:rFonts w:hint="eastAsia" w:ascii="宋体" w:hAnsi="宋体" w:cs="宋体"/>
          <w:color w:val="000000" w:themeColor="text1"/>
          <w:sz w:val="24"/>
          <w:highlight w:val="none"/>
          <w:lang w:eastAsia="zh-CN"/>
          <w14:textFill>
            <w14:solidFill>
              <w14:schemeClr w14:val="tx1"/>
            </w14:solidFill>
          </w14:textFill>
        </w:rPr>
        <w:t>南京信诺工程造价咨询有限责任公司</w:t>
      </w:r>
      <w:r>
        <w:rPr>
          <w:rFonts w:hint="eastAsia" w:ascii="宋体" w:hAnsi="宋体" w:eastAsia="宋体" w:cs="宋体"/>
          <w:color w:val="000000" w:themeColor="text1"/>
          <w:sz w:val="24"/>
          <w:highlight w:val="none"/>
          <w14:textFill>
            <w14:solidFill>
              <w14:schemeClr w14:val="tx1"/>
            </w14:solidFill>
          </w14:textFill>
        </w:rPr>
        <w:t>确定。</w:t>
      </w:r>
    </w:p>
    <w:p w14:paraId="43DD3E8C">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九、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7267F226">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十、同意在收到成交通知书后，按照有关规定支付代理服务费。</w:t>
      </w:r>
    </w:p>
    <w:p w14:paraId="1885B0EF">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1906C341">
      <w:pPr>
        <w:pStyle w:val="60"/>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1A639B32">
      <w:pPr>
        <w:pStyle w:val="55"/>
        <w:pageBreakBefore w:val="0"/>
        <w:widowControl/>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供应商（公章）：</w:t>
      </w:r>
    </w:p>
    <w:p w14:paraId="298627E8">
      <w:pPr>
        <w:pStyle w:val="55"/>
        <w:pageBreakBefore w:val="0"/>
        <w:widowControl/>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6AA5CB46">
      <w:pPr>
        <w:pStyle w:val="55"/>
        <w:pageBreakBefore w:val="0"/>
        <w:widowControl/>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法定代表人(负责人)或授权代表（签字或盖章）：  </w:t>
      </w:r>
    </w:p>
    <w:p w14:paraId="50EB8355">
      <w:pPr>
        <w:pStyle w:val="55"/>
        <w:pageBreakBefore w:val="0"/>
        <w:widowControl/>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7DCF62B3">
      <w:pPr>
        <w:pStyle w:val="55"/>
        <w:pageBreakBefore w:val="0"/>
        <w:widowControl/>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p w14:paraId="4021FA48">
      <w:pPr>
        <w:pStyle w:val="55"/>
        <w:pageBreakBefore w:val="0"/>
        <w:widowControl/>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49154863">
      <w:pPr>
        <w:pStyle w:val="55"/>
        <w:pageBreakBefore w:val="0"/>
        <w:widowControl/>
        <w:spacing w:line="360" w:lineRule="auto"/>
        <w:ind w:firstLine="47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66A99D9F">
      <w:pPr>
        <w:pStyle w:val="55"/>
        <w:pageBreakBefore w:val="0"/>
        <w:widowControl/>
        <w:spacing w:line="360" w:lineRule="auto"/>
        <w:jc w:val="both"/>
        <w:rPr>
          <w:rStyle w:val="230"/>
          <w:rFonts w:hint="eastAsia" w:ascii="宋体" w:hAnsi="宋体" w:eastAsia="宋体" w:cs="宋体"/>
          <w:color w:val="000000" w:themeColor="text1"/>
          <w:sz w:val="24"/>
          <w:szCs w:val="24"/>
          <w:highlight w:val="none"/>
          <w14:textFill>
            <w14:solidFill>
              <w14:schemeClr w14:val="tx1"/>
            </w14:solidFill>
          </w14:textFill>
        </w:rPr>
      </w:pPr>
    </w:p>
    <w:p w14:paraId="372C2494">
      <w:pPr>
        <w:pStyle w:val="55"/>
        <w:pageBreakBefore w:val="0"/>
        <w:widowControl/>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p>
    <w:p w14:paraId="43BC002F">
      <w:pPr>
        <w:pStyle w:val="62"/>
        <w:rPr>
          <w:rStyle w:val="230"/>
          <w:rFonts w:hint="eastAsia" w:ascii="宋体" w:hAnsi="宋体" w:eastAsia="宋体" w:cs="宋体"/>
          <w:color w:val="000000" w:themeColor="text1"/>
          <w:sz w:val="24"/>
          <w:szCs w:val="24"/>
          <w:highlight w:val="none"/>
          <w14:textFill>
            <w14:solidFill>
              <w14:schemeClr w14:val="tx1"/>
            </w14:solidFill>
          </w14:textFill>
        </w:rPr>
      </w:pPr>
    </w:p>
    <w:p w14:paraId="6E0359B8">
      <w:pPr>
        <w:pStyle w:val="72"/>
        <w:rPr>
          <w:rStyle w:val="230"/>
          <w:rFonts w:hint="eastAsia" w:ascii="宋体" w:hAnsi="宋体" w:eastAsia="宋体" w:cs="宋体"/>
          <w:color w:val="000000" w:themeColor="text1"/>
          <w:sz w:val="24"/>
          <w:szCs w:val="24"/>
          <w:highlight w:val="none"/>
          <w14:textFill>
            <w14:solidFill>
              <w14:schemeClr w14:val="tx1"/>
            </w14:solidFill>
          </w14:textFill>
        </w:rPr>
      </w:pPr>
    </w:p>
    <w:p w14:paraId="0E366D90">
      <w:pPr>
        <w:pStyle w:val="55"/>
        <w:rPr>
          <w:rStyle w:val="230"/>
          <w:rFonts w:hint="eastAsia" w:ascii="宋体" w:hAnsi="宋体" w:eastAsia="宋体" w:cs="宋体"/>
          <w:color w:val="000000" w:themeColor="text1"/>
          <w:sz w:val="24"/>
          <w:szCs w:val="24"/>
          <w:highlight w:val="none"/>
          <w14:textFill>
            <w14:solidFill>
              <w14:schemeClr w14:val="tx1"/>
            </w14:solidFill>
          </w14:textFill>
        </w:rPr>
      </w:pPr>
    </w:p>
    <w:p w14:paraId="249C111B">
      <w:pPr>
        <w:pStyle w:val="62"/>
        <w:rPr>
          <w:rStyle w:val="230"/>
          <w:rFonts w:hint="eastAsia" w:ascii="宋体" w:hAnsi="宋体" w:eastAsia="宋体" w:cs="宋体"/>
          <w:color w:val="000000" w:themeColor="text1"/>
          <w:sz w:val="24"/>
          <w:szCs w:val="24"/>
          <w:highlight w:val="none"/>
          <w14:textFill>
            <w14:solidFill>
              <w14:schemeClr w14:val="tx1"/>
            </w14:solidFill>
          </w14:textFill>
        </w:rPr>
      </w:pPr>
    </w:p>
    <w:p w14:paraId="19B4AB4F">
      <w:pPr>
        <w:pStyle w:val="72"/>
        <w:rPr>
          <w:rStyle w:val="230"/>
          <w:rFonts w:hint="eastAsia" w:ascii="宋体" w:hAnsi="宋体" w:eastAsia="宋体" w:cs="宋体"/>
          <w:color w:val="000000" w:themeColor="text1"/>
          <w:sz w:val="24"/>
          <w:szCs w:val="24"/>
          <w:highlight w:val="none"/>
          <w14:textFill>
            <w14:solidFill>
              <w14:schemeClr w14:val="tx1"/>
            </w14:solidFill>
          </w14:textFill>
        </w:rPr>
      </w:pPr>
    </w:p>
    <w:p w14:paraId="505B82CA">
      <w:pPr>
        <w:pStyle w:val="55"/>
        <w:rPr>
          <w:rStyle w:val="230"/>
          <w:rFonts w:hint="eastAsia" w:ascii="宋体" w:hAnsi="宋体" w:eastAsia="宋体" w:cs="宋体"/>
          <w:color w:val="000000" w:themeColor="text1"/>
          <w:sz w:val="24"/>
          <w:szCs w:val="24"/>
          <w:highlight w:val="none"/>
          <w14:textFill>
            <w14:solidFill>
              <w14:schemeClr w14:val="tx1"/>
            </w14:solidFill>
          </w14:textFill>
        </w:rPr>
      </w:pPr>
    </w:p>
    <w:p w14:paraId="6FF651F0">
      <w:pPr>
        <w:pStyle w:val="62"/>
        <w:rPr>
          <w:rStyle w:val="230"/>
          <w:rFonts w:hint="eastAsia" w:ascii="宋体" w:hAnsi="宋体" w:eastAsia="宋体" w:cs="宋体"/>
          <w:color w:val="000000" w:themeColor="text1"/>
          <w:sz w:val="24"/>
          <w:szCs w:val="24"/>
          <w:highlight w:val="none"/>
          <w14:textFill>
            <w14:solidFill>
              <w14:schemeClr w14:val="tx1"/>
            </w14:solidFill>
          </w14:textFill>
        </w:rPr>
      </w:pPr>
    </w:p>
    <w:p w14:paraId="106081A4">
      <w:pPr>
        <w:pStyle w:val="72"/>
        <w:rPr>
          <w:rStyle w:val="230"/>
          <w:rFonts w:hint="eastAsia" w:ascii="宋体" w:hAnsi="宋体" w:eastAsia="宋体" w:cs="宋体"/>
          <w:color w:val="000000" w:themeColor="text1"/>
          <w:sz w:val="24"/>
          <w:szCs w:val="24"/>
          <w:highlight w:val="none"/>
          <w14:textFill>
            <w14:solidFill>
              <w14:schemeClr w14:val="tx1"/>
            </w14:solidFill>
          </w14:textFill>
        </w:rPr>
      </w:pPr>
    </w:p>
    <w:p w14:paraId="3E3DE2D6">
      <w:pPr>
        <w:pStyle w:val="55"/>
        <w:rPr>
          <w:rStyle w:val="230"/>
          <w:rFonts w:hint="eastAsia" w:ascii="宋体" w:hAnsi="宋体" w:eastAsia="宋体" w:cs="宋体"/>
          <w:color w:val="000000" w:themeColor="text1"/>
          <w:sz w:val="24"/>
          <w:szCs w:val="24"/>
          <w:highlight w:val="none"/>
          <w14:textFill>
            <w14:solidFill>
              <w14:schemeClr w14:val="tx1"/>
            </w14:solidFill>
          </w14:textFill>
        </w:rPr>
      </w:pPr>
    </w:p>
    <w:p w14:paraId="07C92E43">
      <w:pPr>
        <w:pStyle w:val="62"/>
        <w:rPr>
          <w:rStyle w:val="230"/>
          <w:rFonts w:hint="eastAsia" w:ascii="宋体" w:hAnsi="宋体" w:eastAsia="宋体" w:cs="宋体"/>
          <w:color w:val="000000" w:themeColor="text1"/>
          <w:sz w:val="24"/>
          <w:szCs w:val="24"/>
          <w:highlight w:val="none"/>
          <w14:textFill>
            <w14:solidFill>
              <w14:schemeClr w14:val="tx1"/>
            </w14:solidFill>
          </w14:textFill>
        </w:rPr>
      </w:pPr>
    </w:p>
    <w:p w14:paraId="30D95567">
      <w:pPr>
        <w:pStyle w:val="72"/>
        <w:rPr>
          <w:rStyle w:val="230"/>
          <w:rFonts w:hint="eastAsia" w:ascii="宋体" w:hAnsi="宋体" w:eastAsia="宋体" w:cs="宋体"/>
          <w:color w:val="000000" w:themeColor="text1"/>
          <w:sz w:val="24"/>
          <w:szCs w:val="24"/>
          <w:highlight w:val="none"/>
          <w14:textFill>
            <w14:solidFill>
              <w14:schemeClr w14:val="tx1"/>
            </w14:solidFill>
          </w14:textFill>
        </w:rPr>
      </w:pPr>
    </w:p>
    <w:p w14:paraId="7DEC3765">
      <w:pPr>
        <w:pStyle w:val="55"/>
        <w:rPr>
          <w:rStyle w:val="230"/>
          <w:rFonts w:hint="eastAsia" w:ascii="宋体" w:hAnsi="宋体" w:eastAsia="宋体" w:cs="宋体"/>
          <w:color w:val="000000" w:themeColor="text1"/>
          <w:sz w:val="24"/>
          <w:szCs w:val="24"/>
          <w:highlight w:val="none"/>
          <w14:textFill>
            <w14:solidFill>
              <w14:schemeClr w14:val="tx1"/>
            </w14:solidFill>
          </w14:textFill>
        </w:rPr>
      </w:pPr>
    </w:p>
    <w:p w14:paraId="1F326B0E">
      <w:pPr>
        <w:pStyle w:val="62"/>
        <w:rPr>
          <w:rStyle w:val="230"/>
          <w:rFonts w:hint="eastAsia" w:ascii="宋体" w:hAnsi="宋体" w:eastAsia="宋体" w:cs="宋体"/>
          <w:color w:val="000000" w:themeColor="text1"/>
          <w:sz w:val="24"/>
          <w:szCs w:val="24"/>
          <w:highlight w:val="none"/>
          <w14:textFill>
            <w14:solidFill>
              <w14:schemeClr w14:val="tx1"/>
            </w14:solidFill>
          </w14:textFill>
        </w:rPr>
      </w:pPr>
    </w:p>
    <w:p w14:paraId="1EE2E84B">
      <w:pPr>
        <w:pStyle w:val="72"/>
        <w:rPr>
          <w:rStyle w:val="230"/>
          <w:rFonts w:hint="eastAsia" w:ascii="宋体" w:hAnsi="宋体" w:eastAsia="宋体" w:cs="宋体"/>
          <w:color w:val="000000" w:themeColor="text1"/>
          <w:sz w:val="24"/>
          <w:szCs w:val="24"/>
          <w:highlight w:val="none"/>
          <w14:textFill>
            <w14:solidFill>
              <w14:schemeClr w14:val="tx1"/>
            </w14:solidFill>
          </w14:textFill>
        </w:rPr>
      </w:pPr>
    </w:p>
    <w:p w14:paraId="25E7D50B">
      <w:pPr>
        <w:pStyle w:val="55"/>
        <w:rPr>
          <w:rStyle w:val="230"/>
          <w:rFonts w:hint="eastAsia" w:ascii="宋体" w:hAnsi="宋体" w:eastAsia="宋体" w:cs="宋体"/>
          <w:color w:val="000000" w:themeColor="text1"/>
          <w:sz w:val="24"/>
          <w:szCs w:val="24"/>
          <w:highlight w:val="none"/>
          <w14:textFill>
            <w14:solidFill>
              <w14:schemeClr w14:val="tx1"/>
            </w14:solidFill>
          </w14:textFill>
        </w:rPr>
      </w:pPr>
    </w:p>
    <w:p w14:paraId="09B7A3A9">
      <w:pPr>
        <w:pStyle w:val="62"/>
        <w:rPr>
          <w:rStyle w:val="230"/>
          <w:rFonts w:hint="eastAsia" w:ascii="宋体" w:hAnsi="宋体" w:eastAsia="宋体" w:cs="宋体"/>
          <w:color w:val="000000" w:themeColor="text1"/>
          <w:sz w:val="24"/>
          <w:szCs w:val="24"/>
          <w:highlight w:val="none"/>
          <w14:textFill>
            <w14:solidFill>
              <w14:schemeClr w14:val="tx1"/>
            </w14:solidFill>
          </w14:textFill>
        </w:rPr>
      </w:pPr>
    </w:p>
    <w:p w14:paraId="4434AA51">
      <w:pPr>
        <w:pStyle w:val="72"/>
        <w:rPr>
          <w:rStyle w:val="230"/>
          <w:rFonts w:hint="eastAsia" w:ascii="宋体" w:hAnsi="宋体" w:eastAsia="宋体" w:cs="宋体"/>
          <w:color w:val="000000" w:themeColor="text1"/>
          <w:sz w:val="24"/>
          <w:szCs w:val="24"/>
          <w:highlight w:val="none"/>
          <w14:textFill>
            <w14:solidFill>
              <w14:schemeClr w14:val="tx1"/>
            </w14:solidFill>
          </w14:textFill>
        </w:rPr>
      </w:pPr>
    </w:p>
    <w:p w14:paraId="577AC216">
      <w:pPr>
        <w:pStyle w:val="55"/>
        <w:rPr>
          <w:rStyle w:val="230"/>
          <w:rFonts w:hint="eastAsia" w:ascii="宋体" w:hAnsi="宋体" w:eastAsia="宋体" w:cs="宋体"/>
          <w:color w:val="000000" w:themeColor="text1"/>
          <w:sz w:val="24"/>
          <w:szCs w:val="24"/>
          <w:highlight w:val="none"/>
          <w14:textFill>
            <w14:solidFill>
              <w14:schemeClr w14:val="tx1"/>
            </w14:solidFill>
          </w14:textFill>
        </w:rPr>
      </w:pPr>
    </w:p>
    <w:p w14:paraId="372F21EE">
      <w:pPr>
        <w:pStyle w:val="72"/>
        <w:ind w:firstLine="0"/>
        <w:rPr>
          <w:rFonts w:hint="eastAsia"/>
        </w:rPr>
      </w:pPr>
    </w:p>
    <w:p w14:paraId="12701401">
      <w:pPr>
        <w:pStyle w:val="55"/>
        <w:rPr>
          <w:rFonts w:hint="eastAsia"/>
        </w:rPr>
      </w:pPr>
    </w:p>
    <w:p w14:paraId="477E3D93">
      <w:pPr>
        <w:pStyle w:val="55"/>
        <w:pageBreakBefore w:val="0"/>
        <w:widowControl/>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Style w:val="230"/>
          <w:rFonts w:hint="eastAsia" w:ascii="宋体" w:hAnsi="宋体" w:eastAsia="宋体" w:cs="宋体"/>
          <w:color w:val="000000" w:themeColor="text1"/>
          <w:sz w:val="24"/>
          <w:szCs w:val="24"/>
          <w:highlight w:val="none"/>
          <w14:textFill>
            <w14:solidFill>
              <w14:schemeClr w14:val="tx1"/>
            </w14:solidFill>
          </w14:textFill>
        </w:rPr>
        <w:t>7、法人授权委托书</w:t>
      </w:r>
    </w:p>
    <w:p w14:paraId="08373BC5">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委托人（全称）：</w:t>
      </w:r>
    </w:p>
    <w:p w14:paraId="5D59007B">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p>
    <w:p w14:paraId="38D52DB2">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               </w:t>
      </w:r>
    </w:p>
    <w:p w14:paraId="7B38D6D9">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法人营业执照注册号（统一社会信用代码）：</w:t>
      </w:r>
    </w:p>
    <w:p w14:paraId="5C094597">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74A60E00">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受托人：                  先生（女士）  </w:t>
      </w:r>
    </w:p>
    <w:p w14:paraId="75D34D50">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联系电话：                     </w:t>
      </w:r>
    </w:p>
    <w:p w14:paraId="2B7B0953">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w:t>
      </w:r>
    </w:p>
    <w:p w14:paraId="41D689D0">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3E150BAC">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兹委托（           ）全权代表我企业（公司）参与</w:t>
      </w:r>
      <w:r>
        <w:rPr>
          <w:rFonts w:hint="eastAsia" w:ascii="宋体" w:hAnsi="宋体" w:cs="宋体"/>
          <w:color w:val="000000" w:themeColor="text1"/>
          <w:sz w:val="24"/>
          <w:highlight w:val="none"/>
          <w:lang w:eastAsia="zh-CN"/>
          <w14:textFill>
            <w14:solidFill>
              <w14:schemeClr w14:val="tx1"/>
            </w14:solidFill>
          </w14:textFill>
        </w:rPr>
        <w:t>2024年度新沂市骆马湖片区外（时集镇白石村）省级宜居宜业和美乡村工程</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JSZC-320381-NJXN-C2024-0027</w:t>
      </w:r>
      <w:r>
        <w:rPr>
          <w:rFonts w:hint="eastAsia" w:ascii="宋体" w:hAnsi="宋体" w:eastAsia="宋体" w:cs="宋体"/>
          <w:color w:val="000000" w:themeColor="text1"/>
          <w:sz w:val="24"/>
          <w:highlight w:val="none"/>
          <w14:textFill>
            <w14:solidFill>
              <w14:schemeClr w14:val="tx1"/>
            </w14:solidFill>
          </w14:textFill>
        </w:rPr>
        <w:t>]的磋商活动。（           ）以我单位名义所为的行为及签署的文件，我单位均予以认可。有关法律责任均由我单位承担。（           ）无转委托权。</w:t>
      </w:r>
    </w:p>
    <w:p w14:paraId="7DD28A2A">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委托期限自     年   月  日起至    年   月   日止。</w:t>
      </w:r>
    </w:p>
    <w:p w14:paraId="3DDE8110">
      <w:pPr>
        <w:pStyle w:val="55"/>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1616D987">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委托人（公章）：</w:t>
      </w:r>
    </w:p>
    <w:p w14:paraId="3FC02F40">
      <w:pPr>
        <w:pStyle w:val="55"/>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975BA44">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w:t>
      </w:r>
    </w:p>
    <w:p w14:paraId="73E2C8EC">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4DC28C46">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55F98983">
      <w:pPr>
        <w:pStyle w:val="55"/>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67BDA15B">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受托人（签字）：</w:t>
      </w:r>
    </w:p>
    <w:p w14:paraId="21BCA8FA">
      <w:pPr>
        <w:pStyle w:val="55"/>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7F5AC6E9">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73E7081C">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53A3046D">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(受托人身份证正反面附后（加盖电子章）)</w:t>
      </w:r>
    </w:p>
    <w:p w14:paraId="2206C94A">
      <w:pPr>
        <w:pStyle w:val="55"/>
        <w:pageBreakBefore w:val="0"/>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p>
    <w:p w14:paraId="6A8481F0">
      <w:pPr>
        <w:pStyle w:val="55"/>
        <w:pageBreakBefore w:val="0"/>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r>
        <w:rPr>
          <w:rStyle w:val="230"/>
          <w:rFonts w:hint="eastAsia" w:ascii="宋体" w:hAnsi="宋体" w:eastAsia="宋体" w:cs="宋体"/>
          <w:color w:val="000000" w:themeColor="text1"/>
          <w:sz w:val="24"/>
          <w:szCs w:val="24"/>
          <w:highlight w:val="none"/>
          <w14:textFill>
            <w14:solidFill>
              <w14:schemeClr w14:val="tx1"/>
            </w14:solidFill>
          </w14:textFill>
        </w:rPr>
        <w:t>8、供应商参加政府采购活动前3年内在经营活动中没有重大违法记录的书面声明</w:t>
      </w:r>
    </w:p>
    <w:p w14:paraId="459ABF0D">
      <w:pPr>
        <w:pStyle w:val="55"/>
        <w:pageBreakBefore w:val="0"/>
        <w:spacing w:line="360" w:lineRule="auto"/>
        <w:ind w:firstLine="472"/>
        <w:rPr>
          <w:rFonts w:hint="eastAsia" w:ascii="宋体" w:hAnsi="宋体" w:eastAsia="宋体" w:cs="宋体"/>
          <w:b/>
          <w:color w:val="000000" w:themeColor="text1"/>
          <w:sz w:val="24"/>
          <w:highlight w:val="none"/>
          <w14:textFill>
            <w14:solidFill>
              <w14:schemeClr w14:val="tx1"/>
            </w14:solidFill>
          </w14:textFill>
        </w:rPr>
      </w:pPr>
    </w:p>
    <w:p w14:paraId="12EA830A">
      <w:pPr>
        <w:pStyle w:val="55"/>
        <w:pageBreakBefore w:val="0"/>
        <w:spacing w:line="360" w:lineRule="auto"/>
        <w:ind w:firstLine="472"/>
        <w:rPr>
          <w:rFonts w:hint="eastAsia" w:ascii="宋体" w:hAnsi="宋体" w:eastAsia="宋体" w:cs="宋体"/>
          <w:b/>
          <w:color w:val="000000" w:themeColor="text1"/>
          <w:sz w:val="24"/>
          <w:highlight w:val="none"/>
          <w14:textFill>
            <w14:solidFill>
              <w14:schemeClr w14:val="tx1"/>
            </w14:solidFill>
          </w14:textFill>
        </w:rPr>
      </w:pPr>
    </w:p>
    <w:p w14:paraId="53605A61">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我单位在参加</w:t>
      </w:r>
      <w:r>
        <w:rPr>
          <w:rFonts w:hint="eastAsia" w:ascii="宋体" w:hAnsi="宋体" w:cs="宋体"/>
          <w:color w:val="000000" w:themeColor="text1"/>
          <w:sz w:val="24"/>
          <w:highlight w:val="none"/>
          <w:lang w:eastAsia="zh-CN"/>
          <w14:textFill>
            <w14:solidFill>
              <w14:schemeClr w14:val="tx1"/>
            </w14:solidFill>
          </w14:textFill>
        </w:rPr>
        <w:t>2024年度新沂市骆马湖片区外（时集镇白石村）省级宜居宜业和美乡村工程</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JSZC-320381-NJXN-C2024-0027</w:t>
      </w:r>
      <w:r>
        <w:rPr>
          <w:rFonts w:hint="eastAsia" w:ascii="宋体" w:hAnsi="宋体" w:eastAsia="宋体" w:cs="宋体"/>
          <w:color w:val="000000" w:themeColor="text1"/>
          <w:sz w:val="24"/>
          <w:highlight w:val="none"/>
          <w14:textFill>
            <w14:solidFill>
              <w14:schemeClr w14:val="tx1"/>
            </w14:solidFill>
          </w14:textFill>
        </w:rPr>
        <w:t>]政府采购活动前3年内在经营活动中没有重大违法记录。重大违法记录是指因违法经营受到刑事处罚或者责令停产停业、吊销许可证或者执照、较大数额罚款等行政处罚。</w:t>
      </w:r>
    </w:p>
    <w:p w14:paraId="28E0CE9E">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我单位对上述声明的真实性负责。如有虚假，将依法承担相应责任。</w:t>
      </w:r>
    </w:p>
    <w:p w14:paraId="7F5EDF3D">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w:t>
      </w:r>
    </w:p>
    <w:p w14:paraId="32724A0A">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0F2882CF">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法定代表人(负责人)或授权代表（签字或盖章）：</w:t>
      </w:r>
    </w:p>
    <w:p w14:paraId="204CD000">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452DAF2C">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w:t>
      </w:r>
    </w:p>
    <w:p w14:paraId="15ADE54F">
      <w:pPr>
        <w:pStyle w:val="60"/>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4C9A7C0D">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公章：</w:t>
      </w:r>
    </w:p>
    <w:p w14:paraId="7AD68926">
      <w:pPr>
        <w:pStyle w:val="60"/>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43E55951">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5581B8EF">
      <w:pPr>
        <w:pStyle w:val="55"/>
        <w:pageBreakBefore w:val="0"/>
        <w:spacing w:line="360" w:lineRule="auto"/>
        <w:ind w:firstLine="472"/>
        <w:rPr>
          <w:rFonts w:hint="eastAsia" w:ascii="宋体" w:hAnsi="宋体" w:eastAsia="宋体" w:cs="宋体"/>
          <w:b/>
          <w:color w:val="000000" w:themeColor="text1"/>
          <w:sz w:val="24"/>
          <w:highlight w:val="none"/>
          <w14:textFill>
            <w14:solidFill>
              <w14:schemeClr w14:val="tx1"/>
            </w14:solidFill>
          </w14:textFill>
        </w:rPr>
      </w:pPr>
    </w:p>
    <w:p w14:paraId="7310474B">
      <w:pPr>
        <w:pStyle w:val="55"/>
        <w:pageBreakBefore w:val="0"/>
        <w:spacing w:line="360" w:lineRule="auto"/>
        <w:ind w:firstLine="472"/>
        <w:rPr>
          <w:rFonts w:hint="eastAsia" w:ascii="宋体" w:hAnsi="宋体" w:eastAsia="宋体" w:cs="宋体"/>
          <w:b/>
          <w:color w:val="000000" w:themeColor="text1"/>
          <w:sz w:val="24"/>
          <w:highlight w:val="none"/>
          <w14:textFill>
            <w14:solidFill>
              <w14:schemeClr w14:val="tx1"/>
            </w14:solidFill>
          </w14:textFill>
        </w:rPr>
      </w:pPr>
    </w:p>
    <w:p w14:paraId="19110E7B">
      <w:pPr>
        <w:pStyle w:val="55"/>
        <w:pageBreakBefore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0CFAC5E">
      <w:pPr>
        <w:pStyle w:val="55"/>
        <w:pageBreakBefore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6AC47E54">
      <w:pPr>
        <w:pStyle w:val="55"/>
        <w:pageBreakBefore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8866086">
      <w:pPr>
        <w:pStyle w:val="55"/>
        <w:pageBreakBefore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663D8A64">
      <w:pPr>
        <w:pStyle w:val="55"/>
        <w:pageBreakBefore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1130C533">
      <w:pPr>
        <w:pStyle w:val="55"/>
        <w:pageBreakBefore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5C2DBD76">
      <w:pPr>
        <w:pStyle w:val="55"/>
        <w:pageBreakBefore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3DBDF077">
      <w:pPr>
        <w:pStyle w:val="55"/>
        <w:pageBreakBefore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63F91AFF">
      <w:pPr>
        <w:pStyle w:val="49"/>
        <w:pageBreakBefore w:val="0"/>
        <w:spacing w:line="360" w:lineRule="auto"/>
        <w:jc w:val="both"/>
        <w:rPr>
          <w:rStyle w:val="230"/>
          <w:rFonts w:hint="eastAsia" w:ascii="宋体" w:hAnsi="宋体" w:eastAsia="宋体" w:cs="宋体"/>
          <w:color w:val="000000" w:themeColor="text1"/>
          <w:sz w:val="24"/>
          <w:szCs w:val="24"/>
          <w:highlight w:val="none"/>
          <w14:textFill>
            <w14:solidFill>
              <w14:schemeClr w14:val="tx1"/>
            </w14:solidFill>
          </w14:textFill>
        </w:rPr>
      </w:pPr>
    </w:p>
    <w:p w14:paraId="01B07AB0">
      <w:pPr>
        <w:pStyle w:val="49"/>
        <w:pageBreakBefore w:val="0"/>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r>
        <w:rPr>
          <w:rStyle w:val="230"/>
          <w:rFonts w:hint="eastAsia" w:ascii="宋体" w:hAnsi="宋体" w:eastAsia="宋体" w:cs="宋体"/>
          <w:color w:val="000000" w:themeColor="text1"/>
          <w:sz w:val="24"/>
          <w:szCs w:val="24"/>
          <w:highlight w:val="none"/>
          <w14:textFill>
            <w14:solidFill>
              <w14:schemeClr w14:val="tx1"/>
            </w14:solidFill>
          </w14:textFill>
        </w:rPr>
        <w:t>9. 具备履行合同所必需的设备和专业技术能力的书面声明</w:t>
      </w:r>
    </w:p>
    <w:p w14:paraId="7679BE5E">
      <w:pPr>
        <w:pStyle w:val="49"/>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336CC90E">
      <w:pPr>
        <w:pStyle w:val="49"/>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517BC405">
      <w:pPr>
        <w:pStyle w:val="49"/>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0B679379">
      <w:pPr>
        <w:pStyle w:val="49"/>
        <w:pageBreakBefore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lang w:eastAsia="zh-CN"/>
          <w14:textFill>
            <w14:solidFill>
              <w14:schemeClr w14:val="tx1"/>
            </w14:solidFill>
          </w14:textFill>
        </w:rPr>
        <w:t>2024年度新沂市骆马湖片区外（时集镇白石村）省级宜居宜业和美乡村工程</w:t>
      </w:r>
    </w:p>
    <w:p w14:paraId="267A5BCE">
      <w:pPr>
        <w:pStyle w:val="49"/>
        <w:pageBreakBefore w:val="0"/>
        <w:spacing w:line="360" w:lineRule="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lang w:eastAsia="zh-CN"/>
          <w14:textFill>
            <w14:solidFill>
              <w14:schemeClr w14:val="tx1"/>
            </w14:solidFill>
          </w14:textFill>
        </w:rPr>
        <w:t>JSZC-320381-NJXN-C2024-0027</w:t>
      </w:r>
    </w:p>
    <w:p w14:paraId="3EBD970B">
      <w:pPr>
        <w:pStyle w:val="49"/>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6C93EFEF">
      <w:pPr>
        <w:pStyle w:val="49"/>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我单位郑重声明：我单位具备履行合同（项目名称：</w:t>
      </w:r>
      <w:r>
        <w:rPr>
          <w:rFonts w:hint="eastAsia" w:ascii="宋体" w:hAnsi="宋体" w:cs="宋体"/>
          <w:color w:val="000000" w:themeColor="text1"/>
          <w:sz w:val="24"/>
          <w:highlight w:val="none"/>
          <w:u w:val="single"/>
          <w:lang w:eastAsia="zh-CN"/>
          <w14:textFill>
            <w14:solidFill>
              <w14:schemeClr w14:val="tx1"/>
            </w14:solidFill>
          </w14:textFill>
        </w:rPr>
        <w:t>2024年度新沂市骆马湖片区外（时集镇白石村）省级宜居宜业和美乡村工程</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lang w:eastAsia="zh-CN"/>
          <w14:textFill>
            <w14:solidFill>
              <w14:schemeClr w14:val="tx1"/>
            </w14:solidFill>
          </w14:textFill>
        </w:rPr>
        <w:t>JSZC-320381-NJXN-C2024-0027</w:t>
      </w:r>
      <w:r>
        <w:rPr>
          <w:rFonts w:hint="eastAsia" w:ascii="宋体" w:hAnsi="宋体" w:eastAsia="宋体" w:cs="宋体"/>
          <w:color w:val="000000" w:themeColor="text1"/>
          <w:sz w:val="24"/>
          <w:highlight w:val="none"/>
          <w14:textFill>
            <w14:solidFill>
              <w14:schemeClr w14:val="tx1"/>
            </w14:solidFill>
          </w14:textFill>
        </w:rPr>
        <w:t>）所必需的设备和专业技术能力。</w:t>
      </w:r>
    </w:p>
    <w:p w14:paraId="1BDAB6FC">
      <w:pPr>
        <w:pStyle w:val="49"/>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5828776D">
      <w:pPr>
        <w:pStyle w:val="49"/>
        <w:pageBreakBefore w:val="0"/>
        <w:widowControl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14:paraId="3CAD4FC1">
      <w:pPr>
        <w:pStyle w:val="49"/>
        <w:pageBreakBefore w:val="0"/>
        <w:widowControl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我单位对上述声明的真实性负责。如有虚假，将依法承担相应责任。</w:t>
      </w:r>
    </w:p>
    <w:p w14:paraId="76DBEB07">
      <w:pPr>
        <w:pStyle w:val="49"/>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6D9A65CA">
      <w:pPr>
        <w:pStyle w:val="49"/>
        <w:pageBreakBefore w:val="0"/>
        <w:spacing w:line="360" w:lineRule="auto"/>
        <w:ind w:firstLine="3000"/>
        <w:rPr>
          <w:rFonts w:hint="eastAsia" w:ascii="宋体" w:hAnsi="宋体" w:eastAsia="宋体" w:cs="宋体"/>
          <w:color w:val="000000" w:themeColor="text1"/>
          <w:sz w:val="24"/>
          <w:highlight w:val="none"/>
          <w14:textFill>
            <w14:solidFill>
              <w14:schemeClr w14:val="tx1"/>
            </w14:solidFill>
          </w14:textFill>
        </w:rPr>
      </w:pPr>
    </w:p>
    <w:p w14:paraId="7E74CA0B">
      <w:pPr>
        <w:pStyle w:val="55"/>
        <w:pageBreakBefore w:val="0"/>
        <w:spacing w:line="360" w:lineRule="auto"/>
        <w:ind w:firstLine="31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供应商：（盖单位公章）</w:t>
      </w:r>
    </w:p>
    <w:p w14:paraId="70F84CEC">
      <w:pPr>
        <w:pStyle w:val="55"/>
        <w:pageBreakBefore w:val="0"/>
        <w:spacing w:line="360" w:lineRule="auto"/>
        <w:ind w:firstLine="31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法定代表人(负责人)或授权代表（签字或盖章）：</w:t>
      </w:r>
    </w:p>
    <w:p w14:paraId="4AE1A69C">
      <w:pPr>
        <w:pStyle w:val="55"/>
        <w:pageBreakBefore w:val="0"/>
        <w:spacing w:line="360" w:lineRule="auto"/>
        <w:ind w:firstLine="31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3D3969E8">
      <w:pPr>
        <w:pStyle w:val="55"/>
        <w:pageBreakBefore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clear="all"/>
      </w:r>
      <w:r>
        <w:rPr>
          <w:rStyle w:val="230"/>
          <w:rFonts w:hint="eastAsia" w:ascii="宋体" w:hAnsi="宋体" w:eastAsia="宋体" w:cs="宋体"/>
          <w:color w:val="000000" w:themeColor="text1"/>
          <w:sz w:val="24"/>
          <w:szCs w:val="24"/>
          <w:highlight w:val="none"/>
          <w14:textFill>
            <w14:solidFill>
              <w14:schemeClr w14:val="tx1"/>
            </w14:solidFill>
          </w14:textFill>
        </w:rPr>
        <w:t>10、中小企业声明函</w:t>
      </w:r>
    </w:p>
    <w:p w14:paraId="69C9C5F2">
      <w:pPr>
        <w:pStyle w:val="55"/>
        <w:pageBreakBefore w:val="0"/>
        <w:spacing w:before="292"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p w14:paraId="4EABFF45">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p w14:paraId="0585D6AE">
      <w:pPr>
        <w:pStyle w:val="55"/>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 号）的规定，本公司参加</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新沂市时集镇人民政府</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2024年度新沂市骆马湖片区外（时集镇白石村）省级宜居宜业和美乡村工程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采购活动，工程的施工单位全部为符合政策要求的中小企业。相关企业的具体情况如下：</w:t>
      </w:r>
    </w:p>
    <w:p w14:paraId="022102BE">
      <w:pPr>
        <w:pStyle w:val="55"/>
        <w:spacing w:line="360" w:lineRule="auto"/>
        <w:ind w:firstLine="48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2024年度新沂市骆马湖片区外（时集镇白石村）省级宜居宜业和美乡村工程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建筑业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万元，属于（□中型企业、□小型企业、□微型企业，请勾选）；</w:t>
      </w:r>
    </w:p>
    <w:p w14:paraId="2ED10EEE">
      <w:pPr>
        <w:pStyle w:val="55"/>
        <w:spacing w:line="360" w:lineRule="auto"/>
        <w:ind w:firstLine="48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EBBEEE6">
      <w:pPr>
        <w:pStyle w:val="55"/>
        <w:spacing w:line="360" w:lineRule="auto"/>
        <w:ind w:firstLine="48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E0F2ED6">
      <w:pPr>
        <w:pStyle w:val="55"/>
        <w:widowControl/>
        <w:spacing w:line="360" w:lineRule="auto"/>
        <w:ind w:firstLine="600"/>
        <w:jc w:val="left"/>
        <w:rPr>
          <w:rFonts w:hint="eastAsia" w:ascii="宋体" w:hAnsi="宋体" w:eastAsia="宋体" w:cs="宋体"/>
          <w:color w:val="auto"/>
          <w:sz w:val="24"/>
          <w:szCs w:val="24"/>
          <w:highlight w:val="none"/>
        </w:rPr>
      </w:pPr>
    </w:p>
    <w:p w14:paraId="19448562">
      <w:pPr>
        <w:pStyle w:val="55"/>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rPr>
        <w:t>）：</w:t>
      </w:r>
    </w:p>
    <w:p w14:paraId="222E89C9">
      <w:pPr>
        <w:pStyle w:val="55"/>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40A3AE24">
      <w:pPr>
        <w:pStyle w:val="63"/>
        <w:rPr>
          <w:rFonts w:hint="eastAsia" w:ascii="宋体" w:hAnsi="宋体" w:eastAsia="宋体" w:cs="宋体"/>
          <w:color w:val="auto"/>
          <w:sz w:val="24"/>
          <w:szCs w:val="24"/>
          <w:highlight w:val="none"/>
        </w:rPr>
      </w:pPr>
    </w:p>
    <w:p w14:paraId="68C4FF54">
      <w:pPr>
        <w:pStyle w:val="55"/>
        <w:spacing w:line="360" w:lineRule="auto"/>
        <w:ind w:firstLine="482"/>
        <w:rPr>
          <w:rFonts w:hint="eastAsia" w:ascii="宋体" w:hAnsi="宋体" w:eastAsia="宋体" w:cs="宋体"/>
          <w:b/>
          <w:color w:val="auto"/>
          <w:sz w:val="24"/>
          <w:szCs w:val="24"/>
          <w:highlight w:val="none"/>
        </w:rPr>
      </w:pPr>
    </w:p>
    <w:p w14:paraId="72298767">
      <w:pPr>
        <w:pStyle w:val="55"/>
        <w:spacing w:line="360" w:lineRule="auto"/>
        <w:ind w:firstLine="482"/>
        <w:rPr>
          <w:rFonts w:hint="eastAsia" w:ascii="宋体" w:hAnsi="宋体" w:eastAsia="宋体" w:cs="宋体"/>
          <w:b/>
          <w:color w:val="auto"/>
          <w:sz w:val="24"/>
          <w:szCs w:val="24"/>
          <w:highlight w:val="none"/>
        </w:rPr>
      </w:pPr>
    </w:p>
    <w:p w14:paraId="507FC14A">
      <w:pPr>
        <w:pStyle w:val="55"/>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注：从业人员、营业收入、资产总额填报上一年度数据，无上一年度数据的新成立企业可不填报。</w:t>
      </w:r>
    </w:p>
    <w:p w14:paraId="088FA9FC">
      <w:pPr>
        <w:pStyle w:val="49"/>
        <w:pageBreakBefore w:val="0"/>
        <w:spacing w:line="360" w:lineRule="auto"/>
        <w:ind w:left="600"/>
        <w:rPr>
          <w:rFonts w:hint="eastAsia" w:ascii="宋体" w:hAnsi="宋体" w:eastAsia="宋体" w:cs="宋体"/>
          <w:color w:val="000000" w:themeColor="text1"/>
          <w:sz w:val="24"/>
          <w:highlight w:val="none"/>
          <w14:textFill>
            <w14:solidFill>
              <w14:schemeClr w14:val="tx1"/>
            </w14:solidFill>
          </w14:textFill>
        </w:rPr>
      </w:pPr>
    </w:p>
    <w:p w14:paraId="690734CC">
      <w:pPr>
        <w:pStyle w:val="61"/>
        <w:rPr>
          <w:rFonts w:hint="eastAsia" w:ascii="宋体" w:hAnsi="宋体" w:eastAsia="宋体" w:cs="宋体"/>
          <w:color w:val="000000" w:themeColor="text1"/>
          <w:sz w:val="24"/>
          <w:highlight w:val="none"/>
          <w14:textFill>
            <w14:solidFill>
              <w14:schemeClr w14:val="tx1"/>
            </w14:solidFill>
          </w14:textFill>
        </w:rPr>
      </w:pPr>
    </w:p>
    <w:p w14:paraId="7EDE9C8E">
      <w:pPr>
        <w:pStyle w:val="62"/>
        <w:rPr>
          <w:rFonts w:hint="eastAsia" w:ascii="宋体" w:hAnsi="宋体" w:eastAsia="宋体" w:cs="宋体"/>
          <w:color w:val="000000" w:themeColor="text1"/>
          <w:sz w:val="24"/>
          <w:highlight w:val="none"/>
          <w14:textFill>
            <w14:solidFill>
              <w14:schemeClr w14:val="tx1"/>
            </w14:solidFill>
          </w14:textFill>
        </w:rPr>
      </w:pPr>
    </w:p>
    <w:p w14:paraId="73C5711C">
      <w:pPr>
        <w:pStyle w:val="49"/>
        <w:rPr>
          <w:rFonts w:hint="eastAsia" w:ascii="宋体" w:hAnsi="宋体" w:eastAsia="宋体" w:cs="宋体"/>
          <w:color w:val="000000" w:themeColor="text1"/>
          <w:sz w:val="24"/>
          <w:highlight w:val="none"/>
          <w14:textFill>
            <w14:solidFill>
              <w14:schemeClr w14:val="tx1"/>
            </w14:solidFill>
          </w14:textFill>
        </w:rPr>
      </w:pPr>
    </w:p>
    <w:p w14:paraId="783D19D6">
      <w:pPr>
        <w:pStyle w:val="55"/>
        <w:pageBreakBefore w:val="0"/>
        <w:widowControl/>
        <w:spacing w:line="360" w:lineRule="auto"/>
        <w:rPr>
          <w:rFonts w:hint="eastAsia" w:ascii="宋体" w:hAnsi="宋体" w:eastAsia="宋体" w:cs="宋体"/>
          <w:color w:val="000000" w:themeColor="text1"/>
          <w:spacing w:val="8"/>
          <w:sz w:val="33"/>
          <w:szCs w:val="33"/>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说明：如提供虚假中小企业声明函的，则采购人有权取消投标、中标候选或中标资格，有权终止合同，并报政府采购监管部门。</w:t>
      </w:r>
      <w:bookmarkStart w:id="112" w:name="_Toc16442"/>
      <w:bookmarkStart w:id="113" w:name="_Toc369"/>
      <w:bookmarkStart w:id="114" w:name="_Toc8932"/>
      <w:bookmarkStart w:id="115" w:name="_Toc20052"/>
      <w:bookmarkStart w:id="116" w:name="_Toc28289"/>
      <w:bookmarkStart w:id="117" w:name="_Toc14588"/>
      <w:bookmarkStart w:id="118" w:name="_Toc20404"/>
    </w:p>
    <w:p w14:paraId="6556D390">
      <w:pPr>
        <w:pStyle w:val="339"/>
        <w:keepNext w:val="0"/>
        <w:keepLines w:val="0"/>
        <w:pageBreakBefore w:val="0"/>
        <w:widowControl/>
        <w:spacing w:line="360" w:lineRule="auto"/>
        <w:jc w:val="center"/>
        <w:rPr>
          <w:rFonts w:hint="eastAsia" w:ascii="宋体" w:hAnsi="宋体" w:eastAsia="宋体" w:cs="宋体"/>
          <w:b/>
          <w:bCs/>
          <w:color w:val="000000" w:themeColor="text1"/>
          <w:spacing w:val="8"/>
          <w:sz w:val="33"/>
          <w:szCs w:val="33"/>
          <w:highlight w:val="none"/>
          <w:shd w:val="clear" w:color="auto" w:fill="FFFFFF"/>
          <w:lang w:eastAsia="zh-CN"/>
          <w14:textFill>
            <w14:solidFill>
              <w14:schemeClr w14:val="tx1"/>
            </w14:solidFill>
          </w14:textFill>
        </w:rPr>
      </w:pPr>
      <w:r>
        <w:rPr>
          <w:rFonts w:hint="eastAsia" w:ascii="宋体" w:hAnsi="宋体" w:eastAsia="宋体" w:cs="宋体"/>
          <w:b/>
          <w:bCs/>
          <w:color w:val="000000" w:themeColor="text1"/>
          <w:spacing w:val="8"/>
          <w:sz w:val="33"/>
          <w:szCs w:val="33"/>
          <w:highlight w:val="none"/>
          <w:shd w:val="clear" w:color="auto" w:fill="FFFFFF"/>
          <w14:textFill>
            <w14:solidFill>
              <w14:schemeClr w14:val="tx1"/>
            </w14:solidFill>
          </w14:textFill>
        </w:rPr>
        <w:t>中小企业规模类型自测小程序</w:t>
      </w:r>
      <w:bookmarkEnd w:id="112"/>
      <w:bookmarkEnd w:id="113"/>
      <w:bookmarkEnd w:id="114"/>
      <w:bookmarkEnd w:id="115"/>
      <w:bookmarkEnd w:id="116"/>
      <w:bookmarkEnd w:id="117"/>
      <w:bookmarkEnd w:id="118"/>
      <w:r>
        <w:rPr>
          <w:rFonts w:hint="eastAsia" w:ascii="宋体" w:hAnsi="宋体" w:eastAsia="宋体" w:cs="宋体"/>
          <w:b/>
          <w:bCs/>
          <w:color w:val="000000" w:themeColor="text1"/>
          <w:spacing w:val="8"/>
          <w:sz w:val="33"/>
          <w:szCs w:val="33"/>
          <w:highlight w:val="none"/>
          <w:shd w:val="clear" w:color="auto" w:fill="FFFFFF"/>
          <w:lang w:eastAsia="zh-CN"/>
          <w14:textFill>
            <w14:solidFill>
              <w14:schemeClr w14:val="tx1"/>
            </w14:solidFill>
          </w14:textFill>
        </w:rPr>
        <w:t>（</w:t>
      </w:r>
      <w:r>
        <w:rPr>
          <w:rFonts w:hint="eastAsia" w:ascii="宋体" w:hAnsi="宋体" w:eastAsia="宋体" w:cs="宋体"/>
          <w:b/>
          <w:bCs/>
          <w:color w:val="000000" w:themeColor="text1"/>
          <w:spacing w:val="8"/>
          <w:sz w:val="33"/>
          <w:szCs w:val="33"/>
          <w:highlight w:val="none"/>
          <w:shd w:val="clear" w:color="auto" w:fill="FFFFFF"/>
          <w14:textFill>
            <w14:solidFill>
              <w14:schemeClr w14:val="tx1"/>
            </w14:solidFill>
          </w14:textFill>
        </w:rPr>
        <w:t>查询渠道</w:t>
      </w:r>
      <w:r>
        <w:rPr>
          <w:rFonts w:hint="eastAsia" w:ascii="宋体" w:hAnsi="宋体" w:eastAsia="宋体" w:cs="宋体"/>
          <w:b/>
          <w:bCs/>
          <w:color w:val="000000" w:themeColor="text1"/>
          <w:spacing w:val="8"/>
          <w:sz w:val="33"/>
          <w:szCs w:val="33"/>
          <w:highlight w:val="none"/>
          <w:shd w:val="clear" w:color="auto" w:fill="FFFFFF"/>
          <w:lang w:eastAsia="zh-CN"/>
          <w14:textFill>
            <w14:solidFill>
              <w14:schemeClr w14:val="tx1"/>
            </w14:solidFill>
          </w14:textFill>
        </w:rPr>
        <w:t>：</w:t>
      </w:r>
      <w:r>
        <w:rPr>
          <w:rFonts w:hint="eastAsia" w:ascii="宋体" w:hAnsi="宋体" w:eastAsia="宋体" w:cs="宋体"/>
          <w:b/>
          <w:bCs/>
          <w:color w:val="000000" w:themeColor="text1"/>
          <w:spacing w:val="8"/>
          <w:sz w:val="33"/>
          <w:szCs w:val="33"/>
          <w:highlight w:val="none"/>
          <w:shd w:val="clear" w:color="auto" w:fill="FFFFFF"/>
          <w14:textFill>
            <w14:solidFill>
              <w14:schemeClr w14:val="tx1"/>
            </w14:solidFill>
          </w14:textFill>
        </w:rPr>
        <w:t>微信搜索“中小企业规模类型自测小程序”</w:t>
      </w:r>
      <w:r>
        <w:rPr>
          <w:rFonts w:hint="eastAsia" w:ascii="宋体" w:hAnsi="宋体" w:eastAsia="宋体" w:cs="宋体"/>
          <w:b/>
          <w:bCs/>
          <w:color w:val="000000" w:themeColor="text1"/>
          <w:spacing w:val="8"/>
          <w:sz w:val="33"/>
          <w:szCs w:val="33"/>
          <w:highlight w:val="none"/>
          <w:shd w:val="clear" w:color="auto" w:fill="FFFFFF"/>
          <w:lang w:eastAsia="zh-CN"/>
          <w14:textFill>
            <w14:solidFill>
              <w14:schemeClr w14:val="tx1"/>
            </w14:solidFill>
          </w14:textFill>
        </w:rPr>
        <w:t>）</w:t>
      </w:r>
    </w:p>
    <w:p w14:paraId="691F66C3">
      <w:pPr>
        <w:pStyle w:val="57"/>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5819D2D4">
      <w:pPr>
        <w:pStyle w:val="57"/>
        <w:pageBreakBefore w:val="0"/>
        <w:spacing w:line="360" w:lineRule="auto"/>
        <w:ind w:left="0" w:firstLine="0"/>
        <w:rPr>
          <w:rFonts w:hint="eastAsia" w:ascii="宋体" w:hAnsi="宋体" w:eastAsia="宋体" w:cs="宋体"/>
          <w:color w:val="000000" w:themeColor="text1"/>
          <w:sz w:val="24"/>
          <w:highlight w:val="none"/>
          <w14:textFill>
            <w14:solidFill>
              <w14:schemeClr w14:val="tx1"/>
            </w14:solidFill>
          </w14:textFill>
        </w:rPr>
      </w:pPr>
    </w:p>
    <w:p w14:paraId="121747B6">
      <w:pPr>
        <w:pStyle w:val="57"/>
        <w:pageBreakBefore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color w:val="auto"/>
          <w:highlight w:val="none"/>
        </w:rPr>
        <w:drawing>
          <wp:inline distT="0" distB="0" distL="0" distR="0">
            <wp:extent cx="2736215" cy="5634355"/>
            <wp:effectExtent l="0" t="0" r="6985" b="4445"/>
            <wp:docPr id="10" name="图片 8" descr="D:\Tencent\微信\WeChat Files\wxid_1c6io8gl77vj22\FileStorage\Temp\912730e80772119968377d556d5bb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D:\Tencent\微信\WeChat Files\wxid_1c6io8gl77vj22\FileStorage\Temp\912730e80772119968377d556d5bbbe.jpg"/>
                    <pic:cNvPicPr>
                      <a:picLocks noChangeAspect="1"/>
                    </pic:cNvPicPr>
                  </pic:nvPicPr>
                  <pic:blipFill>
                    <a:blip r:embed="rId8"/>
                    <a:srcRect t="4827"/>
                    <a:stretch>
                      <a:fillRect/>
                    </a:stretch>
                  </pic:blipFill>
                  <pic:spPr>
                    <a:xfrm>
                      <a:off x="0" y="0"/>
                      <a:ext cx="2743906" cy="5634355"/>
                    </a:xfrm>
                    <a:prstGeom prst="rect">
                      <a:avLst/>
                    </a:prstGeom>
                    <a:noFill/>
                    <a:ln>
                      <a:noFill/>
                    </a:ln>
                  </pic:spPr>
                </pic:pic>
              </a:graphicData>
            </a:graphic>
          </wp:inline>
        </w:drawing>
      </w:r>
    </w:p>
    <w:p w14:paraId="59154119">
      <w:pPr>
        <w:pStyle w:val="57"/>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4758EDBA">
      <w:pPr>
        <w:pStyle w:val="57"/>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562F3F55">
      <w:pPr>
        <w:pStyle w:val="57"/>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7B57398E">
      <w:pPr>
        <w:pStyle w:val="57"/>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76A26E28">
      <w:pPr>
        <w:pStyle w:val="55"/>
        <w:pageBreakBefore w:val="0"/>
        <w:spacing w:line="360" w:lineRule="auto"/>
        <w:jc w:val="center"/>
        <w:rPr>
          <w:rStyle w:val="230"/>
          <w:rFonts w:hint="eastAsia" w:ascii="宋体" w:hAnsi="宋体" w:eastAsia="宋体" w:cs="宋体"/>
          <w:color w:val="000000" w:themeColor="text1"/>
          <w:sz w:val="24"/>
          <w:szCs w:val="24"/>
          <w:highlight w:val="none"/>
          <w14:textFill>
            <w14:solidFill>
              <w14:schemeClr w14:val="tx1"/>
            </w14:solidFill>
          </w14:textFill>
        </w:rPr>
      </w:pPr>
      <w:r>
        <w:rPr>
          <w:rStyle w:val="230"/>
          <w:rFonts w:hint="eastAsia" w:ascii="宋体" w:hAnsi="宋体" w:eastAsia="宋体" w:cs="宋体"/>
          <w:color w:val="000000" w:themeColor="text1"/>
          <w:sz w:val="24"/>
          <w:szCs w:val="24"/>
          <w:highlight w:val="none"/>
          <w14:textFill>
            <w14:solidFill>
              <w14:schemeClr w14:val="tx1"/>
            </w14:solidFill>
          </w14:textFill>
        </w:rPr>
        <w:t>11、残疾人福利性单位声明函</w:t>
      </w:r>
    </w:p>
    <w:p w14:paraId="2C329301">
      <w:pPr>
        <w:pStyle w:val="55"/>
        <w:pageBreakBefore w:val="0"/>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FD173DD">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p w14:paraId="00CE5C0F">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p w14:paraId="238B42E1">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66D98862">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单位的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596562D">
      <w:pPr>
        <w:pStyle w:val="55"/>
        <w:pageBreakBefore w:val="0"/>
        <w:spacing w:line="360" w:lineRule="auto"/>
        <w:ind w:firstLine="7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3AFDD885">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30FAAF2E">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50699F60">
      <w:pPr>
        <w:pStyle w:val="55"/>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16552B5C">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供应商：（盖单位公章）</w:t>
      </w:r>
    </w:p>
    <w:p w14:paraId="31B27B52">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0B9E5E33">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p>
    <w:p w14:paraId="3F9AE995">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法定代表人(负责人)或授权代表（签字或盖章）  </w:t>
      </w:r>
    </w:p>
    <w:p w14:paraId="1305D549">
      <w:pPr>
        <w:pStyle w:val="55"/>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5E4CD3A1">
      <w:pPr>
        <w:pStyle w:val="55"/>
        <w:pageBreakBefore w:val="0"/>
        <w:spacing w:line="360" w:lineRule="auto"/>
        <w:ind w:firstLine="4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14:paraId="5605842B">
      <w:pPr>
        <w:pStyle w:val="55"/>
        <w:pageBreakBefore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0C02F230">
      <w:pPr>
        <w:pStyle w:val="55"/>
        <w:pageBreakBefore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14:paraId="21191D0C">
      <w:pPr>
        <w:pStyle w:val="55"/>
        <w:pageBreakBefore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177CC79A">
      <w:pPr>
        <w:pStyle w:val="49"/>
        <w:pageBreakBefore w:val="0"/>
        <w:spacing w:line="360" w:lineRule="auto"/>
        <w:ind w:firstLine="496"/>
        <w:rPr>
          <w:rFonts w:hint="eastAsia" w:ascii="宋体" w:hAnsi="宋体" w:eastAsia="宋体" w:cs="宋体"/>
          <w:b/>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pacing w:val="6"/>
          <w:sz w:val="24"/>
          <w:highlight w:val="none"/>
          <w14:textFill>
            <w14:solidFill>
              <w14:schemeClr w14:val="tx1"/>
            </w14:solidFill>
          </w14:textFill>
        </w:rPr>
        <w:t>说明：</w:t>
      </w:r>
    </w:p>
    <w:p w14:paraId="705D7B63">
      <w:pPr>
        <w:pStyle w:val="49"/>
        <w:pageBreakBefore w:val="0"/>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如提供虚假残疾人福利性单位声明函的，则采购人有权取消投标、中标候选或中标资格，有权终止合同，并报政府采购监管部门。</w:t>
      </w:r>
    </w:p>
    <w:p w14:paraId="206F2581">
      <w:pPr>
        <w:pStyle w:val="57"/>
        <w:pageBreakBefore w:val="0"/>
        <w:spacing w:line="360" w:lineRule="auto"/>
        <w:ind w:left="0" w:firstLine="0"/>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clear="all"/>
      </w:r>
      <w:r>
        <w:rPr>
          <w:rFonts w:hint="eastAsia" w:ascii="宋体" w:hAnsi="宋体" w:eastAsia="宋体" w:cs="宋体"/>
          <w:b/>
          <w:color w:val="000000" w:themeColor="text1"/>
          <w:sz w:val="24"/>
          <w:highlight w:val="none"/>
          <w14:textFill>
            <w14:solidFill>
              <w14:schemeClr w14:val="tx1"/>
            </w14:solidFill>
          </w14:textFill>
        </w:rPr>
        <w:t>12、技术方案</w:t>
      </w:r>
    </w:p>
    <w:p w14:paraId="014818A9">
      <w:pPr>
        <w:pStyle w:val="57"/>
        <w:pageBreakBefore w:val="0"/>
        <w:spacing w:line="360" w:lineRule="auto"/>
        <w:ind w:left="0" w:firstLine="0"/>
        <w:jc w:val="center"/>
        <w:rPr>
          <w:rFonts w:hint="eastAsia" w:ascii="宋体" w:hAnsi="宋体" w:eastAsia="宋体" w:cs="宋体"/>
          <w:b/>
          <w:color w:val="000000" w:themeColor="text1"/>
          <w:sz w:val="24"/>
          <w:highlight w:val="none"/>
          <w14:textFill>
            <w14:solidFill>
              <w14:schemeClr w14:val="tx1"/>
            </w14:solidFill>
          </w14:textFill>
        </w:rPr>
      </w:pPr>
    </w:p>
    <w:p w14:paraId="7E22457C">
      <w:pPr>
        <w:pStyle w:val="49"/>
        <w:pageBreakBefore w:val="0"/>
        <w:widowControl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2A0E8CD">
      <w:pPr>
        <w:pStyle w:val="57"/>
        <w:pageBreakBefore w:val="0"/>
        <w:spacing w:line="360" w:lineRule="auto"/>
        <w:ind w:left="0" w:firstLine="0"/>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655619F6">
      <w:pPr>
        <w:pStyle w:val="57"/>
        <w:pageBreakBefore w:val="0"/>
        <w:spacing w:line="360" w:lineRule="auto"/>
        <w:ind w:left="0" w:firstLine="0"/>
        <w:jc w:val="center"/>
        <w:rPr>
          <w:rFonts w:hint="eastAsia" w:ascii="宋体" w:hAnsi="宋体" w:eastAsia="宋体" w:cs="宋体"/>
          <w:bCs/>
          <w:color w:val="000000" w:themeColor="text1"/>
          <w:sz w:val="24"/>
          <w:szCs w:val="24"/>
          <w:highlight w:val="none"/>
          <w14:textFill>
            <w14:solidFill>
              <w14:schemeClr w14:val="tx1"/>
            </w14:solidFill>
          </w14:textFill>
        </w:rPr>
        <w:sectPr>
          <w:footerReference r:id="rId3" w:type="default"/>
          <w:pgSz w:w="11906" w:h="16838"/>
          <w:pgMar w:top="1701" w:right="1474" w:bottom="1701" w:left="1588" w:header="851" w:footer="1418" w:gutter="0"/>
          <w:pgNumType w:start="1"/>
          <w:cols w:space="720" w:num="1"/>
          <w:docGrid w:linePitch="360" w:charSpace="0"/>
        </w:sectPr>
      </w:pPr>
      <w:r>
        <w:rPr>
          <w:rFonts w:hint="eastAsia" w:ascii="宋体" w:hAnsi="宋体" w:eastAsia="宋体" w:cs="宋体"/>
          <w:bCs/>
          <w:color w:val="000000" w:themeColor="text1"/>
          <w:sz w:val="24"/>
          <w:szCs w:val="24"/>
          <w:highlight w:val="none"/>
          <w14:textFill>
            <w14:solidFill>
              <w14:schemeClr w14:val="tx1"/>
            </w14:solidFill>
          </w14:textFill>
        </w:rPr>
        <w:t>（格式自拟</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要求见本文</w:t>
      </w:r>
      <w:r>
        <w:rPr>
          <w:rFonts w:hint="eastAsia" w:ascii="宋体" w:hAnsi="宋体" w:eastAsia="宋体" w:cs="宋体"/>
          <w:color w:val="000000" w:themeColor="text1"/>
          <w:sz w:val="24"/>
          <w:szCs w:val="24"/>
          <w:highlight w:val="none"/>
          <w:lang w:val="en-US" w:eastAsia="zh-CN"/>
          <w14:textFill>
            <w14:solidFill>
              <w14:schemeClr w14:val="tx1"/>
            </w14:solidFill>
          </w14:textFill>
        </w:rPr>
        <w:t>附件</w:t>
      </w:r>
      <w:r>
        <w:rPr>
          <w:rFonts w:hint="eastAsia" w:ascii="宋体" w:hAnsi="宋体" w:eastAsia="宋体" w:cs="宋体"/>
          <w:color w:val="000000" w:themeColor="text1"/>
          <w:sz w:val="24"/>
          <w:szCs w:val="24"/>
          <w:highlight w:val="none"/>
          <w:lang w:eastAsia="zh-CN"/>
          <w14:textFill>
            <w14:solidFill>
              <w14:schemeClr w14:val="tx1"/>
            </w14:solidFill>
          </w14:textFill>
        </w:rPr>
        <w:t>《评分细则》</w:t>
      </w:r>
      <w:r>
        <w:rPr>
          <w:rFonts w:hint="eastAsia" w:ascii="宋体" w:hAnsi="宋体" w:eastAsia="宋体" w:cs="宋体"/>
          <w:bCs/>
          <w:color w:val="000000" w:themeColor="text1"/>
          <w:sz w:val="24"/>
          <w:szCs w:val="24"/>
          <w:highlight w:val="none"/>
          <w14:textFill>
            <w14:solidFill>
              <w14:schemeClr w14:val="tx1"/>
            </w14:solidFill>
          </w14:textFill>
        </w:rPr>
        <w:t>）</w:t>
      </w:r>
    </w:p>
    <w:p w14:paraId="2280993E">
      <w:pPr>
        <w:pStyle w:val="55"/>
        <w:pageBreakBefore w:val="0"/>
        <w:numPr>
          <w:ilvl w:val="0"/>
          <w:numId w:val="0"/>
        </w:numPr>
        <w:spacing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lang w:val="en-US" w:eastAsia="zh-CN"/>
          <w14:textFill>
            <w14:solidFill>
              <w14:schemeClr w14:val="tx1"/>
            </w14:solidFill>
          </w14:textFill>
        </w:rPr>
        <w:t>13、</w:t>
      </w:r>
      <w:r>
        <w:rPr>
          <w:rFonts w:hint="eastAsia" w:ascii="宋体" w:hAnsi="宋体" w:eastAsia="宋体" w:cs="宋体"/>
          <w:b/>
          <w:color w:val="000000" w:themeColor="text1"/>
          <w:sz w:val="24"/>
          <w:szCs w:val="20"/>
          <w:highlight w:val="none"/>
          <w14:textFill>
            <w14:solidFill>
              <w14:schemeClr w14:val="tx1"/>
            </w14:solidFill>
          </w14:textFill>
        </w:rPr>
        <w:t>拟签订的合同文本</w:t>
      </w:r>
    </w:p>
    <w:p w14:paraId="41DA259B">
      <w:pPr>
        <w:keepNext w:val="0"/>
        <w:keepLines w:val="0"/>
        <w:pageBreakBefore w:val="0"/>
        <w:pBdr>
          <w:top w:val="none" w:color="000000" w:sz="0" w:space="0"/>
          <w:left w:val="none" w:color="000000" w:sz="0" w:space="0"/>
          <w:bottom w:val="none" w:color="000000" w:sz="0" w:space="0"/>
          <w:right w:val="none" w:color="000000" w:sz="0" w:space="0"/>
        </w:pBdr>
        <w:spacing w:before="220" w:after="0" w:line="360" w:lineRule="auto"/>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p w14:paraId="755789FD">
      <w:pPr>
        <w:pStyle w:val="60"/>
        <w:widowContro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cs="宋体"/>
          <w:color w:val="auto"/>
          <w:sz w:val="24"/>
          <w:lang w:eastAsia="zh-CN"/>
        </w:rPr>
        <w:t>2024年度新沂市骆马湖片区外（时集镇白石村）省级宜居宜业和美乡村工程</w:t>
      </w:r>
    </w:p>
    <w:p w14:paraId="3708F422">
      <w:pPr>
        <w:pStyle w:val="60"/>
        <w:widowControl w:val="0"/>
        <w:rPr>
          <w:rFonts w:hint="eastAsia" w:ascii="宋体" w:hAnsi="宋体" w:eastAsia="宋体" w:cs="宋体"/>
          <w:bCs/>
          <w:color w:val="auto"/>
          <w:sz w:val="24"/>
          <w:szCs w:val="24"/>
          <w:highlight w:val="none"/>
        </w:rPr>
      </w:pPr>
    </w:p>
    <w:p w14:paraId="0EB6B0E5">
      <w:pPr>
        <w:pStyle w:val="60"/>
        <w:widowContro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r>
        <w:rPr>
          <w:rFonts w:hint="eastAsia" w:ascii="宋体" w:hAnsi="宋体" w:cs="宋体"/>
          <w:color w:val="auto"/>
          <w:sz w:val="24"/>
          <w:lang w:eastAsia="zh-CN"/>
        </w:rPr>
        <w:t>JSZC-320381-NJXN-C2024-0027</w:t>
      </w:r>
    </w:p>
    <w:p w14:paraId="305C93E0">
      <w:pPr>
        <w:pStyle w:val="60"/>
        <w:widowControl w:val="0"/>
        <w:rPr>
          <w:rFonts w:hint="eastAsia" w:ascii="宋体" w:hAnsi="宋体" w:eastAsia="宋体" w:cs="宋体"/>
          <w:bCs/>
          <w:color w:val="auto"/>
          <w:sz w:val="24"/>
          <w:szCs w:val="24"/>
          <w:highlight w:val="none"/>
        </w:rPr>
      </w:pPr>
    </w:p>
    <w:p w14:paraId="0C7E91C1">
      <w:pPr>
        <w:pStyle w:val="60"/>
        <w:widowControl w:val="0"/>
        <w:rPr>
          <w:rFonts w:hint="eastAsia" w:ascii="宋体" w:hAnsi="宋体" w:eastAsia="宋体" w:cs="宋体"/>
          <w:bCs/>
          <w:color w:val="auto"/>
          <w:sz w:val="24"/>
          <w:szCs w:val="24"/>
          <w:highlight w:val="none"/>
        </w:rPr>
      </w:pPr>
    </w:p>
    <w:p w14:paraId="1FEEDA75">
      <w:pPr>
        <w:pStyle w:val="60"/>
        <w:widowControl w:val="0"/>
        <w:rPr>
          <w:rFonts w:hint="eastAsia" w:ascii="宋体" w:hAnsi="宋体" w:eastAsia="宋体" w:cs="宋体"/>
          <w:bCs/>
          <w:color w:val="auto"/>
          <w:sz w:val="24"/>
          <w:szCs w:val="24"/>
          <w:highlight w:val="none"/>
        </w:rPr>
      </w:pPr>
    </w:p>
    <w:p w14:paraId="7828EC8D">
      <w:pPr>
        <w:pStyle w:val="62"/>
        <w:ind w:left="0" w:firstLine="0"/>
        <w:rPr>
          <w:rFonts w:hint="eastAsia" w:ascii="仿宋" w:hAnsi="仿宋" w:eastAsia="仿宋" w:cs="仿宋"/>
          <w:color w:val="auto"/>
        </w:rPr>
      </w:pPr>
    </w:p>
    <w:p w14:paraId="06B027FD">
      <w:pPr>
        <w:pStyle w:val="72"/>
        <w:rPr>
          <w:rFonts w:hint="eastAsia" w:ascii="仿宋" w:hAnsi="仿宋" w:eastAsia="仿宋" w:cs="仿宋"/>
          <w:color w:val="auto"/>
        </w:rPr>
      </w:pPr>
    </w:p>
    <w:p w14:paraId="48AAFBE4">
      <w:pPr>
        <w:pStyle w:val="55"/>
        <w:rPr>
          <w:rFonts w:hint="eastAsia"/>
        </w:rPr>
      </w:pPr>
    </w:p>
    <w:p w14:paraId="4ADD35B7">
      <w:pPr>
        <w:pStyle w:val="60"/>
        <w:widowControl w:val="0"/>
        <w:jc w:val="center"/>
        <w:rPr>
          <w:rFonts w:hint="eastAsia" w:ascii="宋体" w:hAnsi="宋体" w:eastAsia="宋体" w:cs="宋体"/>
          <w:bCs/>
          <w:color w:val="auto"/>
          <w:sz w:val="44"/>
          <w:szCs w:val="52"/>
          <w:highlight w:val="none"/>
        </w:rPr>
      </w:pPr>
      <w:r>
        <w:rPr>
          <w:rFonts w:hint="eastAsia" w:ascii="宋体" w:hAnsi="宋体" w:eastAsia="宋体" w:cs="宋体"/>
          <w:bCs/>
          <w:color w:val="auto"/>
          <w:sz w:val="44"/>
          <w:szCs w:val="52"/>
          <w:highlight w:val="none"/>
        </w:rPr>
        <w:t>建设工程施工合同</w:t>
      </w:r>
    </w:p>
    <w:p w14:paraId="4E99F6D7">
      <w:pPr>
        <w:pStyle w:val="60"/>
        <w:widowControl w:val="0"/>
        <w:jc w:val="center"/>
        <w:rPr>
          <w:rFonts w:hint="eastAsia" w:ascii="宋体" w:hAnsi="宋体" w:eastAsia="宋体" w:cs="宋体"/>
          <w:bCs/>
          <w:color w:val="auto"/>
          <w:sz w:val="44"/>
          <w:szCs w:val="52"/>
          <w:highlight w:val="none"/>
        </w:rPr>
      </w:pPr>
      <w:r>
        <w:rPr>
          <w:rFonts w:hint="eastAsia" w:ascii="宋体" w:hAnsi="宋体" w:eastAsia="宋体" w:cs="宋体"/>
          <w:bCs/>
          <w:color w:val="auto"/>
          <w:sz w:val="44"/>
          <w:szCs w:val="52"/>
          <w:highlight w:val="none"/>
        </w:rPr>
        <w:t>（示范文本）</w:t>
      </w:r>
    </w:p>
    <w:p w14:paraId="10CB626E">
      <w:pPr>
        <w:pStyle w:val="60"/>
        <w:widowControl w:val="0"/>
        <w:jc w:val="center"/>
        <w:rPr>
          <w:rFonts w:hint="eastAsia" w:ascii="宋体" w:hAnsi="宋体" w:eastAsia="宋体" w:cs="宋体"/>
          <w:bCs/>
          <w:color w:val="auto"/>
          <w:sz w:val="44"/>
          <w:szCs w:val="52"/>
          <w:highlight w:val="none"/>
        </w:rPr>
        <w:sectPr>
          <w:footerReference r:id="rId4" w:type="default"/>
          <w:type w:val="nextColumn"/>
          <w:pgSz w:w="11906" w:h="16838"/>
          <w:pgMar w:top="1440" w:right="1588" w:bottom="1440" w:left="1588" w:header="851" w:footer="992" w:gutter="0"/>
          <w:cols w:space="720" w:num="1"/>
          <w:docGrid w:linePitch="360" w:charSpace="0"/>
        </w:sectPr>
      </w:pPr>
      <w:r>
        <w:rPr>
          <w:rFonts w:hint="eastAsia" w:ascii="宋体" w:hAnsi="宋体" w:eastAsia="宋体" w:cs="宋体"/>
          <w:bCs/>
          <w:color w:val="auto"/>
          <w:sz w:val="44"/>
          <w:szCs w:val="52"/>
          <w:highlight w:val="none"/>
        </w:rPr>
        <w:t>（GF—2017—0201）</w:t>
      </w:r>
    </w:p>
    <w:p w14:paraId="003716B6">
      <w:pPr>
        <w:pStyle w:val="333"/>
        <w:jc w:val="center"/>
        <w:rPr>
          <w:rFonts w:hint="eastAsia" w:ascii="宋体" w:hAnsi="宋体" w:eastAsia="宋体" w:cs="宋体"/>
          <w:b w:val="0"/>
          <w:color w:val="auto"/>
          <w:sz w:val="44"/>
          <w:szCs w:val="44"/>
        </w:rPr>
      </w:pPr>
      <w:bookmarkStart w:id="119" w:name="_Toc110245277"/>
      <w:r>
        <w:rPr>
          <w:rFonts w:hint="eastAsia" w:ascii="宋体" w:hAnsi="宋体" w:eastAsia="宋体" w:cs="宋体"/>
          <w:b w:val="0"/>
          <w:color w:val="auto"/>
          <w:sz w:val="44"/>
          <w:szCs w:val="44"/>
        </w:rPr>
        <w:t>第一部分 合同协议书</w:t>
      </w:r>
      <w:bookmarkEnd w:id="119"/>
    </w:p>
    <w:p w14:paraId="24F6CF8F">
      <w:pPr>
        <w:spacing w:line="360" w:lineRule="auto"/>
        <w:rPr>
          <w:rFonts w:hint="eastAsia" w:ascii="宋体" w:hAnsi="宋体" w:eastAsia="宋体" w:cs="宋体"/>
          <w:color w:val="auto"/>
          <w:sz w:val="24"/>
          <w:szCs w:val="24"/>
          <w:u w:val="single"/>
        </w:rPr>
      </w:pPr>
      <w:r>
        <w:rPr>
          <w:rFonts w:hint="eastAsia" w:ascii="宋体" w:hAnsi="宋体" w:eastAsia="宋体" w:cs="宋体"/>
          <w:b/>
          <w:color w:val="auto"/>
          <w:sz w:val="24"/>
          <w:szCs w:val="24"/>
        </w:rPr>
        <w:t>发包人（全称）：</w:t>
      </w:r>
      <w:r>
        <w:rPr>
          <w:rFonts w:hint="eastAsia" w:ascii="宋体" w:hAnsi="宋体" w:cs="宋体"/>
          <w:color w:val="auto"/>
          <w:sz w:val="24"/>
          <w:szCs w:val="24"/>
          <w:u w:val="single"/>
          <w:lang w:eastAsia="zh-CN"/>
        </w:rPr>
        <w:t>新沂市时集镇人民政府</w:t>
      </w:r>
    </w:p>
    <w:p w14:paraId="51E2E5A8">
      <w:pPr>
        <w:spacing w:after="164"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p>
    <w:p w14:paraId="1B66E3A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根据《中华人民共和国民法典》、《中华人民共和国建筑法》及有关法律规定，遵循平等、自愿、公平和诚实信用的原则，双方就</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u w:val="single"/>
          <w:lang w:eastAsia="zh-CN"/>
        </w:rPr>
        <w:t>2024年度新沂市骆马湖片区外（时集镇白石村）省级宜居宜业和美乡村工程</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szCs w:val="24"/>
        </w:rPr>
        <w:t>施工及有关事项协商一致，共同达成如下协议：</w:t>
      </w:r>
    </w:p>
    <w:p w14:paraId="6034A1B8">
      <w:pPr>
        <w:keepNext/>
        <w:keepLines/>
        <w:spacing w:before="327" w:line="360" w:lineRule="auto"/>
        <w:rPr>
          <w:rFonts w:hint="eastAsia" w:ascii="宋体" w:hAnsi="宋体" w:eastAsia="宋体" w:cs="宋体"/>
          <w:color w:val="auto"/>
          <w:sz w:val="24"/>
          <w:szCs w:val="24"/>
        </w:rPr>
      </w:pPr>
      <w:bookmarkStart w:id="120" w:name="_Toc351203481"/>
      <w:r>
        <w:rPr>
          <w:rFonts w:hint="eastAsia" w:ascii="宋体" w:hAnsi="宋体" w:eastAsia="宋体" w:cs="宋体"/>
          <w:color w:val="auto"/>
          <w:sz w:val="24"/>
          <w:szCs w:val="24"/>
        </w:rPr>
        <w:t>一、工程概况</w:t>
      </w:r>
      <w:bookmarkEnd w:id="120"/>
    </w:p>
    <w:p w14:paraId="3541C044">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1.工程名称：</w:t>
      </w:r>
      <w:r>
        <w:rPr>
          <w:rFonts w:hint="eastAsia" w:ascii="宋体" w:hAnsi="宋体" w:eastAsia="宋体" w:cs="宋体"/>
          <w:color w:val="auto"/>
          <w:sz w:val="24"/>
          <w:szCs w:val="24"/>
          <w:u w:val="single"/>
        </w:rPr>
        <w:t xml:space="preserve">                                                。</w:t>
      </w:r>
    </w:p>
    <w:p w14:paraId="3D144AD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2.工程地点：</w:t>
      </w:r>
      <w:r>
        <w:rPr>
          <w:rFonts w:hint="eastAsia" w:ascii="宋体" w:hAnsi="宋体" w:eastAsia="宋体" w:cs="宋体"/>
          <w:color w:val="auto"/>
          <w:sz w:val="24"/>
          <w:szCs w:val="24"/>
          <w:u w:val="single"/>
        </w:rPr>
        <w:t xml:space="preserve">                                                。</w:t>
      </w:r>
    </w:p>
    <w:p w14:paraId="023CC0F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3.工程立项批准文号：</w:t>
      </w:r>
      <w:r>
        <w:rPr>
          <w:rFonts w:hint="eastAsia" w:ascii="宋体" w:hAnsi="宋体" w:eastAsia="宋体" w:cs="宋体"/>
          <w:color w:val="auto"/>
          <w:sz w:val="24"/>
          <w:szCs w:val="24"/>
          <w:u w:val="single"/>
        </w:rPr>
        <w:t xml:space="preserve">                                        。</w:t>
      </w:r>
    </w:p>
    <w:p w14:paraId="3C476CE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4.资金来源：</w:t>
      </w:r>
      <w:r>
        <w:rPr>
          <w:rFonts w:hint="eastAsia" w:ascii="宋体" w:hAnsi="宋体" w:eastAsia="宋体" w:cs="宋体"/>
          <w:color w:val="auto"/>
          <w:sz w:val="24"/>
          <w:szCs w:val="24"/>
          <w:u w:val="single"/>
        </w:rPr>
        <w:t xml:space="preserve">                                                。</w:t>
      </w:r>
    </w:p>
    <w:p w14:paraId="27A890C6">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5.工程内容：</w:t>
      </w:r>
      <w:r>
        <w:rPr>
          <w:rFonts w:hint="eastAsia" w:ascii="宋体" w:hAnsi="宋体" w:eastAsia="宋体" w:cs="宋体"/>
          <w:color w:val="auto"/>
          <w:sz w:val="24"/>
          <w:szCs w:val="24"/>
          <w:u w:val="single"/>
        </w:rPr>
        <w:t xml:space="preserve">                                                。</w:t>
      </w:r>
    </w:p>
    <w:p w14:paraId="2490D2E3">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6.工程承包范围：</w:t>
      </w:r>
      <w:r>
        <w:rPr>
          <w:rFonts w:hint="eastAsia" w:ascii="宋体" w:hAnsi="宋体" w:eastAsia="宋体" w:cs="宋体"/>
          <w:color w:val="auto"/>
          <w:sz w:val="24"/>
          <w:szCs w:val="24"/>
          <w:u w:val="single"/>
        </w:rPr>
        <w:t xml:space="preserve">                                            。</w:t>
      </w:r>
    </w:p>
    <w:p w14:paraId="755CE049">
      <w:pPr>
        <w:keepNext/>
        <w:keepLines/>
        <w:spacing w:before="327" w:line="360" w:lineRule="auto"/>
        <w:rPr>
          <w:rFonts w:hint="eastAsia" w:ascii="宋体" w:hAnsi="宋体" w:eastAsia="宋体" w:cs="宋体"/>
          <w:color w:val="auto"/>
          <w:sz w:val="24"/>
          <w:szCs w:val="24"/>
        </w:rPr>
      </w:pPr>
      <w:bookmarkStart w:id="121" w:name="_Toc351203482"/>
      <w:r>
        <w:rPr>
          <w:rFonts w:hint="eastAsia" w:ascii="宋体" w:hAnsi="宋体" w:eastAsia="宋体" w:cs="宋体"/>
          <w:color w:val="auto"/>
          <w:sz w:val="24"/>
          <w:szCs w:val="24"/>
        </w:rPr>
        <w:t>二、合同工期</w:t>
      </w:r>
      <w:bookmarkEnd w:id="121"/>
    </w:p>
    <w:p w14:paraId="21C4033F">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p>
    <w:p w14:paraId="1DFA216E">
      <w:pPr>
        <w:spacing w:line="360" w:lineRule="auto"/>
        <w:ind w:firstLine="459"/>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p>
    <w:p w14:paraId="3F7AFF39">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cs="宋体"/>
          <w:color w:val="auto"/>
          <w:sz w:val="24"/>
          <w:szCs w:val="24"/>
          <w:highlight w:val="none"/>
          <w:u w:val="single"/>
          <w:lang w:val="en-US" w:eastAsia="zh-CN"/>
        </w:rPr>
        <w:t>45</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rPr>
        <w:t>。工期总日历天数与根据前述计划开竣工日期计算的工期天数不一致的，以工期总日历天数为准。</w:t>
      </w:r>
    </w:p>
    <w:p w14:paraId="3E13FA3C">
      <w:pPr>
        <w:keepNext/>
        <w:keepLines/>
        <w:spacing w:before="327" w:line="360" w:lineRule="auto"/>
        <w:rPr>
          <w:rFonts w:hint="eastAsia" w:ascii="宋体" w:hAnsi="宋体" w:eastAsia="宋体" w:cs="宋体"/>
          <w:color w:val="auto"/>
          <w:sz w:val="24"/>
          <w:szCs w:val="24"/>
        </w:rPr>
      </w:pPr>
      <w:bookmarkStart w:id="122" w:name="_Toc351203483"/>
      <w:r>
        <w:rPr>
          <w:rFonts w:hint="eastAsia" w:ascii="宋体" w:hAnsi="宋体" w:eastAsia="宋体" w:cs="宋体"/>
          <w:color w:val="auto"/>
          <w:sz w:val="24"/>
          <w:szCs w:val="24"/>
        </w:rPr>
        <w:t>三、质量标准</w:t>
      </w:r>
      <w:bookmarkEnd w:id="122"/>
    </w:p>
    <w:p w14:paraId="217C6D64">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rPr>
        <w:t xml:space="preserve">  合格   </w:t>
      </w:r>
      <w:r>
        <w:rPr>
          <w:rFonts w:hint="eastAsia" w:ascii="宋体" w:hAnsi="宋体" w:eastAsia="宋体" w:cs="宋体"/>
          <w:color w:val="auto"/>
          <w:sz w:val="24"/>
          <w:szCs w:val="24"/>
        </w:rPr>
        <w:t>标准。</w:t>
      </w:r>
    </w:p>
    <w:p w14:paraId="5F9172BA">
      <w:pPr>
        <w:keepNext/>
        <w:keepLines/>
        <w:spacing w:before="327" w:line="360" w:lineRule="auto"/>
        <w:rPr>
          <w:rFonts w:hint="eastAsia" w:ascii="宋体" w:hAnsi="宋体" w:eastAsia="宋体" w:cs="宋体"/>
          <w:color w:val="auto"/>
          <w:sz w:val="24"/>
          <w:szCs w:val="24"/>
        </w:rPr>
      </w:pPr>
      <w:bookmarkStart w:id="123" w:name="_Toc351203484"/>
      <w:r>
        <w:rPr>
          <w:rFonts w:hint="eastAsia" w:ascii="宋体" w:hAnsi="宋体" w:eastAsia="宋体" w:cs="宋体"/>
          <w:color w:val="auto"/>
          <w:sz w:val="24"/>
          <w:szCs w:val="24"/>
        </w:rPr>
        <w:t>四、签约合同价与合同价格形式</w:t>
      </w:r>
      <w:bookmarkEnd w:id="123"/>
      <w:r>
        <w:rPr>
          <w:rFonts w:hint="eastAsia" w:ascii="宋体" w:hAnsi="宋体" w:eastAsia="宋体" w:cs="宋体"/>
          <w:color w:val="auto"/>
          <w:sz w:val="24"/>
          <w:szCs w:val="24"/>
        </w:rPr>
        <w:tab/>
      </w:r>
    </w:p>
    <w:p w14:paraId="3FF3E14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14:paraId="05A97481">
      <w:pPr>
        <w:spacing w:line="360" w:lineRule="auto"/>
        <w:ind w:firstLine="525"/>
        <w:rPr>
          <w:rFonts w:hint="eastAsia" w:ascii="宋体" w:hAnsi="宋体" w:eastAsia="宋体" w:cs="宋体"/>
          <w:color w:val="auto"/>
          <w:sz w:val="24"/>
          <w:szCs w:val="24"/>
        </w:rPr>
      </w:pPr>
      <w:r>
        <w:rPr>
          <w:rFonts w:hint="eastAsia" w:ascii="宋体" w:hAnsi="宋体" w:eastAsia="宋体" w:cs="宋体"/>
          <w:color w:val="auto"/>
          <w:sz w:val="24"/>
          <w:szCs w:val="24"/>
        </w:rPr>
        <w:t>人民币（大写）(¥元)；</w:t>
      </w:r>
    </w:p>
    <w:p w14:paraId="6B18060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其中：</w:t>
      </w:r>
    </w:p>
    <w:p w14:paraId="6E118BE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（1）安全文明施工费：</w:t>
      </w:r>
    </w:p>
    <w:p w14:paraId="30D89596">
      <w:pPr>
        <w:spacing w:line="360" w:lineRule="auto"/>
        <w:ind w:firstLine="945"/>
        <w:rPr>
          <w:rFonts w:hint="eastAsia" w:ascii="宋体" w:hAnsi="宋体" w:eastAsia="宋体" w:cs="宋体"/>
          <w:color w:val="auto"/>
          <w:sz w:val="24"/>
          <w:szCs w:val="24"/>
        </w:rPr>
      </w:pPr>
      <w:r>
        <w:rPr>
          <w:rFonts w:hint="eastAsia" w:ascii="宋体" w:hAnsi="宋体" w:eastAsia="宋体" w:cs="宋体"/>
          <w:color w:val="auto"/>
          <w:sz w:val="24"/>
          <w:szCs w:val="24"/>
        </w:rPr>
        <w:t>人民币（大写） (¥元)；</w:t>
      </w:r>
    </w:p>
    <w:p w14:paraId="3CFE80C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（2）材料和工程设备暂估价金额：</w:t>
      </w:r>
    </w:p>
    <w:p w14:paraId="2DD89D0D">
      <w:pPr>
        <w:spacing w:line="360" w:lineRule="auto"/>
        <w:ind w:firstLine="945"/>
        <w:rPr>
          <w:rFonts w:hint="eastAsia" w:ascii="宋体" w:hAnsi="宋体" w:eastAsia="宋体" w:cs="宋体"/>
          <w:color w:val="auto"/>
          <w:sz w:val="24"/>
          <w:szCs w:val="24"/>
        </w:rPr>
      </w:pPr>
      <w:r>
        <w:rPr>
          <w:rFonts w:hint="eastAsia" w:ascii="宋体" w:hAnsi="宋体" w:eastAsia="宋体" w:cs="宋体"/>
          <w:color w:val="auto"/>
          <w:sz w:val="24"/>
          <w:szCs w:val="24"/>
        </w:rPr>
        <w:t>人民币（大写） (¥元)；</w:t>
      </w:r>
    </w:p>
    <w:p w14:paraId="4ED5FA1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（3）专业工程暂估价金额：</w:t>
      </w:r>
    </w:p>
    <w:p w14:paraId="35304EA9">
      <w:pPr>
        <w:spacing w:line="360" w:lineRule="auto"/>
        <w:ind w:firstLine="945"/>
        <w:rPr>
          <w:rFonts w:hint="eastAsia" w:ascii="宋体" w:hAnsi="宋体" w:eastAsia="宋体" w:cs="宋体"/>
          <w:color w:val="auto"/>
          <w:sz w:val="24"/>
          <w:szCs w:val="24"/>
        </w:rPr>
      </w:pPr>
      <w:r>
        <w:rPr>
          <w:rFonts w:hint="eastAsia" w:ascii="宋体" w:hAnsi="宋体" w:eastAsia="宋体" w:cs="宋体"/>
          <w:color w:val="auto"/>
          <w:sz w:val="24"/>
          <w:szCs w:val="24"/>
        </w:rPr>
        <w:t>人民币（大写） (¥元)；</w:t>
      </w:r>
    </w:p>
    <w:p w14:paraId="6256C08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（4）暂列金额：</w:t>
      </w:r>
    </w:p>
    <w:p w14:paraId="684E3AA1">
      <w:pPr>
        <w:spacing w:line="360" w:lineRule="auto"/>
        <w:ind w:firstLine="945"/>
        <w:rPr>
          <w:rFonts w:hint="eastAsia" w:ascii="宋体" w:hAnsi="宋体" w:eastAsia="宋体" w:cs="宋体"/>
          <w:color w:val="auto"/>
          <w:sz w:val="24"/>
          <w:szCs w:val="24"/>
        </w:rPr>
      </w:pPr>
      <w:r>
        <w:rPr>
          <w:rFonts w:hint="eastAsia" w:ascii="宋体" w:hAnsi="宋体" w:eastAsia="宋体" w:cs="宋体"/>
          <w:color w:val="auto"/>
          <w:sz w:val="24"/>
          <w:szCs w:val="24"/>
        </w:rPr>
        <w:t>人民币（大写） (¥元)。</w:t>
      </w:r>
    </w:p>
    <w:p w14:paraId="64452A6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rPr>
        <w:t xml:space="preserve">固定单价合同  </w:t>
      </w:r>
      <w:r>
        <w:rPr>
          <w:rFonts w:hint="eastAsia" w:ascii="宋体" w:hAnsi="宋体" w:eastAsia="宋体" w:cs="宋体"/>
          <w:color w:val="auto"/>
          <w:sz w:val="24"/>
          <w:szCs w:val="24"/>
        </w:rPr>
        <w:t>。</w:t>
      </w:r>
    </w:p>
    <w:p w14:paraId="72AF6EB9">
      <w:pPr>
        <w:keepNext/>
        <w:keepLines/>
        <w:spacing w:before="327" w:line="360" w:lineRule="auto"/>
        <w:rPr>
          <w:rFonts w:hint="eastAsia" w:ascii="宋体" w:hAnsi="宋体" w:eastAsia="宋体" w:cs="宋体"/>
          <w:color w:val="auto"/>
          <w:sz w:val="24"/>
          <w:szCs w:val="24"/>
        </w:rPr>
      </w:pPr>
      <w:bookmarkStart w:id="124" w:name="_Toc351203485"/>
      <w:r>
        <w:rPr>
          <w:rFonts w:hint="eastAsia" w:ascii="宋体" w:hAnsi="宋体" w:eastAsia="宋体" w:cs="宋体"/>
          <w:color w:val="auto"/>
          <w:sz w:val="24"/>
          <w:szCs w:val="24"/>
        </w:rPr>
        <w:t>五、</w:t>
      </w:r>
      <w:bookmarkEnd w:id="124"/>
      <w:r>
        <w:rPr>
          <w:rFonts w:hint="eastAsia" w:ascii="宋体" w:hAnsi="宋体" w:eastAsia="宋体" w:cs="宋体"/>
          <w:color w:val="auto"/>
          <w:sz w:val="24"/>
          <w:szCs w:val="24"/>
        </w:rPr>
        <w:t>项目经理</w:t>
      </w:r>
    </w:p>
    <w:p w14:paraId="6EA2ED1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88429DD">
      <w:pPr>
        <w:keepNext/>
        <w:keepLines/>
        <w:spacing w:before="327" w:line="360" w:lineRule="auto"/>
        <w:rPr>
          <w:rFonts w:hint="eastAsia" w:ascii="宋体" w:hAnsi="宋体" w:eastAsia="宋体" w:cs="宋体"/>
          <w:color w:val="auto"/>
          <w:sz w:val="24"/>
          <w:szCs w:val="24"/>
        </w:rPr>
      </w:pPr>
      <w:bookmarkStart w:id="125" w:name="_Toc351203486"/>
      <w:r>
        <w:rPr>
          <w:rFonts w:hint="eastAsia" w:ascii="宋体" w:hAnsi="宋体" w:eastAsia="宋体" w:cs="宋体"/>
          <w:color w:val="auto"/>
          <w:sz w:val="24"/>
          <w:szCs w:val="24"/>
        </w:rPr>
        <w:t>六、合同文件构成</w:t>
      </w:r>
      <w:bookmarkEnd w:id="125"/>
    </w:p>
    <w:p w14:paraId="245D0B8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本协议书与下列文件一起构成合同文件：</w:t>
      </w:r>
    </w:p>
    <w:p w14:paraId="3F207C9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（1）中标通知书（如果有）；</w:t>
      </w:r>
    </w:p>
    <w:p w14:paraId="2FE7E44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（2）投标函及其附录（如果有）； </w:t>
      </w:r>
    </w:p>
    <w:p w14:paraId="1F6153D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586CFFB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71E683D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6A0C7A6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508E7EB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（7）已标价工程量清单或预算书；</w:t>
      </w:r>
    </w:p>
    <w:p w14:paraId="637424C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5DCDD8B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6725F41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2F0D7E13">
      <w:pPr>
        <w:keepNext/>
        <w:keepLines/>
        <w:spacing w:before="327" w:line="360" w:lineRule="auto"/>
        <w:rPr>
          <w:rFonts w:hint="eastAsia" w:ascii="宋体" w:hAnsi="宋体" w:eastAsia="宋体" w:cs="宋体"/>
          <w:color w:val="auto"/>
          <w:sz w:val="24"/>
          <w:szCs w:val="24"/>
        </w:rPr>
      </w:pPr>
      <w:bookmarkStart w:id="126" w:name="_Toc351203487"/>
      <w:r>
        <w:rPr>
          <w:rFonts w:hint="eastAsia" w:ascii="宋体" w:hAnsi="宋体" w:eastAsia="宋体" w:cs="宋体"/>
          <w:color w:val="auto"/>
          <w:sz w:val="24"/>
          <w:szCs w:val="24"/>
        </w:rPr>
        <w:t>七、承诺</w:t>
      </w:r>
      <w:bookmarkEnd w:id="126"/>
    </w:p>
    <w:p w14:paraId="2EAE266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1.发包人承诺按照法律规定履行项目审批手续、筹集工程建设资金并按照合同约定的期限和方式支付合同价款。</w:t>
      </w:r>
    </w:p>
    <w:p w14:paraId="34225E7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2.承包人承诺按照法律规定及合同约定组织完成工程施工，确保工程质量和安全，不进行转包及违法分包，并在缺陷责任期及保修期内承担相应的工程维修责任。</w:t>
      </w:r>
    </w:p>
    <w:p w14:paraId="77BF2FCC">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3.发包人和承包人通过招投标形式签订合同的，双方理解并承诺不再就同一工程另行签订与合同实质性内容相背离的协议。</w:t>
      </w:r>
    </w:p>
    <w:p w14:paraId="2CBB7F72">
      <w:pPr>
        <w:keepNext/>
        <w:keepLines/>
        <w:spacing w:before="327" w:line="360" w:lineRule="auto"/>
        <w:rPr>
          <w:rFonts w:hint="eastAsia" w:ascii="宋体" w:hAnsi="宋体" w:eastAsia="宋体" w:cs="宋体"/>
          <w:color w:val="auto"/>
          <w:sz w:val="24"/>
          <w:szCs w:val="24"/>
        </w:rPr>
      </w:pPr>
      <w:bookmarkStart w:id="127" w:name="_Toc351203488"/>
      <w:r>
        <w:rPr>
          <w:rFonts w:hint="eastAsia" w:ascii="宋体" w:hAnsi="宋体" w:eastAsia="宋体" w:cs="宋体"/>
          <w:color w:val="auto"/>
          <w:sz w:val="24"/>
          <w:szCs w:val="24"/>
        </w:rPr>
        <w:t>八、词语含义</w:t>
      </w:r>
      <w:bookmarkEnd w:id="127"/>
    </w:p>
    <w:p w14:paraId="12E2440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本协议书中词语含义与第二部分通用合同条款中赋予的含义相同。</w:t>
      </w:r>
    </w:p>
    <w:p w14:paraId="200EDE36">
      <w:pPr>
        <w:keepNext/>
        <w:keepLines/>
        <w:spacing w:before="327" w:line="360" w:lineRule="auto"/>
        <w:rPr>
          <w:rFonts w:hint="eastAsia" w:ascii="宋体" w:hAnsi="宋体" w:eastAsia="宋体" w:cs="宋体"/>
          <w:color w:val="auto"/>
          <w:sz w:val="24"/>
          <w:szCs w:val="24"/>
        </w:rPr>
      </w:pPr>
      <w:bookmarkStart w:id="128" w:name="_Toc351203489"/>
      <w:r>
        <w:rPr>
          <w:rFonts w:hint="eastAsia" w:ascii="宋体" w:hAnsi="宋体" w:eastAsia="宋体" w:cs="宋体"/>
          <w:color w:val="auto"/>
          <w:sz w:val="24"/>
          <w:szCs w:val="24"/>
        </w:rPr>
        <w:t>九、签订时间</w:t>
      </w:r>
      <w:bookmarkEnd w:id="128"/>
    </w:p>
    <w:p w14:paraId="141B277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本合同于</w:t>
      </w:r>
      <w:r>
        <w:rPr>
          <w:rFonts w:hint="eastAsia" w:ascii="宋体" w:hAnsi="宋体" w:eastAsia="宋体" w:cs="宋体"/>
          <w:color w:val="auto"/>
          <w:sz w:val="24"/>
          <w:szCs w:val="24"/>
          <w:u w:val="single"/>
        </w:rPr>
        <w:t xml:space="preserve">  202</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日签订。</w:t>
      </w:r>
    </w:p>
    <w:p w14:paraId="4D7135A8">
      <w:pPr>
        <w:keepNext/>
        <w:keepLines/>
        <w:spacing w:before="327" w:line="360" w:lineRule="auto"/>
        <w:rPr>
          <w:rFonts w:hint="eastAsia" w:ascii="宋体" w:hAnsi="宋体" w:eastAsia="宋体" w:cs="宋体"/>
          <w:color w:val="auto"/>
          <w:sz w:val="24"/>
          <w:szCs w:val="24"/>
        </w:rPr>
      </w:pPr>
      <w:bookmarkStart w:id="129" w:name="_Toc351203490"/>
      <w:r>
        <w:rPr>
          <w:rFonts w:hint="eastAsia" w:ascii="宋体" w:hAnsi="宋体" w:eastAsia="宋体" w:cs="宋体"/>
          <w:color w:val="auto"/>
          <w:sz w:val="24"/>
          <w:szCs w:val="24"/>
        </w:rPr>
        <w:t>十、签订地点</w:t>
      </w:r>
      <w:bookmarkEnd w:id="129"/>
    </w:p>
    <w:p w14:paraId="672AC8C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本合同在</w:t>
      </w:r>
      <w:r>
        <w:rPr>
          <w:rFonts w:hint="eastAsia" w:ascii="宋体" w:hAnsi="宋体" w:eastAsia="宋体" w:cs="宋体"/>
          <w:color w:val="auto"/>
          <w:sz w:val="24"/>
          <w:szCs w:val="24"/>
          <w:u w:val="single"/>
        </w:rPr>
        <w:t xml:space="preserve">   江苏省新沂市   </w:t>
      </w:r>
      <w:r>
        <w:rPr>
          <w:rFonts w:hint="eastAsia" w:ascii="宋体" w:hAnsi="宋体" w:eastAsia="宋体" w:cs="宋体"/>
          <w:color w:val="auto"/>
          <w:sz w:val="24"/>
          <w:szCs w:val="24"/>
        </w:rPr>
        <w:t>签订。</w:t>
      </w:r>
    </w:p>
    <w:p w14:paraId="67640ECE">
      <w:pPr>
        <w:keepNext/>
        <w:keepLines/>
        <w:spacing w:before="327" w:line="360" w:lineRule="auto"/>
        <w:rPr>
          <w:rFonts w:hint="eastAsia" w:ascii="宋体" w:hAnsi="宋体" w:eastAsia="宋体" w:cs="宋体"/>
          <w:color w:val="auto"/>
          <w:sz w:val="24"/>
          <w:szCs w:val="24"/>
        </w:rPr>
      </w:pPr>
      <w:bookmarkStart w:id="130" w:name="_Toc351203491"/>
      <w:r>
        <w:rPr>
          <w:rFonts w:hint="eastAsia" w:ascii="宋体" w:hAnsi="宋体" w:eastAsia="宋体" w:cs="宋体"/>
          <w:color w:val="auto"/>
          <w:sz w:val="24"/>
          <w:szCs w:val="24"/>
        </w:rPr>
        <w:t>十一、补充协议</w:t>
      </w:r>
      <w:bookmarkEnd w:id="130"/>
    </w:p>
    <w:p w14:paraId="7B45CFC2">
      <w:pPr>
        <w:spacing w:line="360" w:lineRule="auto"/>
        <w:ind w:firstLine="420"/>
        <w:rPr>
          <w:rFonts w:hint="eastAsia" w:ascii="宋体" w:hAnsi="宋体" w:eastAsia="宋体" w:cs="宋体"/>
          <w:b/>
          <w:color w:val="auto"/>
          <w:sz w:val="24"/>
          <w:szCs w:val="24"/>
        </w:rPr>
      </w:pPr>
      <w:r>
        <w:rPr>
          <w:rFonts w:hint="eastAsia" w:ascii="宋体" w:hAnsi="宋体" w:eastAsia="宋体" w:cs="宋体"/>
          <w:color w:val="auto"/>
          <w:sz w:val="24"/>
          <w:szCs w:val="24"/>
        </w:rPr>
        <w:t>合同未尽事宜，合同当事人另行签订补充协议，补充协议是合同的组成部分。</w:t>
      </w:r>
    </w:p>
    <w:p w14:paraId="3A002081">
      <w:pPr>
        <w:keepNext/>
        <w:keepLines/>
        <w:spacing w:before="327" w:line="360" w:lineRule="auto"/>
        <w:rPr>
          <w:rFonts w:hint="eastAsia" w:ascii="宋体" w:hAnsi="宋体" w:eastAsia="宋体" w:cs="宋体"/>
          <w:color w:val="auto"/>
          <w:sz w:val="24"/>
          <w:szCs w:val="24"/>
        </w:rPr>
      </w:pPr>
      <w:bookmarkStart w:id="131" w:name="_Toc351203492"/>
      <w:r>
        <w:rPr>
          <w:rFonts w:hint="eastAsia" w:ascii="宋体" w:hAnsi="宋体" w:eastAsia="宋体" w:cs="宋体"/>
          <w:color w:val="auto"/>
          <w:sz w:val="24"/>
          <w:szCs w:val="24"/>
        </w:rPr>
        <w:t>十二、合同生效</w:t>
      </w:r>
      <w:bookmarkEnd w:id="131"/>
    </w:p>
    <w:p w14:paraId="06706FF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本合同自</w:t>
      </w:r>
      <w:r>
        <w:rPr>
          <w:rFonts w:hint="eastAsia" w:ascii="宋体" w:hAnsi="宋体" w:eastAsia="宋体" w:cs="宋体"/>
          <w:color w:val="auto"/>
          <w:sz w:val="24"/>
          <w:szCs w:val="24"/>
          <w:u w:val="single"/>
        </w:rPr>
        <w:t xml:space="preserve">   签字、盖章   </w:t>
      </w:r>
      <w:r>
        <w:rPr>
          <w:rFonts w:hint="eastAsia" w:ascii="宋体" w:hAnsi="宋体" w:eastAsia="宋体" w:cs="宋体"/>
          <w:color w:val="auto"/>
          <w:sz w:val="24"/>
          <w:szCs w:val="24"/>
        </w:rPr>
        <w:t>生效。</w:t>
      </w:r>
    </w:p>
    <w:p w14:paraId="7DA13B66">
      <w:pPr>
        <w:keepNext/>
        <w:keepLines/>
        <w:spacing w:before="327" w:line="360" w:lineRule="auto"/>
        <w:rPr>
          <w:rFonts w:hint="eastAsia" w:ascii="宋体" w:hAnsi="宋体" w:eastAsia="宋体" w:cs="宋体"/>
          <w:color w:val="auto"/>
          <w:sz w:val="24"/>
          <w:szCs w:val="24"/>
        </w:rPr>
      </w:pPr>
      <w:bookmarkStart w:id="132" w:name="_Toc351203493"/>
      <w:r>
        <w:rPr>
          <w:rFonts w:hint="eastAsia" w:ascii="宋体" w:hAnsi="宋体" w:eastAsia="宋体" w:cs="宋体"/>
          <w:color w:val="auto"/>
          <w:sz w:val="24"/>
          <w:szCs w:val="24"/>
        </w:rPr>
        <w:t>十三、合同份数</w:t>
      </w:r>
      <w:bookmarkEnd w:id="132"/>
    </w:p>
    <w:p w14:paraId="343A119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u w:val="single"/>
        </w:rPr>
        <w:t xml:space="preserve">  肆  </w:t>
      </w:r>
      <w:r>
        <w:rPr>
          <w:rFonts w:hint="eastAsia" w:ascii="宋体" w:hAnsi="宋体" w:eastAsia="宋体" w:cs="宋体"/>
          <w:color w:val="auto"/>
          <w:sz w:val="24"/>
          <w:szCs w:val="24"/>
        </w:rPr>
        <w:t>份，均具有同等法律效力，发包人执</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份，承包人执</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w:t>
      </w:r>
    </w:p>
    <w:p w14:paraId="21C842B9">
      <w:pPr>
        <w:spacing w:line="360" w:lineRule="auto"/>
        <w:rPr>
          <w:rFonts w:hint="eastAsia" w:ascii="宋体" w:hAnsi="宋体" w:eastAsia="宋体" w:cs="宋体"/>
          <w:color w:val="auto"/>
          <w:sz w:val="24"/>
          <w:szCs w:val="24"/>
        </w:rPr>
      </w:pPr>
    </w:p>
    <w:p w14:paraId="4648E5DE">
      <w:pPr>
        <w:spacing w:line="360" w:lineRule="auto"/>
        <w:rPr>
          <w:rFonts w:hint="eastAsia" w:ascii="宋体" w:hAnsi="宋体" w:eastAsia="宋体" w:cs="宋体"/>
          <w:color w:val="auto"/>
          <w:sz w:val="24"/>
          <w:szCs w:val="24"/>
        </w:rPr>
      </w:pPr>
    </w:p>
    <w:tbl>
      <w:tblPr>
        <w:tblStyle w:val="37"/>
        <w:tblW w:w="9410" w:type="dxa"/>
        <w:jc w:val="center"/>
        <w:tblLayout w:type="fixed"/>
        <w:tblCellMar>
          <w:top w:w="0" w:type="dxa"/>
          <w:left w:w="0" w:type="dxa"/>
          <w:bottom w:w="0" w:type="dxa"/>
          <w:right w:w="0" w:type="dxa"/>
        </w:tblCellMar>
      </w:tblPr>
      <w:tblGrid>
        <w:gridCol w:w="4705"/>
        <w:gridCol w:w="4705"/>
      </w:tblGrid>
      <w:tr w14:paraId="49DAC1D4">
        <w:tblPrEx>
          <w:tblCellMar>
            <w:top w:w="0" w:type="dxa"/>
            <w:left w:w="0" w:type="dxa"/>
            <w:bottom w:w="0" w:type="dxa"/>
            <w:right w:w="0" w:type="dxa"/>
          </w:tblCellMar>
        </w:tblPrEx>
        <w:trPr>
          <w:trHeight w:val="850" w:hRule="exact"/>
          <w:jc w:val="center"/>
        </w:trPr>
        <w:tc>
          <w:tcPr>
            <w:tcW w:w="4705" w:type="dxa"/>
            <w:tcBorders>
              <w:top w:val="nil"/>
              <w:left w:val="nil"/>
              <w:bottom w:val="nil"/>
              <w:right w:val="nil"/>
            </w:tcBorders>
            <w:noWrap w:val="0"/>
          </w:tcPr>
          <w:p w14:paraId="186474AD">
            <w:pPr>
              <w:rPr>
                <w:rFonts w:hint="eastAsia" w:ascii="宋体" w:hAnsi="宋体" w:eastAsia="宋体" w:cs="宋体"/>
                <w:color w:val="auto"/>
                <w:sz w:val="24"/>
                <w:szCs w:val="24"/>
              </w:rPr>
            </w:pPr>
            <w:r>
              <w:rPr>
                <w:rFonts w:hint="eastAsia" w:ascii="宋体" w:hAnsi="宋体" w:eastAsia="宋体" w:cs="宋体"/>
                <w:color w:val="auto"/>
                <w:sz w:val="24"/>
                <w:szCs w:val="24"/>
              </w:rPr>
              <w:t>发包人：  (公章)</w:t>
            </w:r>
          </w:p>
        </w:tc>
        <w:tc>
          <w:tcPr>
            <w:tcW w:w="4705" w:type="dxa"/>
            <w:tcBorders>
              <w:top w:val="nil"/>
              <w:left w:val="nil"/>
              <w:bottom w:val="nil"/>
              <w:right w:val="nil"/>
            </w:tcBorders>
            <w:noWrap w:val="0"/>
          </w:tcPr>
          <w:p w14:paraId="50575876">
            <w:pPr>
              <w:rPr>
                <w:rFonts w:hint="eastAsia" w:ascii="宋体" w:hAnsi="宋体" w:eastAsia="宋体" w:cs="宋体"/>
                <w:color w:val="auto"/>
                <w:sz w:val="24"/>
                <w:szCs w:val="24"/>
              </w:rPr>
            </w:pPr>
            <w:r>
              <w:rPr>
                <w:rFonts w:hint="eastAsia" w:ascii="宋体" w:hAnsi="宋体" w:eastAsia="宋体" w:cs="宋体"/>
                <w:color w:val="auto"/>
                <w:sz w:val="24"/>
                <w:szCs w:val="24"/>
              </w:rPr>
              <w:t>承包人：  (公章)</w:t>
            </w:r>
          </w:p>
        </w:tc>
      </w:tr>
      <w:tr w14:paraId="3822CF0A">
        <w:tblPrEx>
          <w:tblCellMar>
            <w:top w:w="0" w:type="dxa"/>
            <w:left w:w="0" w:type="dxa"/>
            <w:bottom w:w="0" w:type="dxa"/>
            <w:right w:w="0" w:type="dxa"/>
          </w:tblCellMar>
        </w:tblPrEx>
        <w:trPr>
          <w:trHeight w:val="850" w:hRule="exact"/>
          <w:jc w:val="center"/>
        </w:trPr>
        <w:tc>
          <w:tcPr>
            <w:tcW w:w="4705" w:type="dxa"/>
            <w:tcBorders>
              <w:top w:val="nil"/>
              <w:left w:val="nil"/>
              <w:bottom w:val="nil"/>
              <w:right w:val="nil"/>
            </w:tcBorders>
            <w:noWrap w:val="0"/>
            <w:vAlign w:val="center"/>
          </w:tcPr>
          <w:p w14:paraId="13E684C5">
            <w:pPr>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p>
          <w:p w14:paraId="78BE4B95">
            <w:pPr>
              <w:rPr>
                <w:rFonts w:hint="eastAsia" w:ascii="宋体" w:hAnsi="宋体" w:eastAsia="宋体" w:cs="宋体"/>
                <w:color w:val="auto"/>
                <w:sz w:val="24"/>
                <w:szCs w:val="24"/>
              </w:rPr>
            </w:pPr>
            <w:r>
              <w:rPr>
                <w:rFonts w:hint="eastAsia" w:ascii="宋体" w:hAnsi="宋体" w:eastAsia="宋体" w:cs="宋体"/>
                <w:color w:val="auto"/>
                <w:sz w:val="24"/>
                <w:szCs w:val="24"/>
              </w:rPr>
              <w:t>（签字）</w:t>
            </w:r>
          </w:p>
        </w:tc>
        <w:tc>
          <w:tcPr>
            <w:tcW w:w="4705" w:type="dxa"/>
            <w:tcBorders>
              <w:top w:val="nil"/>
              <w:left w:val="nil"/>
              <w:bottom w:val="nil"/>
              <w:right w:val="nil"/>
            </w:tcBorders>
            <w:noWrap w:val="0"/>
            <w:vAlign w:val="center"/>
          </w:tcPr>
          <w:p w14:paraId="18EAAC27">
            <w:pPr>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p>
          <w:p w14:paraId="4712767B">
            <w:pPr>
              <w:rPr>
                <w:rFonts w:hint="eastAsia" w:ascii="宋体" w:hAnsi="宋体" w:eastAsia="宋体" w:cs="宋体"/>
                <w:color w:val="auto"/>
                <w:sz w:val="24"/>
                <w:szCs w:val="24"/>
              </w:rPr>
            </w:pPr>
            <w:r>
              <w:rPr>
                <w:rFonts w:hint="eastAsia" w:ascii="宋体" w:hAnsi="宋体" w:eastAsia="宋体" w:cs="宋体"/>
                <w:color w:val="auto"/>
                <w:sz w:val="24"/>
                <w:szCs w:val="24"/>
              </w:rPr>
              <w:t>（签字）</w:t>
            </w:r>
          </w:p>
        </w:tc>
      </w:tr>
      <w:tr w14:paraId="44C1B6CF">
        <w:tblPrEx>
          <w:tblCellMar>
            <w:top w:w="0" w:type="dxa"/>
            <w:left w:w="0" w:type="dxa"/>
            <w:bottom w:w="0" w:type="dxa"/>
            <w:right w:w="0" w:type="dxa"/>
          </w:tblCellMar>
        </w:tblPrEx>
        <w:trPr>
          <w:trHeight w:val="680" w:hRule="exact"/>
          <w:jc w:val="center"/>
        </w:trPr>
        <w:tc>
          <w:tcPr>
            <w:tcW w:w="4705" w:type="dxa"/>
            <w:tcBorders>
              <w:top w:val="nil"/>
              <w:left w:val="nil"/>
              <w:bottom w:val="nil"/>
              <w:right w:val="nil"/>
            </w:tcBorders>
            <w:noWrap w:val="0"/>
            <w:vAlign w:val="center"/>
          </w:tcPr>
          <w:p w14:paraId="46AB3015">
            <w:pP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4705" w:type="dxa"/>
            <w:tcBorders>
              <w:top w:val="nil"/>
              <w:left w:val="nil"/>
              <w:bottom w:val="nil"/>
              <w:right w:val="nil"/>
            </w:tcBorders>
            <w:noWrap w:val="0"/>
            <w:vAlign w:val="center"/>
          </w:tcPr>
          <w:p w14:paraId="02BD1712">
            <w:pP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r>
      <w:tr w14:paraId="4D1F3C8B">
        <w:tblPrEx>
          <w:tblCellMar>
            <w:top w:w="0" w:type="dxa"/>
            <w:left w:w="0" w:type="dxa"/>
            <w:bottom w:w="0" w:type="dxa"/>
            <w:right w:w="0" w:type="dxa"/>
          </w:tblCellMar>
        </w:tblPrEx>
        <w:trPr>
          <w:trHeight w:val="680" w:hRule="exact"/>
          <w:jc w:val="center"/>
        </w:trPr>
        <w:tc>
          <w:tcPr>
            <w:tcW w:w="4705" w:type="dxa"/>
            <w:tcBorders>
              <w:top w:val="nil"/>
              <w:left w:val="nil"/>
              <w:bottom w:val="nil"/>
              <w:right w:val="nil"/>
            </w:tcBorders>
            <w:noWrap w:val="0"/>
            <w:vAlign w:val="center"/>
          </w:tcPr>
          <w:p w14:paraId="35564911">
            <w:pPr>
              <w:rPr>
                <w:rFonts w:hint="eastAsia" w:ascii="宋体" w:hAnsi="宋体" w:eastAsia="宋体" w:cs="宋体"/>
                <w:color w:val="auto"/>
                <w:sz w:val="24"/>
                <w:szCs w:val="24"/>
              </w:rPr>
            </w:pPr>
            <w:r>
              <w:rPr>
                <w:rFonts w:hint="eastAsia" w:ascii="宋体" w:hAnsi="宋体" w:eastAsia="宋体" w:cs="宋体"/>
                <w:color w:val="auto"/>
                <w:sz w:val="24"/>
                <w:szCs w:val="24"/>
              </w:rPr>
              <w:t>地    址：</w:t>
            </w:r>
          </w:p>
        </w:tc>
        <w:tc>
          <w:tcPr>
            <w:tcW w:w="4705" w:type="dxa"/>
            <w:tcBorders>
              <w:top w:val="nil"/>
              <w:left w:val="nil"/>
              <w:bottom w:val="nil"/>
              <w:right w:val="nil"/>
            </w:tcBorders>
            <w:noWrap w:val="0"/>
            <w:vAlign w:val="center"/>
          </w:tcPr>
          <w:p w14:paraId="07D8FF53">
            <w:pPr>
              <w:rPr>
                <w:rFonts w:hint="eastAsia" w:ascii="宋体" w:hAnsi="宋体" w:eastAsia="宋体" w:cs="宋体"/>
                <w:color w:val="auto"/>
                <w:sz w:val="24"/>
                <w:szCs w:val="24"/>
              </w:rPr>
            </w:pPr>
            <w:r>
              <w:rPr>
                <w:rFonts w:hint="eastAsia" w:ascii="宋体" w:hAnsi="宋体" w:eastAsia="宋体" w:cs="宋体"/>
                <w:color w:val="auto"/>
                <w:sz w:val="24"/>
                <w:szCs w:val="24"/>
              </w:rPr>
              <w:t>地    址：</w:t>
            </w:r>
          </w:p>
        </w:tc>
      </w:tr>
      <w:tr w14:paraId="7D668DFE">
        <w:tblPrEx>
          <w:tblCellMar>
            <w:top w:w="0" w:type="dxa"/>
            <w:left w:w="0" w:type="dxa"/>
            <w:bottom w:w="0" w:type="dxa"/>
            <w:right w:w="0" w:type="dxa"/>
          </w:tblCellMar>
        </w:tblPrEx>
        <w:trPr>
          <w:trHeight w:val="680" w:hRule="exact"/>
          <w:jc w:val="center"/>
        </w:trPr>
        <w:tc>
          <w:tcPr>
            <w:tcW w:w="4705" w:type="dxa"/>
            <w:tcBorders>
              <w:top w:val="nil"/>
              <w:left w:val="nil"/>
              <w:bottom w:val="nil"/>
              <w:right w:val="nil"/>
            </w:tcBorders>
            <w:noWrap w:val="0"/>
            <w:vAlign w:val="center"/>
          </w:tcPr>
          <w:p w14:paraId="6CF4487C">
            <w:pP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4705" w:type="dxa"/>
            <w:tcBorders>
              <w:top w:val="nil"/>
              <w:left w:val="nil"/>
              <w:bottom w:val="nil"/>
              <w:right w:val="nil"/>
            </w:tcBorders>
            <w:noWrap w:val="0"/>
            <w:vAlign w:val="center"/>
          </w:tcPr>
          <w:p w14:paraId="12B9E5E9">
            <w:pP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r>
      <w:tr w14:paraId="7B6501B7">
        <w:tblPrEx>
          <w:tblCellMar>
            <w:top w:w="0" w:type="dxa"/>
            <w:left w:w="0" w:type="dxa"/>
            <w:bottom w:w="0" w:type="dxa"/>
            <w:right w:w="0" w:type="dxa"/>
          </w:tblCellMar>
        </w:tblPrEx>
        <w:trPr>
          <w:trHeight w:val="680" w:hRule="exact"/>
          <w:jc w:val="center"/>
        </w:trPr>
        <w:tc>
          <w:tcPr>
            <w:tcW w:w="4705" w:type="dxa"/>
            <w:tcBorders>
              <w:top w:val="nil"/>
              <w:left w:val="nil"/>
              <w:bottom w:val="nil"/>
              <w:right w:val="nil"/>
            </w:tcBorders>
            <w:noWrap w:val="0"/>
            <w:vAlign w:val="center"/>
          </w:tcPr>
          <w:p w14:paraId="167D6C03">
            <w:pPr>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c>
          <w:tcPr>
            <w:tcW w:w="4705" w:type="dxa"/>
            <w:tcBorders>
              <w:top w:val="nil"/>
              <w:left w:val="nil"/>
              <w:bottom w:val="nil"/>
              <w:right w:val="nil"/>
            </w:tcBorders>
            <w:noWrap w:val="0"/>
            <w:vAlign w:val="center"/>
          </w:tcPr>
          <w:p w14:paraId="7E47A7B0">
            <w:pPr>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r>
      <w:tr w14:paraId="7765DD9B">
        <w:tblPrEx>
          <w:tblCellMar>
            <w:top w:w="0" w:type="dxa"/>
            <w:left w:w="0" w:type="dxa"/>
            <w:bottom w:w="0" w:type="dxa"/>
            <w:right w:w="0" w:type="dxa"/>
          </w:tblCellMar>
        </w:tblPrEx>
        <w:trPr>
          <w:trHeight w:val="680" w:hRule="exact"/>
          <w:jc w:val="center"/>
        </w:trPr>
        <w:tc>
          <w:tcPr>
            <w:tcW w:w="4705" w:type="dxa"/>
            <w:tcBorders>
              <w:top w:val="nil"/>
              <w:left w:val="nil"/>
              <w:bottom w:val="nil"/>
              <w:right w:val="nil"/>
            </w:tcBorders>
            <w:noWrap w:val="0"/>
            <w:vAlign w:val="center"/>
          </w:tcPr>
          <w:p w14:paraId="42C72B77">
            <w:pPr>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4705" w:type="dxa"/>
            <w:tcBorders>
              <w:top w:val="nil"/>
              <w:left w:val="nil"/>
              <w:bottom w:val="nil"/>
              <w:right w:val="nil"/>
            </w:tcBorders>
            <w:noWrap w:val="0"/>
            <w:vAlign w:val="center"/>
          </w:tcPr>
          <w:p w14:paraId="673FCDF4">
            <w:pPr>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r>
      <w:tr w14:paraId="0C644B6C">
        <w:tblPrEx>
          <w:tblCellMar>
            <w:top w:w="0" w:type="dxa"/>
            <w:left w:w="0" w:type="dxa"/>
            <w:bottom w:w="0" w:type="dxa"/>
            <w:right w:w="0" w:type="dxa"/>
          </w:tblCellMar>
        </w:tblPrEx>
        <w:trPr>
          <w:trHeight w:val="680" w:hRule="exact"/>
          <w:jc w:val="center"/>
        </w:trPr>
        <w:tc>
          <w:tcPr>
            <w:tcW w:w="4705" w:type="dxa"/>
            <w:tcBorders>
              <w:top w:val="nil"/>
              <w:left w:val="nil"/>
              <w:bottom w:val="nil"/>
              <w:right w:val="nil"/>
            </w:tcBorders>
            <w:noWrap w:val="0"/>
            <w:vAlign w:val="center"/>
          </w:tcPr>
          <w:p w14:paraId="7159182F">
            <w:pPr>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4705" w:type="dxa"/>
            <w:tcBorders>
              <w:top w:val="nil"/>
              <w:left w:val="nil"/>
              <w:bottom w:val="nil"/>
              <w:right w:val="nil"/>
            </w:tcBorders>
            <w:noWrap w:val="0"/>
            <w:vAlign w:val="center"/>
          </w:tcPr>
          <w:p w14:paraId="3A37CF8A">
            <w:pPr>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r>
      <w:tr w14:paraId="34315B11">
        <w:tblPrEx>
          <w:tblCellMar>
            <w:top w:w="0" w:type="dxa"/>
            <w:left w:w="0" w:type="dxa"/>
            <w:bottom w:w="0" w:type="dxa"/>
            <w:right w:w="0" w:type="dxa"/>
          </w:tblCellMar>
        </w:tblPrEx>
        <w:trPr>
          <w:trHeight w:val="680" w:hRule="exact"/>
          <w:jc w:val="center"/>
        </w:trPr>
        <w:tc>
          <w:tcPr>
            <w:tcW w:w="4705" w:type="dxa"/>
            <w:tcBorders>
              <w:top w:val="nil"/>
              <w:left w:val="nil"/>
              <w:bottom w:val="nil"/>
              <w:right w:val="nil"/>
            </w:tcBorders>
            <w:noWrap w:val="0"/>
            <w:vAlign w:val="center"/>
          </w:tcPr>
          <w:p w14:paraId="6C095751">
            <w:pPr>
              <w:rPr>
                <w:rFonts w:hint="eastAsia" w:ascii="宋体" w:hAnsi="宋体" w:eastAsia="宋体" w:cs="宋体"/>
                <w:color w:val="auto"/>
                <w:sz w:val="24"/>
                <w:szCs w:val="24"/>
              </w:rPr>
            </w:pPr>
            <w:r>
              <w:rPr>
                <w:rFonts w:hint="eastAsia" w:ascii="宋体" w:hAnsi="宋体" w:eastAsia="宋体" w:cs="宋体"/>
                <w:color w:val="auto"/>
                <w:sz w:val="24"/>
                <w:szCs w:val="24"/>
              </w:rPr>
              <w:t>电子信箱：</w:t>
            </w:r>
          </w:p>
        </w:tc>
        <w:tc>
          <w:tcPr>
            <w:tcW w:w="4705" w:type="dxa"/>
            <w:tcBorders>
              <w:top w:val="nil"/>
              <w:left w:val="nil"/>
              <w:bottom w:val="nil"/>
              <w:right w:val="nil"/>
            </w:tcBorders>
            <w:noWrap w:val="0"/>
            <w:vAlign w:val="center"/>
          </w:tcPr>
          <w:p w14:paraId="475B8098">
            <w:pPr>
              <w:rPr>
                <w:rFonts w:hint="eastAsia" w:ascii="宋体" w:hAnsi="宋体" w:eastAsia="宋体" w:cs="宋体"/>
                <w:color w:val="auto"/>
                <w:sz w:val="24"/>
                <w:szCs w:val="24"/>
              </w:rPr>
            </w:pPr>
            <w:r>
              <w:rPr>
                <w:rFonts w:hint="eastAsia" w:ascii="宋体" w:hAnsi="宋体" w:eastAsia="宋体" w:cs="宋体"/>
                <w:color w:val="auto"/>
                <w:sz w:val="24"/>
                <w:szCs w:val="24"/>
              </w:rPr>
              <w:t>电子信箱：</w:t>
            </w:r>
          </w:p>
        </w:tc>
      </w:tr>
      <w:tr w14:paraId="6E346EED">
        <w:tblPrEx>
          <w:tblCellMar>
            <w:top w:w="0" w:type="dxa"/>
            <w:left w:w="0" w:type="dxa"/>
            <w:bottom w:w="0" w:type="dxa"/>
            <w:right w:w="0" w:type="dxa"/>
          </w:tblCellMar>
        </w:tblPrEx>
        <w:trPr>
          <w:trHeight w:val="680" w:hRule="exact"/>
          <w:jc w:val="center"/>
        </w:trPr>
        <w:tc>
          <w:tcPr>
            <w:tcW w:w="4705" w:type="dxa"/>
            <w:tcBorders>
              <w:top w:val="nil"/>
              <w:left w:val="nil"/>
              <w:bottom w:val="nil"/>
              <w:right w:val="nil"/>
            </w:tcBorders>
            <w:noWrap w:val="0"/>
            <w:vAlign w:val="center"/>
          </w:tcPr>
          <w:p w14:paraId="36AF2287">
            <w:pP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705" w:type="dxa"/>
            <w:tcBorders>
              <w:top w:val="nil"/>
              <w:left w:val="nil"/>
              <w:bottom w:val="nil"/>
              <w:right w:val="nil"/>
            </w:tcBorders>
            <w:noWrap w:val="0"/>
            <w:vAlign w:val="center"/>
          </w:tcPr>
          <w:p w14:paraId="5903D3F4">
            <w:pP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4F3312D3">
        <w:tblPrEx>
          <w:tblCellMar>
            <w:top w:w="0" w:type="dxa"/>
            <w:left w:w="0" w:type="dxa"/>
            <w:bottom w:w="0" w:type="dxa"/>
            <w:right w:w="0" w:type="dxa"/>
          </w:tblCellMar>
        </w:tblPrEx>
        <w:trPr>
          <w:trHeight w:val="680" w:hRule="exact"/>
          <w:jc w:val="center"/>
        </w:trPr>
        <w:tc>
          <w:tcPr>
            <w:tcW w:w="4705" w:type="dxa"/>
            <w:tcBorders>
              <w:top w:val="nil"/>
              <w:left w:val="nil"/>
              <w:bottom w:val="nil"/>
              <w:right w:val="nil"/>
            </w:tcBorders>
            <w:noWrap w:val="0"/>
            <w:vAlign w:val="center"/>
          </w:tcPr>
          <w:p w14:paraId="3D4B0B25">
            <w:pPr>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4705" w:type="dxa"/>
            <w:tcBorders>
              <w:top w:val="nil"/>
              <w:left w:val="nil"/>
              <w:bottom w:val="nil"/>
              <w:right w:val="nil"/>
            </w:tcBorders>
            <w:noWrap w:val="0"/>
            <w:vAlign w:val="center"/>
          </w:tcPr>
          <w:p w14:paraId="61C0BC55">
            <w:pPr>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r>
    </w:tbl>
    <w:p w14:paraId="7A8811D1">
      <w:pPr>
        <w:keepNext/>
        <w:keepLines/>
        <w:jc w:val="cente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br w:type="page" w:clear="all"/>
      </w:r>
      <w:bookmarkStart w:id="133" w:name="_Toc498006745"/>
    </w:p>
    <w:p w14:paraId="03122F34">
      <w:pPr>
        <w:keepNext/>
        <w:keepLines/>
        <w:jc w:val="center"/>
        <w:rPr>
          <w:rFonts w:hint="eastAsia" w:ascii="宋体" w:hAnsi="宋体" w:eastAsia="宋体" w:cs="宋体"/>
          <w:color w:val="auto"/>
          <w:sz w:val="32"/>
          <w:szCs w:val="32"/>
        </w:rPr>
      </w:pPr>
      <w:r>
        <w:rPr>
          <w:rFonts w:hint="eastAsia" w:ascii="宋体" w:hAnsi="宋体" w:eastAsia="宋体" w:cs="宋体"/>
          <w:color w:val="auto"/>
          <w:sz w:val="32"/>
          <w:szCs w:val="32"/>
        </w:rPr>
        <w:t>第二部分 通用合同条款</w:t>
      </w:r>
      <w:bookmarkEnd w:id="133"/>
    </w:p>
    <w:p w14:paraId="1913C9AE">
      <w:pPr>
        <w:spacing w:line="360" w:lineRule="auto"/>
        <w:ind w:firstLine="420"/>
        <w:rPr>
          <w:rFonts w:hint="eastAsia" w:ascii="宋体" w:hAnsi="宋体" w:eastAsia="宋体" w:cs="宋体"/>
          <w:color w:val="auto"/>
          <w:sz w:val="24"/>
          <w:szCs w:val="24"/>
        </w:rPr>
      </w:pPr>
    </w:p>
    <w:p w14:paraId="5CC4856B">
      <w:pPr>
        <w:spacing w:line="360" w:lineRule="auto"/>
        <w:ind w:firstLine="422"/>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采用《建设工程施工合同（示范文本）》（GF—2017—0201）。</w:t>
      </w:r>
    </w:p>
    <w:p w14:paraId="10BC81C0">
      <w:pPr>
        <w:tabs>
          <w:tab w:val="left" w:pos="0"/>
        </w:tabs>
        <w:spacing w:line="540" w:lineRule="exact"/>
        <w:ind w:right="-36" w:firstLine="529"/>
        <w:rPr>
          <w:rFonts w:hint="eastAsia" w:ascii="宋体" w:hAnsi="宋体" w:eastAsia="宋体" w:cs="宋体"/>
          <w:color w:val="auto"/>
          <w:sz w:val="24"/>
          <w:szCs w:val="24"/>
          <w:highlight w:val="white"/>
        </w:rPr>
      </w:pPr>
    </w:p>
    <w:p w14:paraId="0155DB21">
      <w:pPr>
        <w:pStyle w:val="333"/>
        <w:jc w:val="center"/>
        <w:rPr>
          <w:rFonts w:hint="eastAsia" w:ascii="宋体" w:hAnsi="宋体" w:eastAsia="宋体" w:cs="宋体"/>
          <w:color w:val="auto"/>
          <w:sz w:val="32"/>
          <w:szCs w:val="32"/>
        </w:rPr>
      </w:pPr>
      <w:r>
        <w:rPr>
          <w:rFonts w:hint="eastAsia" w:ascii="宋体" w:hAnsi="宋体" w:eastAsia="宋体" w:cs="宋体"/>
          <w:color w:val="auto"/>
          <w:sz w:val="24"/>
          <w:szCs w:val="24"/>
          <w:highlight w:val="white"/>
        </w:rPr>
        <w:br w:type="page" w:clear="all"/>
      </w:r>
      <w:bookmarkStart w:id="134" w:name="_Toc110245278"/>
      <w:bookmarkStart w:id="135" w:name="_Toc498006746"/>
      <w:r>
        <w:rPr>
          <w:rFonts w:hint="eastAsia" w:ascii="宋体" w:hAnsi="宋体" w:eastAsia="宋体" w:cs="宋体"/>
          <w:b w:val="0"/>
          <w:color w:val="auto"/>
          <w:sz w:val="32"/>
          <w:szCs w:val="32"/>
        </w:rPr>
        <w:t>第三部分 专用合同条款</w:t>
      </w:r>
      <w:bookmarkEnd w:id="134"/>
      <w:bookmarkEnd w:id="135"/>
    </w:p>
    <w:p w14:paraId="6BBBB267">
      <w:pPr>
        <w:keepNext/>
        <w:keepLines/>
        <w:spacing w:before="164" w:after="164" w:line="360" w:lineRule="auto"/>
        <w:rPr>
          <w:rFonts w:hint="eastAsia" w:ascii="宋体" w:hAnsi="宋体" w:eastAsia="宋体" w:cs="宋体"/>
          <w:color w:val="auto"/>
          <w:sz w:val="24"/>
          <w:szCs w:val="24"/>
        </w:rPr>
      </w:pPr>
      <w:bookmarkStart w:id="136" w:name="_Toc351203633"/>
      <w:r>
        <w:rPr>
          <w:rFonts w:hint="eastAsia" w:ascii="宋体" w:hAnsi="宋体" w:eastAsia="宋体" w:cs="宋体"/>
          <w:color w:val="auto"/>
          <w:sz w:val="24"/>
          <w:szCs w:val="24"/>
        </w:rPr>
        <w:t>1</w:t>
      </w:r>
      <w:bookmarkStart w:id="137" w:name="_Toc292559361"/>
      <w:bookmarkStart w:id="138" w:name="_Toc297048342"/>
      <w:bookmarkStart w:id="139" w:name="_Toc296503156"/>
      <w:bookmarkStart w:id="140" w:name="_Toc296346657"/>
      <w:bookmarkStart w:id="141" w:name="_Toc292559866"/>
      <w:bookmarkStart w:id="142" w:name="_Toc296944495"/>
      <w:bookmarkStart w:id="143" w:name="_Toc297120456"/>
      <w:bookmarkStart w:id="144" w:name="_Toc296347155"/>
      <w:bookmarkStart w:id="145" w:name="_Toc296890984"/>
      <w:bookmarkStart w:id="146" w:name="_Toc296891196"/>
      <w:r>
        <w:rPr>
          <w:rFonts w:hint="eastAsia" w:ascii="宋体" w:hAnsi="宋体" w:eastAsia="宋体" w:cs="宋体"/>
          <w:color w:val="auto"/>
          <w:sz w:val="24"/>
          <w:szCs w:val="24"/>
        </w:rPr>
        <w:t>. 一般约定</w:t>
      </w:r>
      <w:bookmarkEnd w:id="136"/>
      <w:bookmarkEnd w:id="137"/>
      <w:bookmarkEnd w:id="138"/>
      <w:bookmarkEnd w:id="139"/>
      <w:bookmarkEnd w:id="140"/>
      <w:bookmarkEnd w:id="141"/>
      <w:bookmarkEnd w:id="142"/>
      <w:bookmarkEnd w:id="143"/>
      <w:bookmarkEnd w:id="144"/>
      <w:bookmarkEnd w:id="145"/>
      <w:bookmarkEnd w:id="146"/>
    </w:p>
    <w:p w14:paraId="45ADCBF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 词语定义</w:t>
      </w:r>
    </w:p>
    <w:p w14:paraId="70AD00D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1.1.1 合同</w:t>
      </w:r>
    </w:p>
    <w:p w14:paraId="6106E96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1.1.1.1 其他合同文件包括：。</w:t>
      </w:r>
    </w:p>
    <w:p w14:paraId="67846EB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1.1.2 合同当事人及其他相关方</w:t>
      </w:r>
    </w:p>
    <w:p w14:paraId="437813A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1.1.2.1 监理人：</w:t>
      </w:r>
    </w:p>
    <w:p w14:paraId="70599E0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F2F9F9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p>
    <w:p w14:paraId="170C78E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3062942C">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电子信箱：；</w:t>
      </w:r>
    </w:p>
    <w:p w14:paraId="5849485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通信地址：。</w:t>
      </w:r>
    </w:p>
    <w:p w14:paraId="64515EA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1.1.2.2 设计人：</w:t>
      </w:r>
    </w:p>
    <w:p w14:paraId="489149C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名    称：；</w:t>
      </w:r>
    </w:p>
    <w:p w14:paraId="4B75E52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973221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B2F803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9EEF17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通信地址：。</w:t>
      </w:r>
    </w:p>
    <w:p w14:paraId="36C3DF2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704BA90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1.1.3.1 作为施工现场组成部分的其他场所包括：</w:t>
      </w:r>
      <w:r>
        <w:rPr>
          <w:rFonts w:hint="eastAsia" w:ascii="宋体" w:hAnsi="宋体" w:eastAsia="宋体" w:cs="宋体"/>
          <w:color w:val="auto"/>
          <w:sz w:val="24"/>
          <w:szCs w:val="24"/>
          <w:u w:val="single"/>
        </w:rPr>
        <w:t>符合通用条款规定的发包人提供的施工场地</w:t>
      </w:r>
      <w:r>
        <w:rPr>
          <w:rFonts w:hint="eastAsia" w:ascii="宋体" w:hAnsi="宋体" w:eastAsia="宋体" w:cs="宋体"/>
          <w:color w:val="auto"/>
          <w:sz w:val="24"/>
          <w:szCs w:val="24"/>
        </w:rPr>
        <w:t>。</w:t>
      </w:r>
    </w:p>
    <w:p w14:paraId="4CEA5D8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1.1.3.2 永久占地包括：</w:t>
      </w:r>
      <w:r>
        <w:rPr>
          <w:rFonts w:hint="eastAsia" w:ascii="宋体" w:hAnsi="宋体" w:eastAsia="宋体" w:cs="宋体"/>
          <w:color w:val="auto"/>
          <w:sz w:val="24"/>
          <w:szCs w:val="24"/>
          <w:u w:val="single"/>
        </w:rPr>
        <w:t>规划红线范围内的土地</w:t>
      </w:r>
      <w:r>
        <w:rPr>
          <w:rFonts w:hint="eastAsia" w:ascii="宋体" w:hAnsi="宋体" w:eastAsia="宋体" w:cs="宋体"/>
          <w:color w:val="auto"/>
          <w:sz w:val="24"/>
          <w:szCs w:val="24"/>
        </w:rPr>
        <w:t>。</w:t>
      </w:r>
    </w:p>
    <w:p w14:paraId="6C8E785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1.1.3.3 临时占地包括：</w:t>
      </w:r>
      <w:r>
        <w:rPr>
          <w:rFonts w:hint="eastAsia" w:ascii="宋体" w:hAnsi="宋体" w:eastAsia="宋体" w:cs="宋体"/>
          <w:color w:val="auto"/>
          <w:sz w:val="24"/>
          <w:szCs w:val="24"/>
          <w:u w:val="single"/>
        </w:rPr>
        <w:t>规划红线范围外因施工需要而占用的土地</w:t>
      </w:r>
      <w:r>
        <w:rPr>
          <w:rFonts w:hint="eastAsia" w:ascii="宋体" w:hAnsi="宋体" w:eastAsia="宋体" w:cs="宋体"/>
          <w:color w:val="auto"/>
          <w:sz w:val="24"/>
          <w:szCs w:val="24"/>
        </w:rPr>
        <w:t>。</w:t>
      </w:r>
    </w:p>
    <w:p w14:paraId="1567859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法律 </w:t>
      </w:r>
    </w:p>
    <w:p w14:paraId="705763F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适用于合同的其他规范性文件：</w:t>
      </w:r>
      <w:r>
        <w:rPr>
          <w:rFonts w:hint="eastAsia" w:ascii="宋体" w:hAnsi="宋体" w:eastAsia="宋体" w:cs="宋体"/>
          <w:color w:val="auto"/>
          <w:sz w:val="24"/>
          <w:szCs w:val="24"/>
          <w:u w:val="single"/>
        </w:rPr>
        <w:t>适用《中华人民共和国民法典》、《中华人民共和国建筑法》、《中华人民共和国招标投标法》、《中华人民共和国招标投标法实施条例》、《建筑工程质量管理条例》等相关法律法规及工程所在地的地方法规、规定</w:t>
      </w:r>
      <w:r>
        <w:rPr>
          <w:rFonts w:hint="eastAsia" w:ascii="宋体" w:hAnsi="宋体" w:eastAsia="宋体" w:cs="宋体"/>
          <w:color w:val="auto"/>
          <w:sz w:val="24"/>
          <w:szCs w:val="24"/>
        </w:rPr>
        <w:t>。</w:t>
      </w:r>
    </w:p>
    <w:p w14:paraId="45737BF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1.3 标准和规范</w:t>
      </w:r>
    </w:p>
    <w:p w14:paraId="443A41E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1.3.1 适用于工程的标准规范包括：</w:t>
      </w:r>
      <w:r>
        <w:rPr>
          <w:rFonts w:hint="eastAsia" w:ascii="宋体" w:hAnsi="宋体" w:eastAsia="宋体" w:cs="宋体"/>
          <w:color w:val="auto"/>
          <w:sz w:val="24"/>
          <w:szCs w:val="24"/>
          <w:u w:val="single"/>
        </w:rPr>
        <w:t>适用国家、行业及工程所在地现行的相关标准、规范、规定（对于同一标准、规范应以最新颁布者为准）</w:t>
      </w:r>
      <w:r>
        <w:rPr>
          <w:rFonts w:hint="eastAsia" w:ascii="宋体" w:hAnsi="宋体" w:eastAsia="宋体" w:cs="宋体"/>
          <w:color w:val="auto"/>
          <w:sz w:val="24"/>
          <w:szCs w:val="24"/>
        </w:rPr>
        <w:t>。</w:t>
      </w:r>
    </w:p>
    <w:p w14:paraId="4BF6FA1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1.3.2 发包人提供国外标准、规范的名称：</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FC31A5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1.3.3 发包人对工程的技术标准和功能要求的特殊要求：</w:t>
      </w:r>
    </w:p>
    <w:p w14:paraId="2B9099C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按设计图纸施工，若设计图纸中也没有的，经发包人批准后按发包人批准的要求执行 </w:t>
      </w:r>
      <w:r>
        <w:rPr>
          <w:rFonts w:hint="eastAsia" w:ascii="宋体" w:hAnsi="宋体" w:eastAsia="宋体" w:cs="宋体"/>
          <w:color w:val="auto"/>
          <w:sz w:val="24"/>
          <w:szCs w:val="24"/>
        </w:rPr>
        <w:t>。</w:t>
      </w:r>
    </w:p>
    <w:p w14:paraId="6612DD2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1.4 合同文件的优先顺序</w:t>
      </w:r>
    </w:p>
    <w:p w14:paraId="6A7D592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合同文件组成及优先顺序为：</w:t>
      </w:r>
      <w:r>
        <w:rPr>
          <w:rFonts w:hint="eastAsia" w:ascii="宋体" w:hAnsi="宋体" w:eastAsia="宋体" w:cs="宋体"/>
          <w:color w:val="auto"/>
          <w:sz w:val="24"/>
          <w:szCs w:val="24"/>
          <w:u w:val="single"/>
        </w:rPr>
        <w:t>⑴ 本工程有关洽商、变更的书面协议；⑵ 本合同协议书；⑶ 本合同专用条款及附件（附件中包含承包人最终确认的工程量清单报价书；另外若补充条款与其它条款不一致的，以补充条款为准）；⑷ 中标通知书；⑸ 招标文件（含答疑文件）； ⑹ 工程量清单；⑺ 投标文件（含投标文件澄清、说明及确认函）；⑻ 本合同通用条款；⑼ 标准、规范及有关技术文件；⑽ 施工图纸</w:t>
      </w:r>
      <w:r>
        <w:rPr>
          <w:rFonts w:hint="eastAsia" w:ascii="宋体" w:hAnsi="宋体" w:eastAsia="宋体" w:cs="宋体"/>
          <w:color w:val="auto"/>
          <w:sz w:val="24"/>
          <w:szCs w:val="24"/>
        </w:rPr>
        <w:t>。</w:t>
      </w:r>
    </w:p>
    <w:p w14:paraId="3936EEA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1.5 图纸和承包人文件</w:t>
      </w:r>
      <w:r>
        <w:rPr>
          <w:rFonts w:hint="eastAsia" w:ascii="宋体" w:hAnsi="宋体" w:eastAsia="宋体" w:cs="宋体"/>
          <w:color w:val="auto"/>
          <w:sz w:val="24"/>
          <w:szCs w:val="24"/>
        </w:rPr>
        <w:tab/>
      </w:r>
    </w:p>
    <w:p w14:paraId="16DAC29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1.5.1 图纸的提供</w:t>
      </w:r>
    </w:p>
    <w:p w14:paraId="74028C1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发包人向承包人提供图纸的期限：</w:t>
      </w:r>
      <w:r>
        <w:rPr>
          <w:rFonts w:hint="eastAsia" w:ascii="宋体" w:hAnsi="宋体" w:eastAsia="宋体" w:cs="宋体"/>
          <w:color w:val="auto"/>
          <w:sz w:val="24"/>
          <w:szCs w:val="24"/>
          <w:u w:val="single"/>
        </w:rPr>
        <w:t>开工前5天</w:t>
      </w:r>
      <w:r>
        <w:rPr>
          <w:rFonts w:hint="eastAsia" w:ascii="宋体" w:hAnsi="宋体" w:eastAsia="宋体" w:cs="宋体"/>
          <w:color w:val="auto"/>
          <w:sz w:val="24"/>
          <w:szCs w:val="24"/>
        </w:rPr>
        <w:t>；</w:t>
      </w:r>
    </w:p>
    <w:p w14:paraId="06AEB07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发包人向承包人提供图纸的数量：</w:t>
      </w:r>
      <w:r>
        <w:rPr>
          <w:rFonts w:hint="eastAsia" w:ascii="宋体" w:hAnsi="宋体" w:eastAsia="宋体" w:cs="宋体"/>
          <w:color w:val="auto"/>
          <w:sz w:val="24"/>
          <w:szCs w:val="24"/>
          <w:u w:val="single"/>
        </w:rPr>
        <w:t>肆套（不含竣工图纸），如施工过程中，承包人另有图纸需要，发包人可代为联系，费用由承包人承担。承包人在接到发包人施工图后应认真组织相关专业人员进行审核，图纸中存在问题的应在图纸会审时提出，否则在施工过程中因图纸本身存在的问题而发生变更，并由此导致费用增加的，发包人不予认可，且工期不予顺延</w:t>
      </w:r>
      <w:r>
        <w:rPr>
          <w:rFonts w:hint="eastAsia" w:ascii="宋体" w:hAnsi="宋体" w:eastAsia="宋体" w:cs="宋体"/>
          <w:color w:val="auto"/>
          <w:sz w:val="24"/>
          <w:szCs w:val="24"/>
        </w:rPr>
        <w:t>；</w:t>
      </w:r>
    </w:p>
    <w:p w14:paraId="51B098C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发包人向承包人提供图纸的内容：</w:t>
      </w:r>
      <w:r>
        <w:rPr>
          <w:rFonts w:hint="eastAsia" w:ascii="宋体" w:hAnsi="宋体" w:eastAsia="宋体" w:cs="宋体"/>
          <w:color w:val="auto"/>
          <w:sz w:val="24"/>
          <w:szCs w:val="24"/>
          <w:u w:val="single"/>
        </w:rPr>
        <w:t>通过图纸审核的全套施工图纸及相关资料</w:t>
      </w:r>
      <w:r>
        <w:rPr>
          <w:rFonts w:hint="eastAsia" w:ascii="宋体" w:hAnsi="宋体" w:eastAsia="宋体" w:cs="宋体"/>
          <w:color w:val="auto"/>
          <w:sz w:val="24"/>
          <w:szCs w:val="24"/>
        </w:rPr>
        <w:t>。</w:t>
      </w:r>
    </w:p>
    <w:p w14:paraId="6C39AD8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1.5.2 承包人文件</w:t>
      </w:r>
    </w:p>
    <w:p w14:paraId="1415496C">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需要由承包人提供的文件，包括：</w:t>
      </w:r>
      <w:r>
        <w:rPr>
          <w:rFonts w:hint="eastAsia" w:ascii="宋体" w:hAnsi="宋体" w:eastAsia="宋体" w:cs="宋体"/>
          <w:color w:val="auto"/>
          <w:sz w:val="24"/>
          <w:szCs w:val="24"/>
          <w:u w:val="single"/>
        </w:rPr>
        <w:t xml:space="preserve">根据项目的工期总目标编制项目总进度计划，并在开工前一周提供施工进度总计划、施工组织设计和材料（设备）进场计划表等资料。工程的进展不符合进度计划时，发包人及监理人可要求承包人修改计划。除本合同另有规定外，任何计划的修改都不得造成完成期限的延误，因进度计划修改造成的费用增加由承包人承担 </w:t>
      </w:r>
      <w:r>
        <w:rPr>
          <w:rFonts w:hint="eastAsia" w:ascii="宋体" w:hAnsi="宋体" w:eastAsia="宋体" w:cs="宋体"/>
          <w:color w:val="auto"/>
          <w:sz w:val="24"/>
          <w:szCs w:val="24"/>
        </w:rPr>
        <w:t>；</w:t>
      </w:r>
    </w:p>
    <w:p w14:paraId="6EE60D0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承包人提供的文件的期限为：</w:t>
      </w:r>
      <w:r>
        <w:rPr>
          <w:rFonts w:hint="eastAsia" w:ascii="宋体" w:hAnsi="宋体" w:eastAsia="宋体" w:cs="宋体"/>
          <w:color w:val="auto"/>
          <w:sz w:val="24"/>
          <w:szCs w:val="24"/>
          <w:u w:val="single"/>
        </w:rPr>
        <w:t>见上述条款</w:t>
      </w:r>
      <w:r>
        <w:rPr>
          <w:rFonts w:hint="eastAsia" w:ascii="宋体" w:hAnsi="宋体" w:eastAsia="宋体" w:cs="宋体"/>
          <w:color w:val="auto"/>
          <w:sz w:val="24"/>
          <w:szCs w:val="24"/>
        </w:rPr>
        <w:t>；</w:t>
      </w:r>
    </w:p>
    <w:p w14:paraId="159CC8A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承包人提供的文件的数量为：</w:t>
      </w:r>
      <w:r>
        <w:rPr>
          <w:rFonts w:hint="eastAsia" w:ascii="宋体" w:hAnsi="宋体" w:eastAsia="宋体" w:cs="宋体"/>
          <w:color w:val="auto"/>
          <w:sz w:val="24"/>
          <w:szCs w:val="24"/>
          <w:u w:val="single"/>
        </w:rPr>
        <w:t>依据发包人需要</w:t>
      </w:r>
      <w:r>
        <w:rPr>
          <w:rFonts w:hint="eastAsia" w:ascii="宋体" w:hAnsi="宋体" w:eastAsia="宋体" w:cs="宋体"/>
          <w:color w:val="auto"/>
          <w:sz w:val="24"/>
          <w:szCs w:val="24"/>
        </w:rPr>
        <w:t>；</w:t>
      </w:r>
    </w:p>
    <w:p w14:paraId="58EF389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承包人提供的文件的形式为：</w:t>
      </w:r>
      <w:r>
        <w:rPr>
          <w:rFonts w:hint="eastAsia" w:ascii="宋体" w:hAnsi="宋体" w:eastAsia="宋体" w:cs="宋体"/>
          <w:color w:val="auto"/>
          <w:sz w:val="24"/>
          <w:szCs w:val="24"/>
          <w:u w:val="single"/>
        </w:rPr>
        <w:t>书面形式，以上资料必须经总监理工程师签字认可后报发包人</w:t>
      </w:r>
      <w:r>
        <w:rPr>
          <w:rFonts w:hint="eastAsia" w:ascii="宋体" w:hAnsi="宋体" w:eastAsia="宋体" w:cs="宋体"/>
          <w:color w:val="auto"/>
          <w:sz w:val="24"/>
          <w:szCs w:val="24"/>
        </w:rPr>
        <w:t>；</w:t>
      </w:r>
    </w:p>
    <w:p w14:paraId="76F2144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发包人审批承包人文件的期限：</w:t>
      </w:r>
      <w:r>
        <w:rPr>
          <w:rFonts w:hint="eastAsia" w:ascii="宋体" w:hAnsi="宋体" w:eastAsia="宋体" w:cs="宋体"/>
          <w:color w:val="auto"/>
          <w:sz w:val="24"/>
          <w:szCs w:val="24"/>
          <w:u w:val="single"/>
        </w:rPr>
        <w:t>收到齐全的资料后合理时间内</w:t>
      </w:r>
      <w:r>
        <w:rPr>
          <w:rFonts w:hint="eastAsia" w:ascii="宋体" w:hAnsi="宋体" w:eastAsia="宋体" w:cs="宋体"/>
          <w:color w:val="auto"/>
          <w:sz w:val="24"/>
          <w:szCs w:val="24"/>
        </w:rPr>
        <w:t>。</w:t>
      </w:r>
    </w:p>
    <w:p w14:paraId="6349424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1.5.3 现场图纸准备</w:t>
      </w:r>
    </w:p>
    <w:p w14:paraId="1C20C6D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关于现场图纸准备的约定：</w:t>
      </w:r>
      <w:r>
        <w:rPr>
          <w:rFonts w:hint="eastAsia" w:ascii="宋体" w:hAnsi="宋体" w:eastAsia="宋体" w:cs="宋体"/>
          <w:color w:val="auto"/>
          <w:sz w:val="24"/>
          <w:szCs w:val="24"/>
          <w:u w:val="single"/>
        </w:rPr>
        <w:t>执行通用条款中相关1.6.2、1.6.3约定</w:t>
      </w:r>
      <w:r>
        <w:rPr>
          <w:rFonts w:hint="eastAsia" w:ascii="宋体" w:hAnsi="宋体" w:eastAsia="宋体" w:cs="宋体"/>
          <w:color w:val="auto"/>
          <w:sz w:val="24"/>
          <w:szCs w:val="24"/>
        </w:rPr>
        <w:t>。</w:t>
      </w:r>
    </w:p>
    <w:p w14:paraId="2D5285E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1.6 联络</w:t>
      </w:r>
    </w:p>
    <w:p w14:paraId="4F65A63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1.6.1 发包人和承包人应当在</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天内将与合同有关的通知、批准、证明、证书、指示、指令、要求、请求、同意、意见、确定和决定等书面函件送达对方当事人。</w:t>
      </w:r>
    </w:p>
    <w:p w14:paraId="39BEFB1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1.6.2 发包人接收文件的地点：</w:t>
      </w:r>
      <w:r>
        <w:rPr>
          <w:rFonts w:hint="eastAsia" w:ascii="宋体" w:hAnsi="宋体" w:eastAsia="宋体" w:cs="宋体"/>
          <w:color w:val="auto"/>
          <w:sz w:val="24"/>
          <w:szCs w:val="24"/>
          <w:u w:val="single"/>
        </w:rPr>
        <w:t xml:space="preserve"> 项目所在地发包人办公室 </w:t>
      </w:r>
      <w:r>
        <w:rPr>
          <w:rFonts w:hint="eastAsia" w:ascii="宋体" w:hAnsi="宋体" w:eastAsia="宋体" w:cs="宋体"/>
          <w:color w:val="auto"/>
          <w:sz w:val="24"/>
          <w:szCs w:val="24"/>
        </w:rPr>
        <w:t>；</w:t>
      </w:r>
    </w:p>
    <w:p w14:paraId="384CDFC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发包人指定的接收人为：。</w:t>
      </w:r>
    </w:p>
    <w:p w14:paraId="286299BC">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承包人接收文件的地点：</w:t>
      </w:r>
      <w:r>
        <w:rPr>
          <w:rFonts w:hint="eastAsia" w:ascii="宋体" w:hAnsi="宋体" w:eastAsia="宋体" w:cs="宋体"/>
          <w:color w:val="auto"/>
          <w:sz w:val="24"/>
          <w:szCs w:val="24"/>
          <w:u w:val="single"/>
        </w:rPr>
        <w:t xml:space="preserve"> 项目所在地发包人办公室 </w:t>
      </w:r>
      <w:r>
        <w:rPr>
          <w:rFonts w:hint="eastAsia" w:ascii="宋体" w:hAnsi="宋体" w:eastAsia="宋体" w:cs="宋体"/>
          <w:color w:val="auto"/>
          <w:sz w:val="24"/>
          <w:szCs w:val="24"/>
        </w:rPr>
        <w:t>；</w:t>
      </w:r>
    </w:p>
    <w:p w14:paraId="4E1E2FB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承包人指定的接收人为：。</w:t>
      </w:r>
    </w:p>
    <w:p w14:paraId="01C346D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监理人接收文件的地点：</w:t>
      </w:r>
      <w:r>
        <w:rPr>
          <w:rFonts w:hint="eastAsia" w:ascii="宋体" w:hAnsi="宋体" w:eastAsia="宋体" w:cs="宋体"/>
          <w:color w:val="auto"/>
          <w:sz w:val="24"/>
          <w:szCs w:val="24"/>
          <w:u w:val="single"/>
        </w:rPr>
        <w:t xml:space="preserve"> 项目所在地监理人项目部 </w:t>
      </w:r>
      <w:r>
        <w:rPr>
          <w:rFonts w:hint="eastAsia" w:ascii="宋体" w:hAnsi="宋体" w:eastAsia="宋体" w:cs="宋体"/>
          <w:color w:val="auto"/>
          <w:sz w:val="24"/>
          <w:szCs w:val="24"/>
        </w:rPr>
        <w:t>；</w:t>
      </w:r>
    </w:p>
    <w:p w14:paraId="6E7FDF8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监理人指定的接收人为：。</w:t>
      </w:r>
    </w:p>
    <w:p w14:paraId="4D4B4A5C">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1.7 交通运输</w:t>
      </w:r>
    </w:p>
    <w:p w14:paraId="39145C9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147" w:name="_Toc318581155"/>
      <w:bookmarkStart w:id="148" w:name="_Toc312677986"/>
      <w:bookmarkStart w:id="149" w:name="_Toc303539100"/>
      <w:bookmarkStart w:id="150" w:name="_Toc304295521"/>
      <w:bookmarkStart w:id="151" w:name="_Toc300934943"/>
      <w:r>
        <w:rPr>
          <w:rFonts w:hint="eastAsia" w:ascii="宋体" w:hAnsi="宋体" w:eastAsia="宋体" w:cs="宋体"/>
          <w:color w:val="auto"/>
          <w:sz w:val="24"/>
          <w:szCs w:val="24"/>
        </w:rPr>
        <w:t>.7.1 出入现场的权利</w:t>
      </w:r>
    </w:p>
    <w:p w14:paraId="125E2AA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关于出入现场的权利的约定：</w:t>
      </w:r>
      <w:r>
        <w:rPr>
          <w:rFonts w:hint="eastAsia" w:ascii="宋体" w:hAnsi="宋体" w:eastAsia="宋体" w:cs="宋体"/>
          <w:color w:val="auto"/>
          <w:sz w:val="24"/>
          <w:szCs w:val="24"/>
          <w:u w:val="single"/>
        </w:rPr>
        <w:t xml:space="preserve"> 由承包人按发包人要求负责取得出入施工现场所需的批准手续和全部权利，以及取得因施工所需修建临时道路以及其他基础设施的权利，并承担相关手续费用和建设费用 </w:t>
      </w:r>
      <w:r>
        <w:rPr>
          <w:rFonts w:hint="eastAsia" w:ascii="宋体" w:hAnsi="宋体" w:eastAsia="宋体" w:cs="宋体"/>
          <w:color w:val="auto"/>
          <w:sz w:val="24"/>
          <w:szCs w:val="24"/>
        </w:rPr>
        <w:t>。</w:t>
      </w:r>
      <w:bookmarkEnd w:id="147"/>
      <w:bookmarkEnd w:id="148"/>
      <w:bookmarkEnd w:id="149"/>
      <w:bookmarkEnd w:id="150"/>
      <w:bookmarkEnd w:id="151"/>
    </w:p>
    <w:p w14:paraId="5CEFB26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152" w:name="_Toc303539101"/>
      <w:bookmarkStart w:id="153" w:name="_Toc304295522"/>
      <w:bookmarkStart w:id="154" w:name="_Toc312677987"/>
      <w:bookmarkStart w:id="155" w:name="_Toc300934944"/>
      <w:bookmarkStart w:id="156" w:name="_Toc318581156"/>
      <w:r>
        <w:rPr>
          <w:rFonts w:hint="eastAsia" w:ascii="宋体" w:hAnsi="宋体" w:eastAsia="宋体" w:cs="宋体"/>
          <w:color w:val="auto"/>
          <w:sz w:val="24"/>
          <w:szCs w:val="24"/>
        </w:rPr>
        <w:t>.7.2 场内交通</w:t>
      </w:r>
    </w:p>
    <w:p w14:paraId="574927B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关于场外交通和场内交通的边界的约定：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BF8A34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关于发包人向承包人免费提供满足工程施工需要的场内道路和交通设施的约定：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bookmarkEnd w:id="152"/>
      <w:bookmarkEnd w:id="153"/>
      <w:bookmarkEnd w:id="154"/>
      <w:bookmarkEnd w:id="155"/>
      <w:bookmarkEnd w:id="156"/>
      <w:bookmarkStart w:id="157" w:name="_Toc318581157"/>
    </w:p>
    <w:p w14:paraId="38CE2A3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1.7.3 超大件和超重件的运输</w:t>
      </w:r>
    </w:p>
    <w:p w14:paraId="592B04A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运输超大件或超重件所需的道路和桥梁临时加固改造费用和其他有关费用由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bookmarkEnd w:id="157"/>
    </w:p>
    <w:p w14:paraId="7BF07F2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1.8 知识产权</w:t>
      </w:r>
    </w:p>
    <w:p w14:paraId="11353C2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1.8.1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w:t>
      </w:r>
    </w:p>
    <w:p w14:paraId="2976CB9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关于发包人提供的上述文件的使用限制的要求：</w:t>
      </w:r>
    </w:p>
    <w:p w14:paraId="071C6F7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未经发包人同意，承包人不得私自复印或将发包人提供的图纸等资料提供给第三人。若违反本条，承包人应承担由此引起的法律责任，发包人有权向承包人索赔 </w:t>
      </w:r>
      <w:r>
        <w:rPr>
          <w:rFonts w:hint="eastAsia" w:ascii="宋体" w:hAnsi="宋体" w:eastAsia="宋体" w:cs="宋体"/>
          <w:color w:val="auto"/>
          <w:sz w:val="24"/>
          <w:szCs w:val="24"/>
        </w:rPr>
        <w:t>。</w:t>
      </w:r>
    </w:p>
    <w:p w14:paraId="15C1082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1.8.2 关于承包人为实施工程所编制文件的著作权的归属：</w:t>
      </w:r>
      <w:r>
        <w:rPr>
          <w:rFonts w:hint="eastAsia" w:ascii="宋体" w:hAnsi="宋体" w:eastAsia="宋体" w:cs="宋体"/>
          <w:color w:val="auto"/>
          <w:sz w:val="24"/>
          <w:szCs w:val="24"/>
          <w:u w:val="single"/>
        </w:rPr>
        <w:t xml:space="preserve"> 归承包人所有 </w:t>
      </w:r>
      <w:r>
        <w:rPr>
          <w:rFonts w:hint="eastAsia" w:ascii="宋体" w:hAnsi="宋体" w:eastAsia="宋体" w:cs="宋体"/>
          <w:color w:val="auto"/>
          <w:sz w:val="24"/>
          <w:szCs w:val="24"/>
        </w:rPr>
        <w:t>。</w:t>
      </w:r>
    </w:p>
    <w:p w14:paraId="002EEBC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rPr>
        <w:t xml:space="preserve"> 仅限于此工程项目 </w:t>
      </w:r>
      <w:r>
        <w:rPr>
          <w:rFonts w:hint="eastAsia" w:ascii="宋体" w:hAnsi="宋体" w:eastAsia="宋体" w:cs="宋体"/>
          <w:color w:val="auto"/>
          <w:sz w:val="24"/>
          <w:szCs w:val="24"/>
        </w:rPr>
        <w:t>。</w:t>
      </w:r>
    </w:p>
    <w:p w14:paraId="0B3DBAB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1.8.3 承包人在施工过程中所采用的专利、专有技术、技术秘密的使用费的承担方式：</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w:t>
      </w:r>
    </w:p>
    <w:p w14:paraId="57C5E50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1.9 工程量清单错误的修正</w:t>
      </w:r>
    </w:p>
    <w:p w14:paraId="722DFE94">
      <w:pPr>
        <w:spacing w:line="360" w:lineRule="auto"/>
        <w:ind w:firstLine="422"/>
        <w:rPr>
          <w:rFonts w:hint="eastAsia" w:ascii="宋体" w:hAnsi="宋体" w:eastAsia="宋体" w:cs="宋体"/>
          <w:b/>
          <w:color w:val="auto"/>
          <w:sz w:val="24"/>
          <w:szCs w:val="24"/>
        </w:rPr>
      </w:pPr>
      <w:r>
        <w:rPr>
          <w:rFonts w:hint="eastAsia" w:ascii="宋体" w:hAnsi="宋体" w:eastAsia="宋体" w:cs="宋体"/>
          <w:b/>
          <w:color w:val="auto"/>
          <w:sz w:val="24"/>
          <w:szCs w:val="24"/>
        </w:rPr>
        <w:t>出现工程量清单错误时，是否调整合同价格：</w:t>
      </w:r>
      <w:r>
        <w:rPr>
          <w:rFonts w:hint="eastAsia" w:ascii="宋体" w:hAnsi="宋体" w:eastAsia="宋体" w:cs="宋体"/>
          <w:b/>
          <w:color w:val="auto"/>
          <w:sz w:val="24"/>
          <w:szCs w:val="24"/>
          <w:u w:val="single"/>
        </w:rPr>
        <w:t xml:space="preserve"> 应在招标时提出，其他情况均不调整 </w:t>
      </w:r>
      <w:r>
        <w:rPr>
          <w:rFonts w:hint="eastAsia" w:ascii="宋体" w:hAnsi="宋体" w:eastAsia="宋体" w:cs="宋体"/>
          <w:b/>
          <w:color w:val="auto"/>
          <w:sz w:val="24"/>
          <w:szCs w:val="24"/>
        </w:rPr>
        <w:t>。</w:t>
      </w:r>
    </w:p>
    <w:p w14:paraId="5CE85545">
      <w:pPr>
        <w:spacing w:line="360" w:lineRule="auto"/>
        <w:ind w:firstLine="422"/>
        <w:rPr>
          <w:rFonts w:hint="eastAsia" w:ascii="宋体" w:hAnsi="宋体" w:eastAsia="宋体" w:cs="宋体"/>
          <w:b/>
          <w:color w:val="auto"/>
          <w:sz w:val="24"/>
          <w:szCs w:val="24"/>
        </w:rPr>
      </w:pPr>
      <w:r>
        <w:rPr>
          <w:rFonts w:hint="eastAsia" w:ascii="宋体" w:hAnsi="宋体" w:eastAsia="宋体" w:cs="宋体"/>
          <w:b/>
          <w:color w:val="auto"/>
          <w:sz w:val="24"/>
          <w:szCs w:val="24"/>
        </w:rPr>
        <w:t>允许调整合同价格的工程量偏差范围：</w:t>
      </w:r>
      <w:r>
        <w:rPr>
          <w:rFonts w:hint="eastAsia" w:ascii="宋体" w:hAnsi="宋体" w:eastAsia="宋体" w:cs="宋体"/>
          <w:b/>
          <w:color w:val="auto"/>
          <w:sz w:val="24"/>
          <w:szCs w:val="24"/>
          <w:u w:val="single"/>
        </w:rPr>
        <w:t xml:space="preserve">  /  </w:t>
      </w:r>
      <w:r>
        <w:rPr>
          <w:rFonts w:hint="eastAsia" w:ascii="宋体" w:hAnsi="宋体" w:eastAsia="宋体" w:cs="宋体"/>
          <w:b/>
          <w:color w:val="auto"/>
          <w:sz w:val="24"/>
          <w:szCs w:val="24"/>
        </w:rPr>
        <w:t>。</w:t>
      </w:r>
    </w:p>
    <w:p w14:paraId="768160A0">
      <w:pPr>
        <w:keepNext/>
        <w:keepLines/>
        <w:spacing w:before="164" w:after="164" w:line="360" w:lineRule="auto"/>
        <w:rPr>
          <w:rFonts w:hint="eastAsia" w:ascii="宋体" w:hAnsi="宋体" w:eastAsia="宋体" w:cs="宋体"/>
          <w:color w:val="auto"/>
          <w:sz w:val="24"/>
          <w:szCs w:val="24"/>
        </w:rPr>
      </w:pPr>
      <w:bookmarkStart w:id="158" w:name="_Toc351203634"/>
      <w:r>
        <w:rPr>
          <w:rFonts w:hint="eastAsia" w:ascii="宋体" w:hAnsi="宋体" w:eastAsia="宋体" w:cs="宋体"/>
          <w:color w:val="auto"/>
          <w:sz w:val="24"/>
          <w:szCs w:val="24"/>
        </w:rPr>
        <w:t>2</w:t>
      </w:r>
      <w:bookmarkStart w:id="159" w:name="_Toc296891197"/>
      <w:bookmarkStart w:id="160" w:name="_Toc292559362"/>
      <w:bookmarkStart w:id="161" w:name="_Toc296347156"/>
      <w:bookmarkStart w:id="162" w:name="_Toc296503157"/>
      <w:bookmarkStart w:id="163" w:name="_Toc296890985"/>
      <w:bookmarkStart w:id="164" w:name="_Toc296346658"/>
      <w:bookmarkStart w:id="165" w:name="_Toc292559867"/>
      <w:bookmarkStart w:id="166" w:name="_Toc297048343"/>
      <w:bookmarkStart w:id="167" w:name="_Toc296944496"/>
      <w:bookmarkStart w:id="168" w:name="_Toc297120457"/>
      <w:r>
        <w:rPr>
          <w:rFonts w:hint="eastAsia" w:ascii="宋体" w:hAnsi="宋体" w:eastAsia="宋体" w:cs="宋体"/>
          <w:color w:val="auto"/>
          <w:sz w:val="24"/>
          <w:szCs w:val="24"/>
        </w:rPr>
        <w:t>. 发包人</w:t>
      </w:r>
      <w:bookmarkEnd w:id="158"/>
      <w:bookmarkEnd w:id="159"/>
      <w:bookmarkEnd w:id="160"/>
      <w:bookmarkEnd w:id="161"/>
      <w:bookmarkEnd w:id="162"/>
      <w:bookmarkEnd w:id="163"/>
      <w:bookmarkEnd w:id="164"/>
      <w:bookmarkEnd w:id="165"/>
      <w:bookmarkEnd w:id="166"/>
      <w:bookmarkEnd w:id="167"/>
      <w:bookmarkEnd w:id="168"/>
    </w:p>
    <w:p w14:paraId="694936F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2.1 发包人代表</w:t>
      </w:r>
    </w:p>
    <w:p w14:paraId="4C379CF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1CD2E32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姓    名：；</w:t>
      </w:r>
    </w:p>
    <w:p w14:paraId="1116C44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身份证号：；</w:t>
      </w:r>
    </w:p>
    <w:p w14:paraId="0956AF1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项目现场负责人   </w:t>
      </w:r>
      <w:r>
        <w:rPr>
          <w:rFonts w:hint="eastAsia" w:ascii="宋体" w:hAnsi="宋体" w:eastAsia="宋体" w:cs="宋体"/>
          <w:color w:val="auto"/>
          <w:sz w:val="24"/>
          <w:szCs w:val="24"/>
        </w:rPr>
        <w:t>；</w:t>
      </w:r>
    </w:p>
    <w:p w14:paraId="3DA5B83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BD1249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9ADEF3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646AF73">
      <w:pPr>
        <w:spacing w:line="360" w:lineRule="auto"/>
        <w:ind w:firstLine="420"/>
        <w:rPr>
          <w:rFonts w:hint="eastAsia" w:ascii="宋体" w:hAnsi="宋体" w:eastAsia="宋体" w:cs="宋体"/>
          <w:b/>
          <w:color w:val="auto"/>
          <w:sz w:val="24"/>
          <w:szCs w:val="24"/>
        </w:rPr>
      </w:pPr>
      <w:r>
        <w:rPr>
          <w:rFonts w:hint="eastAsia" w:ascii="宋体" w:hAnsi="宋体" w:eastAsia="宋体" w:cs="宋体"/>
          <w:color w:val="auto"/>
          <w:sz w:val="24"/>
          <w:szCs w:val="24"/>
        </w:rPr>
        <w:t>发包人对发包人代表的授权范围如下：</w:t>
      </w:r>
      <w:r>
        <w:rPr>
          <w:rFonts w:hint="eastAsia" w:ascii="宋体" w:hAnsi="宋体" w:eastAsia="宋体" w:cs="宋体"/>
          <w:color w:val="auto"/>
          <w:sz w:val="24"/>
          <w:szCs w:val="24"/>
          <w:u w:val="single"/>
        </w:rPr>
        <w:t>现场管理；施工中有关项目的会签；对工程质量、安全、进度实施全面的监督管理，履行变更审批手续，负责技术、经济签证的现场确认，确定支付工程款，协调处理并解决有关变更、施工中的问题；凡需发包人确认的内容均须项目现场负责人签字确认 。</w:t>
      </w:r>
    </w:p>
    <w:p w14:paraId="2D2F866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2.2 施工现场、施工条件和基础资料的提供</w:t>
      </w:r>
    </w:p>
    <w:p w14:paraId="0BC72E1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2.2.1 提供施工现场</w:t>
      </w:r>
    </w:p>
    <w:p w14:paraId="2DAE4FA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关于发包人移交施工现场的期限要求：</w:t>
      </w:r>
      <w:r>
        <w:rPr>
          <w:rFonts w:hint="eastAsia" w:ascii="宋体" w:hAnsi="宋体" w:eastAsia="宋体" w:cs="宋体"/>
          <w:color w:val="auto"/>
          <w:sz w:val="24"/>
          <w:szCs w:val="24"/>
          <w:u w:val="single"/>
        </w:rPr>
        <w:t xml:space="preserve"> 场地移交可以全部移交，所移交的场地能满足施工要求 </w:t>
      </w:r>
      <w:r>
        <w:rPr>
          <w:rFonts w:hint="eastAsia" w:ascii="宋体" w:hAnsi="宋体" w:eastAsia="宋体" w:cs="宋体"/>
          <w:color w:val="auto"/>
          <w:sz w:val="24"/>
          <w:szCs w:val="24"/>
        </w:rPr>
        <w:t>。</w:t>
      </w:r>
    </w:p>
    <w:p w14:paraId="1C5F7AB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2.2.2 提供施工条件</w:t>
      </w:r>
    </w:p>
    <w:p w14:paraId="5A13A940">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关于发包人应负责提供施工所需要的条件，包括：</w:t>
      </w:r>
      <w:r>
        <w:rPr>
          <w:rFonts w:hint="eastAsia" w:ascii="宋体" w:hAnsi="宋体" w:eastAsia="宋体" w:cs="宋体"/>
          <w:color w:val="auto"/>
          <w:sz w:val="24"/>
          <w:szCs w:val="24"/>
          <w:u w:val="single"/>
        </w:rPr>
        <w:t>开工前根据施工现场要求提供水、电线路接口，承包人根据发包人和施工总承包单位要求自行接驳水、电线路，分别挂表计量，其他线路由承包人自行办理。水、电费用（含摊销）由承包人承担，并包含在合同总价内，如不挂表计量或计量不准的，则按照结算价的1%扣回水电费</w:t>
      </w:r>
      <w:r>
        <w:rPr>
          <w:rFonts w:hint="eastAsia" w:ascii="宋体" w:hAnsi="宋体" w:eastAsia="宋体" w:cs="宋体"/>
          <w:color w:val="auto"/>
          <w:sz w:val="24"/>
          <w:szCs w:val="24"/>
        </w:rPr>
        <w:t>。</w:t>
      </w:r>
    </w:p>
    <w:p w14:paraId="1310158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2.2 资金来源证明及支付担保</w:t>
      </w:r>
    </w:p>
    <w:p w14:paraId="2BE7AB7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发包人提供资金来源证明的期限要求：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ECE999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发包人是否提供支付担保：</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FAB9D01">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发包人提供支付担保的形式：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998A0E1">
      <w:pPr>
        <w:keepNext/>
        <w:keepLines/>
        <w:spacing w:before="164" w:after="164" w:line="360" w:lineRule="auto"/>
        <w:rPr>
          <w:rFonts w:hint="eastAsia" w:ascii="宋体" w:hAnsi="宋体" w:eastAsia="宋体" w:cs="宋体"/>
          <w:color w:val="auto"/>
          <w:sz w:val="24"/>
          <w:szCs w:val="24"/>
        </w:rPr>
      </w:pPr>
      <w:bookmarkStart w:id="169" w:name="_Toc351203635"/>
      <w:r>
        <w:rPr>
          <w:rFonts w:hint="eastAsia" w:ascii="宋体" w:hAnsi="宋体" w:eastAsia="宋体" w:cs="宋体"/>
          <w:color w:val="auto"/>
          <w:sz w:val="24"/>
          <w:szCs w:val="24"/>
        </w:rPr>
        <w:t>3</w:t>
      </w:r>
      <w:bookmarkStart w:id="170" w:name="_Toc296944497"/>
      <w:bookmarkStart w:id="171" w:name="_Toc292559868"/>
      <w:bookmarkStart w:id="172" w:name="_Toc296891198"/>
      <w:bookmarkStart w:id="173" w:name="_Toc296890986"/>
      <w:bookmarkStart w:id="174" w:name="_Toc296346659"/>
      <w:bookmarkStart w:id="175" w:name="_Toc297120458"/>
      <w:bookmarkStart w:id="176" w:name="_Toc297048344"/>
      <w:bookmarkStart w:id="177" w:name="_Toc296503158"/>
      <w:bookmarkStart w:id="178" w:name="_Toc296347157"/>
      <w:bookmarkStart w:id="179" w:name="_Toc292559363"/>
      <w:r>
        <w:rPr>
          <w:rFonts w:hint="eastAsia" w:ascii="宋体" w:hAnsi="宋体" w:eastAsia="宋体" w:cs="宋体"/>
          <w:color w:val="auto"/>
          <w:sz w:val="24"/>
          <w:szCs w:val="24"/>
        </w:rPr>
        <w:t>. 承包人</w:t>
      </w:r>
      <w:bookmarkEnd w:id="169"/>
      <w:bookmarkEnd w:id="170"/>
      <w:bookmarkEnd w:id="171"/>
      <w:bookmarkEnd w:id="172"/>
      <w:bookmarkEnd w:id="173"/>
      <w:bookmarkEnd w:id="174"/>
      <w:bookmarkEnd w:id="175"/>
      <w:bookmarkEnd w:id="176"/>
      <w:bookmarkEnd w:id="177"/>
      <w:bookmarkEnd w:id="178"/>
      <w:bookmarkEnd w:id="179"/>
    </w:p>
    <w:p w14:paraId="6393B01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3.1 承包人的一般义务</w:t>
      </w:r>
    </w:p>
    <w:p w14:paraId="1B32115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(1)承包人提交的竣工资料的内容：</w:t>
      </w:r>
      <w:r>
        <w:rPr>
          <w:rFonts w:hint="eastAsia" w:ascii="宋体" w:hAnsi="宋体" w:eastAsia="宋体" w:cs="宋体"/>
          <w:color w:val="auto"/>
          <w:sz w:val="24"/>
          <w:szCs w:val="24"/>
          <w:u w:val="single"/>
        </w:rPr>
        <w:t>符合竣工资料规范要求（含竣工图及相关文件）</w:t>
      </w:r>
      <w:r>
        <w:rPr>
          <w:rFonts w:hint="eastAsia" w:ascii="宋体" w:hAnsi="宋体" w:eastAsia="宋体" w:cs="宋体"/>
          <w:color w:val="auto"/>
          <w:sz w:val="24"/>
          <w:szCs w:val="24"/>
        </w:rPr>
        <w:t>。</w:t>
      </w:r>
    </w:p>
    <w:p w14:paraId="6C8CE63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承包人需要提交的竣工资料套数：</w:t>
      </w:r>
      <w:r>
        <w:rPr>
          <w:rFonts w:hint="eastAsia" w:ascii="宋体" w:hAnsi="宋体" w:eastAsia="宋体" w:cs="宋体"/>
          <w:color w:val="auto"/>
          <w:sz w:val="24"/>
          <w:szCs w:val="24"/>
          <w:u w:val="single"/>
        </w:rPr>
        <w:t>肆套</w:t>
      </w:r>
      <w:r>
        <w:rPr>
          <w:rFonts w:hint="eastAsia" w:ascii="宋体" w:hAnsi="宋体" w:eastAsia="宋体" w:cs="宋体"/>
          <w:color w:val="auto"/>
          <w:sz w:val="24"/>
          <w:szCs w:val="24"/>
        </w:rPr>
        <w:t>。</w:t>
      </w:r>
    </w:p>
    <w:p w14:paraId="6BFC87C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承包人提交的竣工资料的费用承担：</w:t>
      </w:r>
      <w:r>
        <w:rPr>
          <w:rFonts w:hint="eastAsia" w:ascii="宋体" w:hAnsi="宋体" w:eastAsia="宋体" w:cs="宋体"/>
          <w:color w:val="auto"/>
          <w:sz w:val="24"/>
          <w:szCs w:val="24"/>
          <w:u w:val="single"/>
        </w:rPr>
        <w:t>由承包人自行解决，费用包含在合同总价内</w:t>
      </w:r>
      <w:r>
        <w:rPr>
          <w:rFonts w:hint="eastAsia" w:ascii="宋体" w:hAnsi="宋体" w:eastAsia="宋体" w:cs="宋体"/>
          <w:color w:val="auto"/>
          <w:sz w:val="24"/>
          <w:szCs w:val="24"/>
        </w:rPr>
        <w:t>。</w:t>
      </w:r>
    </w:p>
    <w:p w14:paraId="007A0CC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承包人提交的竣工资料移交时间：</w:t>
      </w:r>
      <w:r>
        <w:rPr>
          <w:rFonts w:hint="eastAsia" w:ascii="宋体" w:hAnsi="宋体" w:eastAsia="宋体" w:cs="宋体"/>
          <w:color w:val="auto"/>
          <w:sz w:val="24"/>
          <w:szCs w:val="24"/>
          <w:u w:val="single"/>
        </w:rPr>
        <w:t>承包人在工程竣工后一个月内</w:t>
      </w:r>
      <w:r>
        <w:rPr>
          <w:rFonts w:hint="eastAsia" w:ascii="宋体" w:hAnsi="宋体" w:eastAsia="宋体" w:cs="宋体"/>
          <w:color w:val="auto"/>
          <w:sz w:val="24"/>
          <w:szCs w:val="24"/>
        </w:rPr>
        <w:t>。</w:t>
      </w:r>
    </w:p>
    <w:p w14:paraId="14C665E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承包人提交的竣工资料形式要求：</w:t>
      </w:r>
      <w:r>
        <w:rPr>
          <w:rFonts w:hint="eastAsia" w:ascii="宋体" w:hAnsi="宋体" w:eastAsia="宋体" w:cs="宋体"/>
          <w:color w:val="auto"/>
          <w:sz w:val="24"/>
          <w:szCs w:val="24"/>
          <w:u w:val="single"/>
        </w:rPr>
        <w:t>符合竣工备案要求的纸质件（按要求盖章、签字）和电子件（刻光盘）</w:t>
      </w:r>
      <w:r>
        <w:rPr>
          <w:rFonts w:hint="eastAsia" w:ascii="宋体" w:hAnsi="宋体" w:eastAsia="宋体" w:cs="宋体"/>
          <w:color w:val="auto"/>
          <w:sz w:val="24"/>
          <w:szCs w:val="24"/>
        </w:rPr>
        <w:t>。</w:t>
      </w:r>
    </w:p>
    <w:p w14:paraId="1C0F9ACF">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(2)承包人应履行的其他义务：</w:t>
      </w:r>
      <w:r>
        <w:rPr>
          <w:rFonts w:hint="eastAsia" w:ascii="宋体" w:hAnsi="宋体" w:eastAsia="宋体" w:cs="宋体"/>
          <w:color w:val="auto"/>
          <w:sz w:val="24"/>
          <w:szCs w:val="24"/>
          <w:u w:val="single"/>
        </w:rPr>
        <w:t>① 本工程实行总承包管理，土建安装施工单位为总承包管理单位，行使总包管理职能，承担总包管理责任。本工程承包人在完成本合同规定的管网工程施工任务过程中，应服从总承包管理单位的监督、管理，与总承包管理单位协调、配合，按总承包人要求编报各类报审表资料。如与总承包管理单位就有关问题产生分歧，应书面上报发包人和监理人，并根据发包人的指示采取应对措施；② 应提供计划、报表的名称及完成时间：开工前一周须提供工程进度报表；③ 承担施工安全保卫工作的责任和要求：应采取有效防盗措施。主要工作人员进场应佩戴证明其身份的名卡，其他施工人员宜有识别标识。建立和执行防火管理制度，施工现场如设食堂其饮食、饮水设施应卫生可靠（一旦发生饮食卫生问题，一切责任由承包人负责）。施工现场临时用电按相关规范执行。承包人按照规定负责施工现场安全保卫工作，负责施工人员的治安教育及管理工作，由此发生事故，均由承包人负责；④ 需承包人办理的有关施工场地交通、环卫和施工噪音管理等手续：环保、环卫等相关手续由承包人办理。费用由承包人承担；⑤ 已完工程成品保护的特殊要求及费用承担：工程交付前成品保护由承包人负责，费用由承包人承担；⑥ 施工场地周围地下管线和邻近建筑物、构筑物(含文物保护建筑)、古树名木的保护要求及费用承担：对施工场地周围所有管网、管线、排水、道路及邻近建筑物承包人负责观测，若发生问题承包人要采取补救措施，费用承包人承担；⑦ 施工场地清洁卫生的要求：保证施工现场清洁卫生符合有关规定，达到标化现场工地要求（且满足总包单位管理要求）；⑧ 双方约定承包人应做的其它工作：必须严格执行施工场地管理规定以及发包人和总承包管理人的场地管理要求；严格执行发包人施工中变更、签证的规定；有配合发包人做好资料归档、决算审计的义务，及时处理好现场事务；⑨ 承包人必须对工程现场施工人员全部实行实名制考勤管理，签订劳动合同，设立工资存储专户，按照工程进度和工人实名制登记信息，按月足额由银行代发工资。</w:t>
      </w:r>
    </w:p>
    <w:p w14:paraId="7F2966C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3.2 项目经理</w:t>
      </w:r>
    </w:p>
    <w:p w14:paraId="62880B8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3.2.1 项目经理：</w:t>
      </w:r>
    </w:p>
    <w:p w14:paraId="3CC4387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9ED4A6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6E4876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5C2B54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B7E6DF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D02A11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FC36B3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501DC7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5C5748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6CCA7C5">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1、领导、决策，调集企业所属各单位、各部门为项目进行全面服务和控制 ；</w:t>
      </w:r>
    </w:p>
    <w:p w14:paraId="350A0F3E">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2、代表承包人履行对业主的合约，并受业主委托行使对项目所有分包商统一指挥、协调、管理权；</w:t>
      </w:r>
    </w:p>
    <w:p w14:paraId="7651AAB1">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3、负责组织编制与审批工程总体进度计划及其修订与调整；</w:t>
      </w:r>
    </w:p>
    <w:p w14:paraId="64790639">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4、负责组织编制与审批质量保证计划及其修订与调整；</w:t>
      </w:r>
    </w:p>
    <w:p w14:paraId="7FB93F8A">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5、负责组织编制与审批主要物资供应与采购计划及其修订与调整；</w:t>
      </w:r>
    </w:p>
    <w:p w14:paraId="4399595F">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6、负责组织编制与审批工程分包计划及其修订与调整；</w:t>
      </w:r>
    </w:p>
    <w:p w14:paraId="75F6D66C">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7、组织工程成本分析、预测及控制，对项目资金管理与财务运作负责；</w:t>
      </w:r>
    </w:p>
    <w:p w14:paraId="74FC3763">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8、与业主、监理保持经常沟通，了解业主需求，解决随时出现的问题，替业主排忧解难，保护业主利益；</w:t>
      </w:r>
    </w:p>
    <w:p w14:paraId="60E7F857">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9、负责组织人力资源调配、内部和外部关系协调；遵照合同约定及施工组织设计中的内容实施于工程，当超出实施范围应向上级决策机构申报。</w:t>
      </w:r>
    </w:p>
    <w:p w14:paraId="1B4CED9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关于项目经理每月在施工现场的时间要求：</w:t>
      </w:r>
      <w:r>
        <w:rPr>
          <w:rFonts w:hint="eastAsia" w:ascii="宋体" w:hAnsi="宋体" w:eastAsia="宋体" w:cs="宋体"/>
          <w:color w:val="auto"/>
          <w:sz w:val="24"/>
          <w:szCs w:val="24"/>
          <w:u w:val="single"/>
        </w:rPr>
        <w:t>每周不少于6天，每天不少于7小时</w:t>
      </w:r>
      <w:r>
        <w:rPr>
          <w:rFonts w:hint="eastAsia" w:ascii="宋体" w:hAnsi="宋体" w:eastAsia="宋体" w:cs="宋体"/>
          <w:color w:val="auto"/>
          <w:sz w:val="24"/>
          <w:szCs w:val="24"/>
        </w:rPr>
        <w:t>。</w:t>
      </w:r>
    </w:p>
    <w:p w14:paraId="20B6ED1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承包人未提交劳动合同，以及没有为项目经理缴纳社会保险证明的违约责任：</w:t>
      </w:r>
      <w:r>
        <w:rPr>
          <w:rFonts w:hint="eastAsia" w:ascii="宋体" w:hAnsi="宋体" w:eastAsia="宋体" w:cs="宋体"/>
          <w:color w:val="auto"/>
          <w:sz w:val="24"/>
          <w:szCs w:val="24"/>
          <w:u w:val="single"/>
        </w:rPr>
        <w:t>发包人有权与承包人解除合同，已完工程，按照建设工程成本价结算，并追究由此带来的发包人一切损失</w:t>
      </w:r>
      <w:r>
        <w:rPr>
          <w:rFonts w:hint="eastAsia" w:ascii="宋体" w:hAnsi="宋体" w:eastAsia="宋体" w:cs="宋体"/>
          <w:color w:val="auto"/>
          <w:sz w:val="24"/>
          <w:szCs w:val="24"/>
        </w:rPr>
        <w:t>。</w:t>
      </w:r>
    </w:p>
    <w:p w14:paraId="19011553">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项目经理未经批准，擅自离开施工现场的违约责任：</w:t>
      </w:r>
      <w:r>
        <w:rPr>
          <w:rFonts w:hint="eastAsia" w:ascii="宋体" w:hAnsi="宋体" w:eastAsia="宋体" w:cs="宋体"/>
          <w:color w:val="auto"/>
          <w:sz w:val="24"/>
          <w:szCs w:val="24"/>
          <w:u w:val="single"/>
        </w:rPr>
        <w:t>如果项目经理未经发包人同意，违反项目经理每月在施工现场的时间要求，每发现一次支付给发包人违约金人民币伍仟元（￥5000.00元），上不封顶。连续5天或一个月内累计5天不在现场，发包人有权要求承包人更换项目经理直至要求解除合同，追究违约责任，并报行政主管部门备案</w:t>
      </w:r>
      <w:r>
        <w:rPr>
          <w:rFonts w:hint="eastAsia" w:ascii="宋体" w:hAnsi="宋体" w:eastAsia="宋体" w:cs="宋体"/>
          <w:color w:val="auto"/>
          <w:sz w:val="24"/>
          <w:szCs w:val="24"/>
        </w:rPr>
        <w:t>。</w:t>
      </w:r>
    </w:p>
    <w:p w14:paraId="5A98C81C">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3.2.2 承包人擅自更换项目经理的违约责任：</w:t>
      </w:r>
      <w:r>
        <w:rPr>
          <w:rFonts w:hint="eastAsia" w:ascii="宋体" w:hAnsi="宋体" w:eastAsia="宋体" w:cs="宋体"/>
          <w:color w:val="auto"/>
          <w:sz w:val="24"/>
          <w:szCs w:val="24"/>
          <w:u w:val="single"/>
        </w:rPr>
        <w:t xml:space="preserve">项目经理不得擅自变更，若出现承包人擅自更换项目经理的情况，发包人有权解除合同并责令承包人退场,承包人承诺每天向发包人支付人民币贰仟元（￥2000.00元）违约金（从进场之日至退场之日），并追究由此带来的发包人的一切损失 </w:t>
      </w:r>
      <w:r>
        <w:rPr>
          <w:rFonts w:hint="eastAsia" w:ascii="宋体" w:hAnsi="宋体" w:eastAsia="宋体" w:cs="宋体"/>
          <w:color w:val="auto"/>
          <w:sz w:val="24"/>
          <w:szCs w:val="24"/>
        </w:rPr>
        <w:t>。</w:t>
      </w:r>
    </w:p>
    <w:p w14:paraId="1CDFDF6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3.2.3 承包人无正当理由拒绝更换项目经理的违约责任：</w:t>
      </w:r>
      <w:r>
        <w:rPr>
          <w:rFonts w:hint="eastAsia" w:ascii="宋体" w:hAnsi="宋体" w:eastAsia="宋体" w:cs="宋体"/>
          <w:color w:val="auto"/>
          <w:sz w:val="24"/>
          <w:szCs w:val="24"/>
          <w:u w:val="single"/>
        </w:rPr>
        <w:t xml:space="preserve">发包人有权要求更换其认为不称职的项目经理。项目经理必须采取有效措施保证在整个施工期间现场有足够的劳力、材料、设备，保证工程顺利实施，并不受节假日的影响，否则视为项目经理失职，承包人承诺每次向发包人支付人民币贰仟元/次（￥2000.00元/次）的违约金 </w:t>
      </w:r>
      <w:r>
        <w:rPr>
          <w:rFonts w:hint="eastAsia" w:ascii="宋体" w:hAnsi="宋体" w:eastAsia="宋体" w:cs="宋体"/>
          <w:color w:val="auto"/>
          <w:sz w:val="24"/>
          <w:szCs w:val="24"/>
        </w:rPr>
        <w:t>。</w:t>
      </w:r>
    </w:p>
    <w:p w14:paraId="74A06DB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3.3 承包人人员</w:t>
      </w:r>
    </w:p>
    <w:p w14:paraId="556938A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3.3.1 承包人提交项目管理机构及施工现场管理人员安排报告的期限：</w:t>
      </w:r>
      <w:r>
        <w:rPr>
          <w:rFonts w:hint="eastAsia" w:ascii="宋体" w:hAnsi="宋体" w:eastAsia="宋体" w:cs="宋体"/>
          <w:color w:val="auto"/>
          <w:sz w:val="24"/>
          <w:szCs w:val="24"/>
          <w:u w:val="single"/>
        </w:rPr>
        <w:t>合同签订7日内，如承包人不按时送审符合要求的项目管理机构及施工现场管理人员安排报告，承包人承诺按照现实情况支付给发包人1000-2000元的违约金，发包人有权拒付相应部分工程进度款，责任由承包人承担</w:t>
      </w:r>
      <w:r>
        <w:rPr>
          <w:rFonts w:hint="eastAsia" w:ascii="宋体" w:hAnsi="宋体" w:eastAsia="宋体" w:cs="宋体"/>
          <w:color w:val="auto"/>
          <w:sz w:val="24"/>
          <w:szCs w:val="24"/>
        </w:rPr>
        <w:t>。</w:t>
      </w:r>
    </w:p>
    <w:p w14:paraId="3D51FFC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3.3.2 承包人无正当理由拒绝撤换主要施工管理人员的违约责任：</w:t>
      </w:r>
      <w:r>
        <w:rPr>
          <w:rFonts w:hint="eastAsia" w:ascii="宋体" w:hAnsi="宋体" w:eastAsia="宋体" w:cs="宋体"/>
          <w:color w:val="auto"/>
          <w:sz w:val="24"/>
          <w:szCs w:val="24"/>
          <w:u w:val="single"/>
        </w:rPr>
        <w:t>承包人应对其主要施工管理人员必须进行有效的管理。监理人和发包人要求撤换不能胜任本职工作、行为不端或玩忽职守的承包人主要施工管理人员的，承包人应予以撤换，否则发包人有权解除合同，已完工程，按照建设工程成本价结算，并追究由此带来的发包人一切损失</w:t>
      </w:r>
      <w:r>
        <w:rPr>
          <w:rFonts w:hint="eastAsia" w:ascii="宋体" w:hAnsi="宋体" w:eastAsia="宋体" w:cs="宋体"/>
          <w:color w:val="auto"/>
          <w:sz w:val="24"/>
          <w:szCs w:val="24"/>
        </w:rPr>
        <w:t>。</w:t>
      </w:r>
    </w:p>
    <w:p w14:paraId="6F2D5556">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3.3.3 承包人主要施工管理人员离开施工现场的批准要求：</w:t>
      </w:r>
      <w:r>
        <w:rPr>
          <w:rFonts w:hint="eastAsia" w:ascii="宋体" w:hAnsi="宋体" w:eastAsia="宋体" w:cs="宋体"/>
          <w:color w:val="auto"/>
          <w:sz w:val="24"/>
          <w:szCs w:val="24"/>
          <w:u w:val="single"/>
        </w:rPr>
        <w:t>承包人主要施工管理人员如有特殊原因需要离开施工现场的，需提前一周报发包人、监理人，经发包人、监理人批准后才可离开施工现场，承包人承诺每违约一项（或一人）,需向发包人支付违约金1000元</w:t>
      </w:r>
      <w:r>
        <w:rPr>
          <w:rFonts w:hint="eastAsia" w:ascii="宋体" w:hAnsi="宋体" w:eastAsia="宋体" w:cs="宋体"/>
          <w:color w:val="auto"/>
          <w:sz w:val="24"/>
          <w:szCs w:val="24"/>
        </w:rPr>
        <w:t>。</w:t>
      </w:r>
    </w:p>
    <w:p w14:paraId="0FD2D8E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3.3.4 承包人擅自更换主要施工管理人员的违约责任：</w:t>
      </w:r>
      <w:r>
        <w:rPr>
          <w:rFonts w:hint="eastAsia" w:ascii="宋体" w:hAnsi="宋体" w:eastAsia="宋体" w:cs="宋体"/>
          <w:color w:val="auto"/>
          <w:sz w:val="24"/>
          <w:szCs w:val="24"/>
          <w:u w:val="single"/>
        </w:rPr>
        <w:t>承包人投标文件所载明的项目经理不得变更，如擅自变更，视为违约，发包人有权终止合同，并追究由此带来的发包人一切损失。</w:t>
      </w:r>
    </w:p>
    <w:p w14:paraId="1644BB2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3.3.5 承包人主要施工管理人员擅自离开施工现场的违约责任：</w:t>
      </w:r>
      <w:r>
        <w:rPr>
          <w:rFonts w:hint="eastAsia" w:ascii="宋体" w:hAnsi="宋体" w:eastAsia="宋体" w:cs="宋体"/>
          <w:color w:val="auto"/>
          <w:sz w:val="24"/>
          <w:szCs w:val="24"/>
          <w:u w:val="single"/>
        </w:rPr>
        <w:t>承包人投标文件所载明的主要施工管理人员必须常驻现场，不得擅自离开施工现场，发包人每发现1次，承包人承诺每次向发包人支付人民币贰仟元/次（￥2000.00元/次）的违约金；上不封顶</w:t>
      </w:r>
      <w:r>
        <w:rPr>
          <w:rFonts w:hint="eastAsia" w:ascii="宋体" w:hAnsi="宋体" w:eastAsia="宋体" w:cs="宋体"/>
          <w:color w:val="auto"/>
          <w:sz w:val="24"/>
          <w:szCs w:val="24"/>
        </w:rPr>
        <w:t>。</w:t>
      </w:r>
    </w:p>
    <w:p w14:paraId="4236E2FA">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3.3.6 承包人未按时每月发放农民工工资和及时结算社保资金的违约责任：</w:t>
      </w:r>
      <w:r>
        <w:rPr>
          <w:rFonts w:hint="eastAsia" w:ascii="宋体" w:hAnsi="宋体" w:eastAsia="宋体" w:cs="宋体"/>
          <w:color w:val="auto"/>
          <w:sz w:val="24"/>
          <w:szCs w:val="24"/>
          <w:u w:val="single"/>
        </w:rPr>
        <w:t>承包人必须按时每月发放农民工工资和及时结算社保资金，否则视为违约，发包人有权暂缓支付工程款，责任由承包人承担，并追究由此带来的发包人一切损失。</w:t>
      </w:r>
    </w:p>
    <w:p w14:paraId="4928F8BB">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3.3.7 对承包人失信行为的处罚：</w:t>
      </w:r>
      <w:r>
        <w:rPr>
          <w:rFonts w:hint="eastAsia" w:ascii="宋体" w:hAnsi="宋体" w:eastAsia="宋体" w:cs="宋体"/>
          <w:color w:val="auto"/>
          <w:sz w:val="24"/>
          <w:szCs w:val="24"/>
          <w:u w:val="single"/>
        </w:rPr>
        <w:t>承包人失信拖欠工资，报由有关部门在政府资金支持、政府采购、招投标、生产许可、履约担保、资质审核、融资贷款、市场准入、评优评先等方面依法依规予以限制；恶意欠薪涉嫌犯罪，依法移送司法机关追究刑事责任。</w:t>
      </w:r>
    </w:p>
    <w:p w14:paraId="51710C9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180" w:name="_Toc304295523"/>
      <w:bookmarkStart w:id="181" w:name="_Toc297120459"/>
      <w:bookmarkStart w:id="182" w:name="_Toc312677988"/>
      <w:bookmarkStart w:id="183" w:name="_Toc297216151"/>
      <w:bookmarkStart w:id="184" w:name="_Toc297048345"/>
      <w:bookmarkStart w:id="185" w:name="_Toc296891199"/>
      <w:bookmarkStart w:id="186" w:name="_Toc296503159"/>
      <w:bookmarkStart w:id="187" w:name="_Toc296890987"/>
      <w:bookmarkStart w:id="188" w:name="_Toc292559869"/>
      <w:bookmarkStart w:id="189" w:name="_Toc296346660"/>
      <w:bookmarkStart w:id="190" w:name="_Toc296347158"/>
      <w:bookmarkStart w:id="191" w:name="_Toc292559364"/>
      <w:bookmarkStart w:id="192" w:name="_Toc300934945"/>
      <w:bookmarkStart w:id="193" w:name="_Toc303539102"/>
      <w:bookmarkStart w:id="194" w:name="_Toc296944498"/>
      <w:bookmarkStart w:id="195" w:name="_Toc297123492"/>
      <w:r>
        <w:rPr>
          <w:rFonts w:hint="eastAsia" w:ascii="宋体" w:hAnsi="宋体" w:eastAsia="宋体" w:cs="宋体"/>
          <w:color w:val="auto"/>
          <w:sz w:val="24"/>
          <w:szCs w:val="24"/>
        </w:rPr>
        <w:t>.4 分包</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CDEB31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3.4.1 分包的一般约定</w:t>
      </w:r>
    </w:p>
    <w:p w14:paraId="29B8898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禁止分包的工程包括：</w:t>
      </w:r>
      <w:r>
        <w:rPr>
          <w:rFonts w:hint="eastAsia" w:ascii="宋体" w:hAnsi="宋体" w:eastAsia="宋体" w:cs="宋体"/>
          <w:color w:val="auto"/>
          <w:sz w:val="24"/>
          <w:szCs w:val="24"/>
          <w:u w:val="single"/>
        </w:rPr>
        <w:t>本工程不允许承包人有任何形式的转包和未经允许的分包，否则发包人有权终止合同，一切损失由承包人承担。如某些专业工程，承包人自行施工质量不能令发包人和监理人满意，发包人同意承包人做分包处理，承包人应做好分包人的管理工作和负总责。分包单位的任何违约行为或疏忽导致工程损害或给发包人造成其他损失，承包人承担连带责任</w:t>
      </w:r>
      <w:r>
        <w:rPr>
          <w:rFonts w:hint="eastAsia" w:ascii="宋体" w:hAnsi="宋体" w:eastAsia="宋体" w:cs="宋体"/>
          <w:color w:val="auto"/>
          <w:sz w:val="24"/>
          <w:szCs w:val="24"/>
        </w:rPr>
        <w:t>。</w:t>
      </w:r>
    </w:p>
    <w:p w14:paraId="0BC6B96A">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主体结构、关键性工作的范围：</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44E5F1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196" w:name="_Toc318581159"/>
      <w:bookmarkStart w:id="197" w:name="_Toc312677990"/>
      <w:r>
        <w:rPr>
          <w:rFonts w:hint="eastAsia" w:ascii="宋体" w:hAnsi="宋体" w:eastAsia="宋体" w:cs="宋体"/>
          <w:color w:val="auto"/>
          <w:sz w:val="24"/>
          <w:szCs w:val="24"/>
        </w:rPr>
        <w:t>.4.2 分包的确定</w:t>
      </w:r>
    </w:p>
    <w:p w14:paraId="3410CEA8">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允许分包的专业工程包括：</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55ECBC4C">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其他关于分包的约定：</w:t>
      </w:r>
      <w:r>
        <w:rPr>
          <w:rFonts w:hint="eastAsia" w:ascii="宋体" w:hAnsi="宋体" w:eastAsia="宋体" w:cs="宋体"/>
          <w:color w:val="auto"/>
          <w:sz w:val="24"/>
          <w:szCs w:val="24"/>
          <w:u w:val="single"/>
        </w:rPr>
        <w:t>本工程不允许承包人有任何形式的转包和未经发包人允许的分包，否则发包人有权终止合同，一切损失由承包人承担</w:t>
      </w:r>
      <w:r>
        <w:rPr>
          <w:rFonts w:hint="eastAsia" w:ascii="宋体" w:hAnsi="宋体" w:eastAsia="宋体" w:cs="宋体"/>
          <w:color w:val="auto"/>
          <w:sz w:val="24"/>
          <w:szCs w:val="24"/>
        </w:rPr>
        <w:t>。</w:t>
      </w:r>
    </w:p>
    <w:p w14:paraId="4795CBB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3.4.3 分包合同价款</w:t>
      </w:r>
    </w:p>
    <w:p w14:paraId="475D048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关于分包合同价款支付的约定：</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bookmarkEnd w:id="196"/>
      <w:bookmarkEnd w:id="197"/>
    </w:p>
    <w:p w14:paraId="3BA96F2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3.5 工程照管与成品、半成品保护</w:t>
      </w:r>
    </w:p>
    <w:p w14:paraId="3DE686ED">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承包人负责照管工程及工程相关的材料、工程设备的起始时间：</w:t>
      </w:r>
      <w:r>
        <w:rPr>
          <w:rFonts w:hint="eastAsia" w:ascii="宋体" w:hAnsi="宋体" w:eastAsia="宋体" w:cs="宋体"/>
          <w:color w:val="auto"/>
          <w:sz w:val="24"/>
          <w:szCs w:val="24"/>
          <w:u w:val="single"/>
        </w:rPr>
        <w:t>在工程交付前，成品保护由承包人负责，费用已含在合同价款内，发生成品损坏，承包人负责予以修复，费用自理；如交付后，发包人要求承包人继续保护，费用另行商定</w:t>
      </w:r>
      <w:r>
        <w:rPr>
          <w:rFonts w:hint="eastAsia" w:ascii="宋体" w:hAnsi="宋体" w:eastAsia="宋体" w:cs="宋体"/>
          <w:color w:val="auto"/>
          <w:sz w:val="24"/>
          <w:szCs w:val="24"/>
        </w:rPr>
        <w:t>。</w:t>
      </w:r>
    </w:p>
    <w:p w14:paraId="6A88A04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3.6 履约担保</w:t>
      </w:r>
    </w:p>
    <w:p w14:paraId="13C66E2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承包人是否提供履约担保：</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是</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2588DFB">
      <w:pPr>
        <w:pStyle w:val="17"/>
        <w:numPr>
          <w:ilvl w:val="0"/>
          <w:numId w:val="0"/>
        </w:numPr>
        <w:spacing w:line="360" w:lineRule="auto"/>
        <w:ind w:left="116" w:right="63" w:firstLine="24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履约担保的形式：银行支票、汇票； </w:t>
      </w:r>
    </w:p>
    <w:p w14:paraId="310DE71C">
      <w:pPr>
        <w:pStyle w:val="17"/>
        <w:numPr>
          <w:ilvl w:val="0"/>
          <w:numId w:val="0"/>
        </w:numPr>
        <w:spacing w:line="360" w:lineRule="auto"/>
        <w:ind w:left="116" w:right="63" w:firstLine="24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履约担保金额：中标价的10%； </w:t>
      </w:r>
    </w:p>
    <w:p w14:paraId="542B7C0B">
      <w:pPr>
        <w:pStyle w:val="17"/>
        <w:numPr>
          <w:ilvl w:val="0"/>
          <w:numId w:val="0"/>
        </w:numPr>
        <w:spacing w:line="360" w:lineRule="auto"/>
        <w:ind w:left="116" w:right="63" w:firstLine="24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履约担保的提交方式：银行支票、汇票。</w:t>
      </w:r>
    </w:p>
    <w:p w14:paraId="03520EAB">
      <w:pPr>
        <w:pStyle w:val="17"/>
        <w:numPr>
          <w:ilvl w:val="0"/>
          <w:numId w:val="0"/>
        </w:numPr>
        <w:spacing w:line="360" w:lineRule="auto"/>
        <w:ind w:left="116" w:right="63" w:firstLine="240"/>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履约担保的递交时间：中标人自领取书面中标通知书 10日内按采购文件规定缴纳履约保证金。中标人未在规定时间内领取中标通知书或未在规定期限内缴纳履约保证金的，视为自动放弃中标资格。</w:t>
      </w:r>
      <w:r>
        <w:rPr>
          <w:rFonts w:hint="eastAsia" w:ascii="宋体" w:hAnsi="宋体" w:eastAsia="宋体" w:cs="宋体"/>
          <w:color w:val="auto"/>
          <w:sz w:val="24"/>
          <w:szCs w:val="24"/>
          <w:highlight w:val="none"/>
          <w:lang w:val="en-US" w:eastAsia="zh-CN" w:bidi="ar-SA"/>
        </w:rPr>
        <w:t>履约担保收款人</w:t>
      </w:r>
      <w:r>
        <w:rPr>
          <w:rFonts w:hint="eastAsia" w:ascii="宋体" w:hAnsi="宋体" w:cs="宋体"/>
          <w:color w:val="auto"/>
          <w:sz w:val="24"/>
          <w:szCs w:val="24"/>
          <w:highlight w:val="none"/>
          <w:lang w:val="en-US" w:eastAsia="zh-CN" w:bidi="ar-SA"/>
        </w:rPr>
        <w:t>开户行及</w:t>
      </w:r>
      <w:r>
        <w:rPr>
          <w:rFonts w:hint="eastAsia" w:ascii="宋体" w:hAnsi="宋体" w:eastAsia="宋体" w:cs="宋体"/>
          <w:color w:val="auto"/>
          <w:sz w:val="24"/>
          <w:szCs w:val="24"/>
          <w:highlight w:val="none"/>
          <w:lang w:val="en-US" w:eastAsia="zh-CN" w:bidi="ar-SA"/>
        </w:rPr>
        <w:t>开户账号</w:t>
      </w:r>
      <w:r>
        <w:rPr>
          <w:rFonts w:hint="eastAsia" w:ascii="宋体" w:hAnsi="宋体" w:cs="宋体"/>
          <w:color w:val="auto"/>
          <w:sz w:val="24"/>
          <w:szCs w:val="24"/>
          <w:highlight w:val="none"/>
          <w:lang w:val="en-US" w:eastAsia="zh-CN" w:bidi="ar-SA"/>
        </w:rPr>
        <w:t>由中标人在签订本施工合同时向发包人获取。</w:t>
      </w:r>
    </w:p>
    <w:p w14:paraId="4DF91C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履约担保收款人: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12E6C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履约担保开户行: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1D66F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履约担保开户账号: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F5A5E70">
      <w:pPr>
        <w:pStyle w:val="17"/>
        <w:numPr>
          <w:ilvl w:val="0"/>
          <w:numId w:val="0"/>
        </w:numPr>
        <w:spacing w:line="360" w:lineRule="auto"/>
        <w:ind w:right="63" w:firstLine="24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履约保证金的返还（无息）：承包人在无违法、违纪现象的情况下，完成竣工结算审计后14日内，全额返还。</w:t>
      </w:r>
    </w:p>
    <w:p w14:paraId="2CF34C95">
      <w:pPr>
        <w:keepNext/>
        <w:keepLines/>
        <w:spacing w:before="164" w:after="164" w:line="360" w:lineRule="auto"/>
        <w:ind w:firstLine="420"/>
        <w:rPr>
          <w:rFonts w:hint="eastAsia" w:ascii="宋体" w:hAnsi="宋体" w:eastAsia="宋体" w:cs="宋体"/>
          <w:color w:val="auto"/>
          <w:sz w:val="24"/>
          <w:szCs w:val="24"/>
        </w:rPr>
      </w:pPr>
      <w:bookmarkStart w:id="198" w:name="_Toc351203636"/>
      <w:r>
        <w:rPr>
          <w:rFonts w:hint="eastAsia" w:ascii="宋体" w:hAnsi="宋体" w:eastAsia="宋体" w:cs="宋体"/>
          <w:color w:val="auto"/>
          <w:sz w:val="24"/>
          <w:szCs w:val="24"/>
        </w:rPr>
        <w:t>4</w:t>
      </w:r>
      <w:bookmarkStart w:id="199" w:name="_Toc292559366"/>
      <w:bookmarkStart w:id="200" w:name="_Toc267251413"/>
      <w:bookmarkStart w:id="201" w:name="_Toc296346663"/>
      <w:bookmarkStart w:id="202" w:name="_Toc296890990"/>
      <w:bookmarkStart w:id="203" w:name="_Toc296503162"/>
      <w:bookmarkStart w:id="204" w:name="_Toc297048348"/>
      <w:bookmarkStart w:id="205" w:name="_Toc292559871"/>
      <w:bookmarkStart w:id="206" w:name="_Toc296944501"/>
      <w:bookmarkStart w:id="207" w:name="_Toc296891202"/>
      <w:bookmarkStart w:id="208" w:name="_Toc297120462"/>
      <w:bookmarkStart w:id="209" w:name="_Toc296347161"/>
      <w:r>
        <w:rPr>
          <w:rFonts w:hint="eastAsia" w:ascii="宋体" w:hAnsi="宋体" w:eastAsia="宋体" w:cs="宋体"/>
          <w:color w:val="auto"/>
          <w:sz w:val="24"/>
          <w:szCs w:val="24"/>
        </w:rPr>
        <w:t>. 监</w:t>
      </w:r>
      <w:bookmarkEnd w:id="199"/>
      <w:bookmarkEnd w:id="200"/>
      <w:bookmarkEnd w:id="201"/>
      <w:bookmarkEnd w:id="202"/>
      <w:bookmarkEnd w:id="203"/>
      <w:bookmarkEnd w:id="204"/>
      <w:bookmarkEnd w:id="205"/>
      <w:bookmarkEnd w:id="206"/>
      <w:bookmarkEnd w:id="207"/>
      <w:bookmarkEnd w:id="208"/>
      <w:bookmarkEnd w:id="209"/>
      <w:r>
        <w:rPr>
          <w:rFonts w:hint="eastAsia" w:ascii="宋体" w:hAnsi="宋体" w:eastAsia="宋体" w:cs="宋体"/>
          <w:color w:val="auto"/>
          <w:sz w:val="24"/>
          <w:szCs w:val="24"/>
        </w:rPr>
        <w:t>理人</w:t>
      </w:r>
      <w:bookmarkEnd w:id="198"/>
    </w:p>
    <w:p w14:paraId="4B00BD5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4.1 监理人的一般规定</w:t>
      </w:r>
    </w:p>
    <w:p w14:paraId="0C80462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关于监理人的监理内容：</w:t>
      </w:r>
      <w:r>
        <w:rPr>
          <w:rFonts w:hint="eastAsia" w:ascii="宋体" w:hAnsi="宋体" w:eastAsia="宋体" w:cs="宋体"/>
          <w:color w:val="auto"/>
          <w:sz w:val="24"/>
          <w:szCs w:val="24"/>
          <w:u w:val="single"/>
        </w:rPr>
        <w:t>对建设工程的质量控制、进度控制、成本控制、合同管理、信息管理和各方协调工作，监督施工单位对工程施工进行科学管理、安全施工、文明施工，具体详见监理合同</w:t>
      </w:r>
      <w:r>
        <w:rPr>
          <w:rFonts w:hint="eastAsia" w:ascii="宋体" w:hAnsi="宋体" w:eastAsia="宋体" w:cs="宋体"/>
          <w:color w:val="auto"/>
          <w:sz w:val="24"/>
          <w:szCs w:val="24"/>
        </w:rPr>
        <w:t>。</w:t>
      </w:r>
    </w:p>
    <w:p w14:paraId="503647D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关于监理人的监理权限：</w:t>
      </w:r>
      <w:r>
        <w:rPr>
          <w:rFonts w:hint="eastAsia" w:ascii="宋体" w:hAnsi="宋体" w:eastAsia="宋体" w:cs="宋体"/>
          <w:color w:val="auto"/>
          <w:sz w:val="24"/>
          <w:szCs w:val="24"/>
          <w:u w:val="single"/>
        </w:rPr>
        <w:t>需要取得发包人批准才能行使的职权为工程款拨付、各项工程变更洽商的确认及重大质量、进度、安全问题的处理权</w:t>
      </w:r>
      <w:r>
        <w:rPr>
          <w:rFonts w:hint="eastAsia" w:ascii="宋体" w:hAnsi="宋体" w:eastAsia="宋体" w:cs="宋体"/>
          <w:color w:val="auto"/>
          <w:sz w:val="24"/>
          <w:szCs w:val="24"/>
        </w:rPr>
        <w:t xml:space="preserve">。 </w:t>
      </w:r>
    </w:p>
    <w:p w14:paraId="5152E57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关于监理人在施工现场的办公场所、生活场所的提供和费用承担的约定：</w:t>
      </w:r>
      <w:r>
        <w:rPr>
          <w:rFonts w:hint="eastAsia" w:ascii="宋体" w:hAnsi="宋体" w:eastAsia="宋体" w:cs="宋体"/>
          <w:color w:val="auto"/>
          <w:sz w:val="24"/>
          <w:szCs w:val="24"/>
          <w:u w:val="single"/>
        </w:rPr>
        <w:t>承包人应积极配合向监理人提供施工现场的办公用房和生活场所，其费用已包含在合同总价中</w:t>
      </w:r>
      <w:r>
        <w:rPr>
          <w:rFonts w:hint="eastAsia" w:ascii="宋体" w:hAnsi="宋体" w:eastAsia="宋体" w:cs="宋体"/>
          <w:color w:val="auto"/>
          <w:sz w:val="24"/>
          <w:szCs w:val="24"/>
        </w:rPr>
        <w:t>。</w:t>
      </w:r>
    </w:p>
    <w:p w14:paraId="3C1E695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4.2 监理人员</w:t>
      </w:r>
    </w:p>
    <w:p w14:paraId="62DD721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总监理工程师：</w:t>
      </w:r>
    </w:p>
    <w:p w14:paraId="6928FC6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174DC3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4E6D43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A1EEB3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7FC982C">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F45546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5704BC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rPr>
        <w:t>具体见监理合同</w:t>
      </w:r>
      <w:r>
        <w:rPr>
          <w:rFonts w:hint="eastAsia" w:ascii="宋体" w:hAnsi="宋体" w:eastAsia="宋体" w:cs="宋体"/>
          <w:color w:val="auto"/>
          <w:sz w:val="24"/>
          <w:szCs w:val="24"/>
        </w:rPr>
        <w:t>。</w:t>
      </w:r>
    </w:p>
    <w:p w14:paraId="211F044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4.3 商定或确定</w:t>
      </w:r>
    </w:p>
    <w:p w14:paraId="1047C21A">
      <w:pPr>
        <w:spacing w:line="360" w:lineRule="auto"/>
        <w:ind w:firstLine="420"/>
        <w:rPr>
          <w:rFonts w:hint="eastAsia" w:ascii="宋体" w:hAnsi="宋体" w:eastAsia="宋体" w:cs="宋体"/>
          <w:color w:val="auto"/>
          <w:sz w:val="24"/>
          <w:szCs w:val="24"/>
        </w:rPr>
      </w:pPr>
      <w:bookmarkStart w:id="210" w:name="_Toc267251418"/>
      <w:r>
        <w:rPr>
          <w:rFonts w:hint="eastAsia" w:ascii="宋体" w:hAnsi="宋体" w:eastAsia="宋体" w:cs="宋体"/>
          <w:color w:val="auto"/>
          <w:sz w:val="24"/>
          <w:szCs w:val="24"/>
        </w:rPr>
        <w:t>在发包人和承包人不能通过协商达成一致意见时，发包人授权监理人对以下事项进行确定：</w:t>
      </w:r>
    </w:p>
    <w:p w14:paraId="069B1F0B">
      <w:pPr>
        <w:spacing w:line="360" w:lineRule="auto"/>
        <w:ind w:firstLine="420"/>
        <w:rPr>
          <w:rFonts w:hint="eastAsia" w:ascii="宋体" w:hAnsi="宋体" w:eastAsia="宋体" w:cs="宋体"/>
          <w:color w:val="auto"/>
          <w:sz w:val="24"/>
          <w:szCs w:val="24"/>
        </w:rPr>
      </w:pPr>
      <w:bookmarkStart w:id="211" w:name="_Toc351203637"/>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另行约定</w:t>
      </w:r>
      <w:r>
        <w:rPr>
          <w:rFonts w:hint="eastAsia" w:ascii="宋体" w:hAnsi="宋体" w:eastAsia="宋体" w:cs="宋体"/>
          <w:color w:val="auto"/>
          <w:sz w:val="24"/>
          <w:szCs w:val="24"/>
        </w:rPr>
        <w:t>；</w:t>
      </w:r>
    </w:p>
    <w:p w14:paraId="782CF92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3E4B35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512B8C07">
      <w:pPr>
        <w:keepNext/>
        <w:keepLines/>
        <w:spacing w:before="164" w:after="16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w:t>
      </w:r>
      <w:bookmarkEnd w:id="210"/>
      <w:bookmarkStart w:id="212" w:name="_Toc296890991"/>
      <w:bookmarkStart w:id="213" w:name="_Toc296944502"/>
      <w:bookmarkStart w:id="214" w:name="_Toc296346664"/>
      <w:bookmarkStart w:id="215" w:name="_Toc292559367"/>
      <w:bookmarkStart w:id="216" w:name="_Toc292559872"/>
      <w:bookmarkStart w:id="217" w:name="_Toc296347162"/>
      <w:bookmarkStart w:id="218" w:name="_Toc297048349"/>
      <w:bookmarkStart w:id="219" w:name="_Toc296503163"/>
      <w:bookmarkStart w:id="220" w:name="_Toc296891203"/>
      <w:bookmarkStart w:id="221" w:name="_Toc297120463"/>
      <w:r>
        <w:rPr>
          <w:rFonts w:hint="eastAsia" w:ascii="宋体" w:hAnsi="宋体" w:eastAsia="宋体" w:cs="宋体"/>
          <w:color w:val="auto"/>
          <w:sz w:val="24"/>
          <w:szCs w:val="24"/>
        </w:rPr>
        <w:t>. 工程质量</w:t>
      </w:r>
      <w:bookmarkEnd w:id="211"/>
    </w:p>
    <w:p w14:paraId="42D6B55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5.1 质量要求</w:t>
      </w:r>
    </w:p>
    <w:p w14:paraId="1006D7F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5</w:t>
      </w:r>
      <w:bookmarkStart w:id="222" w:name="_Toc297216155"/>
      <w:bookmarkStart w:id="223" w:name="_Toc318581164"/>
      <w:bookmarkStart w:id="224" w:name="_Toc303539106"/>
      <w:bookmarkStart w:id="225" w:name="_Toc312677997"/>
      <w:bookmarkStart w:id="226" w:name="_Toc300934949"/>
      <w:bookmarkStart w:id="227" w:name="_Toc304295527"/>
      <w:bookmarkStart w:id="228" w:name="_Toc297123496"/>
      <w:r>
        <w:rPr>
          <w:rFonts w:hint="eastAsia" w:ascii="宋体" w:hAnsi="宋体" w:eastAsia="宋体" w:cs="宋体"/>
          <w:color w:val="auto"/>
          <w:sz w:val="24"/>
          <w:szCs w:val="24"/>
        </w:rPr>
        <w:t>.1.1 特殊质量标准和要求：</w:t>
      </w:r>
      <w:r>
        <w:rPr>
          <w:rFonts w:hint="eastAsia" w:ascii="宋体" w:hAnsi="宋体" w:eastAsia="宋体" w:cs="宋体"/>
          <w:color w:val="auto"/>
          <w:sz w:val="24"/>
          <w:szCs w:val="24"/>
          <w:u w:val="single"/>
        </w:rPr>
        <w:t xml:space="preserve"> 一次性验收合格 </w:t>
      </w:r>
      <w:r>
        <w:rPr>
          <w:rFonts w:hint="eastAsia" w:ascii="宋体" w:hAnsi="宋体" w:eastAsia="宋体" w:cs="宋体"/>
          <w:color w:val="auto"/>
          <w:sz w:val="24"/>
          <w:szCs w:val="24"/>
        </w:rPr>
        <w:t>。</w:t>
      </w:r>
    </w:p>
    <w:p w14:paraId="5206EA7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关于工程奖项的约定：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F6AD9D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5.2 隐蔽工程检查</w:t>
      </w:r>
    </w:p>
    <w:p w14:paraId="4FA831C9">
      <w:pPr>
        <w:spacing w:line="360" w:lineRule="auto"/>
        <w:ind w:firstLine="420"/>
        <w:rPr>
          <w:rFonts w:hint="eastAsia" w:ascii="宋体" w:hAnsi="宋体" w:eastAsia="宋体" w:cs="宋体"/>
          <w:color w:val="auto"/>
          <w:sz w:val="24"/>
          <w:szCs w:val="24"/>
        </w:rPr>
      </w:pPr>
      <w:bookmarkStart w:id="229" w:name="_Toc351203638"/>
      <w:r>
        <w:rPr>
          <w:rFonts w:hint="eastAsia" w:ascii="宋体" w:hAnsi="宋体" w:eastAsia="宋体" w:cs="宋体"/>
          <w:color w:val="auto"/>
          <w:sz w:val="24"/>
          <w:szCs w:val="24"/>
        </w:rPr>
        <w:t>5.2.1 承包人提前通知监理人隐蔽工程检查的期限的约定：</w:t>
      </w:r>
      <w:r>
        <w:rPr>
          <w:rFonts w:hint="eastAsia" w:ascii="宋体" w:hAnsi="宋体" w:eastAsia="宋体" w:cs="宋体"/>
          <w:color w:val="auto"/>
          <w:sz w:val="24"/>
          <w:szCs w:val="24"/>
          <w:u w:val="single"/>
        </w:rPr>
        <w:t>按质监部门的有关要求及通用条款规定执行</w:t>
      </w:r>
      <w:r>
        <w:rPr>
          <w:rFonts w:hint="eastAsia" w:ascii="宋体" w:hAnsi="宋体" w:eastAsia="宋体" w:cs="宋体"/>
          <w:color w:val="auto"/>
          <w:sz w:val="24"/>
          <w:szCs w:val="24"/>
        </w:rPr>
        <w:t>。</w:t>
      </w:r>
    </w:p>
    <w:p w14:paraId="4FAFDB8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监理人不能按时进行检查时，应提前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14:paraId="2B17224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关于延期最长不得超过：</w:t>
      </w:r>
      <w:r>
        <w:rPr>
          <w:rFonts w:hint="eastAsia" w:ascii="宋体" w:hAnsi="宋体" w:eastAsia="宋体" w:cs="宋体"/>
          <w:color w:val="auto"/>
          <w:sz w:val="24"/>
          <w:szCs w:val="24"/>
          <w:u w:val="single"/>
        </w:rPr>
        <w:t xml:space="preserve"> 48 </w:t>
      </w:r>
      <w:r>
        <w:rPr>
          <w:rFonts w:hint="eastAsia" w:ascii="宋体" w:hAnsi="宋体" w:eastAsia="宋体" w:cs="宋体"/>
          <w:color w:val="auto"/>
          <w:sz w:val="24"/>
          <w:szCs w:val="24"/>
        </w:rPr>
        <w:t>小时。</w:t>
      </w:r>
    </w:p>
    <w:p w14:paraId="4851E9DB">
      <w:pPr>
        <w:keepNext/>
        <w:keepLines/>
        <w:spacing w:before="164" w:after="16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 安全文明施工与环境保护</w:t>
      </w:r>
      <w:bookmarkEnd w:id="229"/>
    </w:p>
    <w:p w14:paraId="474AF6E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6.1 安全文明施工</w:t>
      </w:r>
    </w:p>
    <w:p w14:paraId="13D867F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6.1.1 项目安全生产的达标目标及相应事项的约定：</w:t>
      </w:r>
      <w:r>
        <w:rPr>
          <w:rFonts w:hint="eastAsia" w:ascii="宋体" w:hAnsi="宋体" w:eastAsia="宋体" w:cs="宋体"/>
          <w:color w:val="auto"/>
          <w:sz w:val="24"/>
          <w:szCs w:val="24"/>
          <w:u w:val="single"/>
        </w:rPr>
        <w:t>承包人应遵守工程建设安全生产有关管理规定以及发包人相关安全生产规定，严格按安全标准组织施工，并随时接受行业安全检查人员依法实施的监督检查，采取必要的安全防护措施，消除事故隐患。其安全施工防护费用已经含在合同价款内。本工程在整个施工期间杜绝一切人身伤亡和重大质量安全事故，如发生上述事故，则发包人视为承包人违约，承包人承担安全事故全部责任和费用；在施工期间每发生一起重伤事故，承包人除了接受政府相关部门处罚外，承包人应保证在整个合同履行过程中所用的全部工器具、设备、施工机械及现场设施等的安全、性能和状态完好，能够实现预定的作用，满足合同约定和业主代表的要求。与工程有关的大中型施工机械、现场变配电设备以及重要施工器具等的检修、维护须提前7天通知发包人、监理工程师。承包人必须服从发包人和总现场安全考核管理办法</w:t>
      </w:r>
      <w:r>
        <w:rPr>
          <w:rFonts w:hint="eastAsia" w:ascii="宋体" w:hAnsi="宋体" w:eastAsia="宋体" w:cs="宋体"/>
          <w:color w:val="auto"/>
          <w:sz w:val="24"/>
          <w:szCs w:val="24"/>
        </w:rPr>
        <w:t>。</w:t>
      </w:r>
    </w:p>
    <w:p w14:paraId="6C35ED8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6.1.2 关于治安保卫的特别约定：</w:t>
      </w:r>
      <w:r>
        <w:rPr>
          <w:rFonts w:hint="eastAsia" w:ascii="宋体" w:hAnsi="宋体" w:eastAsia="宋体" w:cs="宋体"/>
          <w:color w:val="auto"/>
          <w:sz w:val="24"/>
          <w:szCs w:val="24"/>
          <w:u w:val="single"/>
        </w:rPr>
        <w:t>承包人应保证在整个合同履行过程中不发生民事或刑事案件，并承担施工安全保卫工作及非夜间施工照明的责任和要求：在实施和完成本工程过程中，承包人应充分关注和保障所有在场人员的安全，承包人对安全防护工作负全责（包括但不限于责任和费用），并禁止非施工人员、车辆进入现场。负责发包人供应的材料设备的保管。为保护本工程免遭损坏，或为现场附近和过往人群的安全与方便，在确有必要的时候和地方，或当监理工程师或有关主管部门要求时，承包人应自费提供照明、警卫、护栅、警告标志等安全防护措施，费用含在合同总价中。所有安全事故及责任，由承包人承担。如承包人未履行上述约定及通用条款相关义务造成工程、财产和人身伤害，由承包人承担责任，赔偿损失及支付发生的费用</w:t>
      </w:r>
      <w:r>
        <w:rPr>
          <w:rFonts w:hint="eastAsia" w:ascii="宋体" w:hAnsi="宋体" w:eastAsia="宋体" w:cs="宋体"/>
          <w:color w:val="auto"/>
          <w:sz w:val="24"/>
          <w:szCs w:val="24"/>
        </w:rPr>
        <w:t>。</w:t>
      </w:r>
    </w:p>
    <w:p w14:paraId="22F93EA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关于编制施工场地治安管理计划的约定：</w:t>
      </w:r>
      <w:r>
        <w:rPr>
          <w:rFonts w:hint="eastAsia" w:ascii="宋体" w:hAnsi="宋体" w:eastAsia="宋体" w:cs="宋体"/>
          <w:color w:val="auto"/>
          <w:sz w:val="24"/>
          <w:szCs w:val="24"/>
          <w:u w:val="single"/>
        </w:rPr>
        <w:t>承包人应在工程开工前编制施工场地治安管理计划，并制定应对突发治安事件的紧急预案上报发包人。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r>
        <w:rPr>
          <w:rFonts w:hint="eastAsia" w:ascii="宋体" w:hAnsi="宋体" w:eastAsia="宋体" w:cs="宋体"/>
          <w:color w:val="auto"/>
          <w:sz w:val="24"/>
          <w:szCs w:val="24"/>
        </w:rPr>
        <w:t>。</w:t>
      </w:r>
    </w:p>
    <w:p w14:paraId="6E824B2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6.1.3 文明施工</w:t>
      </w:r>
    </w:p>
    <w:p w14:paraId="2D92599A">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合同当事人对文明施工的要求：</w:t>
      </w:r>
      <w:r>
        <w:rPr>
          <w:rFonts w:hint="eastAsia" w:ascii="宋体" w:hAnsi="宋体" w:eastAsia="宋体" w:cs="宋体"/>
          <w:color w:val="auto"/>
          <w:sz w:val="24"/>
          <w:szCs w:val="24"/>
          <w:u w:val="single"/>
        </w:rPr>
        <w:t>按照《徐州市市区扬尘污染防治办法》的要求，开工前15日内向项目所在地环境保护行政主管部门进行排污申报；施工工地一律实行封闭 施工、防尘网覆盖、定时洒水，控制扬尘污染等安全文明施工措施，制定并落实扬尘污染 防治措施；扬尘污染防治设施应当保持完好、正常运行，不得擅自拆除和闲置；确需 拆除和闲置的，应当报经环境保护行政主管部门批准；拆除、开挖后的建筑垃圾必须 当日清除，并且覆盖运输，如因建筑垃圾未及时清理或运输不当，造成工地周边扬尘。及其他给发包人带来不利影响的事件，承包人承诺每查实一次向发包人支付3000元违约金；造成损失的，由承包人承担。</w:t>
      </w:r>
    </w:p>
    <w:p w14:paraId="56B966CB">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承包人应负责修建、维修、养护和管理施工所需的临时道路和交通设施，并承担相应 费用；承包人修建的临时道路和交通设施应免费提供给发包人、监理人和其他承包人使用。</w:t>
      </w:r>
    </w:p>
    <w:p w14:paraId="16CE70D5">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为保证道路交通安全及运输畅通,当施工期间，承包人必须与交通和公安部门协商，采取足够的交通疏导措施；承包人制定运输计划时，应避开现有道路上在高峰时的运输。投标人的扬尘防控环保要求必须符合严格按照《市政府关于印发徐州市2017-2018年秋冬季大气污染防治强化管控方案的通知》（徐政发﹝2017﹞53号）、《关于印发徐州市市区工地扬尘污染管理规范的通知》（徐空气提升办﹝2018﹞11号）和《徐州市2018年大气污染防治攻坚行动方案》、徐城管发【2018】55号文的规定。该费用已经包含在投标报价当中，结算不再增加此项费用。</w:t>
      </w:r>
    </w:p>
    <w:p w14:paraId="6033B94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6.1.4 关于安全文明施工费支付比例和支付期限的约定：</w:t>
      </w:r>
      <w:r>
        <w:rPr>
          <w:rFonts w:hint="eastAsia" w:ascii="宋体" w:hAnsi="宋体" w:eastAsia="宋体" w:cs="宋体"/>
          <w:color w:val="auto"/>
          <w:sz w:val="24"/>
          <w:szCs w:val="24"/>
          <w:u w:val="single"/>
        </w:rPr>
        <w:t>按通用条款执行</w:t>
      </w:r>
      <w:r>
        <w:rPr>
          <w:rFonts w:hint="eastAsia" w:ascii="宋体" w:hAnsi="宋体" w:eastAsia="宋体" w:cs="宋体"/>
          <w:color w:val="auto"/>
          <w:sz w:val="24"/>
          <w:szCs w:val="24"/>
        </w:rPr>
        <w:t>。</w:t>
      </w:r>
      <w:bookmarkEnd w:id="222"/>
      <w:bookmarkEnd w:id="223"/>
      <w:bookmarkEnd w:id="224"/>
      <w:bookmarkEnd w:id="225"/>
      <w:bookmarkEnd w:id="226"/>
      <w:bookmarkEnd w:id="227"/>
      <w:bookmarkEnd w:id="228"/>
    </w:p>
    <w:p w14:paraId="51C0DF66">
      <w:pPr>
        <w:keepNext/>
        <w:keepLines/>
        <w:spacing w:before="164" w:after="164" w:line="360" w:lineRule="auto"/>
        <w:rPr>
          <w:rFonts w:hint="eastAsia" w:ascii="宋体" w:hAnsi="宋体" w:eastAsia="宋体" w:cs="宋体"/>
          <w:color w:val="auto"/>
          <w:sz w:val="24"/>
          <w:szCs w:val="24"/>
        </w:rPr>
      </w:pPr>
      <w:bookmarkStart w:id="230" w:name="_Toc351203639"/>
      <w:r>
        <w:rPr>
          <w:rFonts w:hint="eastAsia" w:ascii="宋体" w:hAnsi="宋体" w:eastAsia="宋体" w:cs="宋体"/>
          <w:color w:val="auto"/>
          <w:sz w:val="24"/>
          <w:szCs w:val="24"/>
        </w:rPr>
        <w:t>7. 工期和进度</w:t>
      </w:r>
      <w:bookmarkEnd w:id="230"/>
    </w:p>
    <w:p w14:paraId="58843AF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7.1 施工组织设计</w:t>
      </w:r>
    </w:p>
    <w:p w14:paraId="3FFEF3D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7.1.1 合同当事人约定的施工组织设计应包括的其他内容：</w:t>
      </w:r>
      <w:r>
        <w:rPr>
          <w:rFonts w:hint="eastAsia" w:ascii="宋体" w:hAnsi="宋体" w:eastAsia="宋体" w:cs="宋体"/>
          <w:color w:val="auto"/>
          <w:sz w:val="24"/>
          <w:szCs w:val="24"/>
          <w:u w:val="single"/>
        </w:rPr>
        <w:t>按通用条款执行</w:t>
      </w:r>
      <w:r>
        <w:rPr>
          <w:rFonts w:hint="eastAsia" w:ascii="宋体" w:hAnsi="宋体" w:eastAsia="宋体" w:cs="宋体"/>
          <w:color w:val="auto"/>
          <w:sz w:val="24"/>
          <w:szCs w:val="24"/>
        </w:rPr>
        <w:t>。</w:t>
      </w:r>
    </w:p>
    <w:p w14:paraId="4338027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14:paraId="6C17A39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承包人提交详细施工组织设计的期限的约定：</w:t>
      </w:r>
      <w:r>
        <w:rPr>
          <w:rFonts w:hint="eastAsia" w:ascii="宋体" w:hAnsi="宋体" w:eastAsia="宋体" w:cs="宋体"/>
          <w:color w:val="auto"/>
          <w:sz w:val="24"/>
          <w:szCs w:val="24"/>
          <w:u w:val="single"/>
        </w:rPr>
        <w:t>承包人收到施工图后，应在七天内做出详细的施工组织设计及文明施工标准化现场方案，报发包人及总监审批，施工组织设计应包括全部设备、材料、成品、半成品等需求供应进场计划，人员安排、质保体系、安保体系、安全文明施工措施、施工机械设备配备情况，以及施工现场优化布置等内容，增加费用由承包人自行承担。发包人接到监理报来的施工组织设计（各工期节点不得迟于合同工期节点规定）后五天内组织审核批准或提出修改意见，发包人批准的施工组织设计可作为工程款的支付参考依据。</w:t>
      </w:r>
    </w:p>
    <w:p w14:paraId="4454686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发包人和监理人在收到详细的施工组织设计后确认或提出修改意见的期限：</w:t>
      </w:r>
      <w:r>
        <w:rPr>
          <w:rFonts w:hint="eastAsia" w:ascii="宋体" w:hAnsi="宋体" w:eastAsia="宋体" w:cs="宋体"/>
          <w:color w:val="auto"/>
          <w:sz w:val="24"/>
          <w:szCs w:val="24"/>
          <w:u w:val="single"/>
        </w:rPr>
        <w:t>收到需要确认的文件后7日内。工程师对施工组织设计和进度计划的任何确认、调整和修改意见不免除和减轻承包人的工期责任</w:t>
      </w:r>
      <w:r>
        <w:rPr>
          <w:rFonts w:hint="eastAsia" w:ascii="宋体" w:hAnsi="宋体" w:eastAsia="宋体" w:cs="宋体"/>
          <w:color w:val="auto"/>
          <w:sz w:val="24"/>
          <w:szCs w:val="24"/>
        </w:rPr>
        <w:t>。</w:t>
      </w:r>
    </w:p>
    <w:p w14:paraId="3A9AD9A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31" w:name="_Toc312678005"/>
      <w:bookmarkStart w:id="232" w:name="_Toc297216173"/>
      <w:bookmarkStart w:id="233" w:name="_Toc303539123"/>
      <w:bookmarkStart w:id="234" w:name="_Toc312677479"/>
      <w:bookmarkStart w:id="235" w:name="_Toc297123514"/>
      <w:bookmarkStart w:id="236" w:name="_Toc300934966"/>
      <w:bookmarkStart w:id="237" w:name="_Toc304295541"/>
      <w:r>
        <w:rPr>
          <w:rFonts w:hint="eastAsia" w:ascii="宋体" w:hAnsi="宋体" w:eastAsia="宋体" w:cs="宋体"/>
          <w:color w:val="auto"/>
          <w:sz w:val="24"/>
          <w:szCs w:val="24"/>
        </w:rPr>
        <w:t>.2 施工进度计划</w:t>
      </w:r>
    </w:p>
    <w:p w14:paraId="0CA1380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7.2.1 施工进度计划的修订</w:t>
      </w:r>
    </w:p>
    <w:p w14:paraId="1A16F69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发包人和监理人在收到修订的施工进度计划后确认或提出修改意见的期限：</w:t>
      </w:r>
      <w:r>
        <w:rPr>
          <w:rFonts w:hint="eastAsia" w:ascii="宋体" w:hAnsi="宋体" w:eastAsia="宋体" w:cs="宋体"/>
          <w:color w:val="auto"/>
          <w:sz w:val="24"/>
          <w:szCs w:val="24"/>
          <w:u w:val="single"/>
        </w:rPr>
        <w:t xml:space="preserve"> 收到后一周内 </w:t>
      </w:r>
      <w:r>
        <w:rPr>
          <w:rFonts w:hint="eastAsia" w:ascii="宋体" w:hAnsi="宋体" w:eastAsia="宋体" w:cs="宋体"/>
          <w:color w:val="auto"/>
          <w:sz w:val="24"/>
          <w:szCs w:val="24"/>
        </w:rPr>
        <w:t>。</w:t>
      </w:r>
    </w:p>
    <w:p w14:paraId="5C1654D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7.3 开工</w:t>
      </w:r>
    </w:p>
    <w:p w14:paraId="40C5BF6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14:paraId="2CABD0C1">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关于承包人提交工程开工报审表的期限：</w:t>
      </w:r>
      <w:r>
        <w:rPr>
          <w:rFonts w:hint="eastAsia" w:ascii="宋体" w:hAnsi="宋体" w:eastAsia="宋体" w:cs="宋体"/>
          <w:color w:val="auto"/>
          <w:sz w:val="24"/>
          <w:szCs w:val="24"/>
          <w:u w:val="single"/>
        </w:rPr>
        <w:t xml:space="preserve"> 开工前14日内 </w:t>
      </w:r>
      <w:r>
        <w:rPr>
          <w:rFonts w:hint="eastAsia" w:ascii="宋体" w:hAnsi="宋体" w:eastAsia="宋体" w:cs="宋体"/>
          <w:color w:val="auto"/>
          <w:sz w:val="24"/>
          <w:szCs w:val="24"/>
        </w:rPr>
        <w:t>。</w:t>
      </w:r>
    </w:p>
    <w:p w14:paraId="29DF4D3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关于发包人应完成的其他开工准备工作及期限：</w:t>
      </w:r>
      <w:r>
        <w:rPr>
          <w:rFonts w:hint="eastAsia" w:ascii="宋体" w:hAnsi="宋体" w:eastAsia="宋体" w:cs="宋体"/>
          <w:color w:val="auto"/>
          <w:sz w:val="24"/>
          <w:szCs w:val="24"/>
          <w:u w:val="single"/>
        </w:rPr>
        <w:t>协商办理</w:t>
      </w:r>
      <w:r>
        <w:rPr>
          <w:rFonts w:hint="eastAsia" w:ascii="宋体" w:hAnsi="宋体" w:eastAsia="宋体" w:cs="宋体"/>
          <w:color w:val="auto"/>
          <w:sz w:val="24"/>
          <w:szCs w:val="24"/>
        </w:rPr>
        <w:t>。</w:t>
      </w:r>
    </w:p>
    <w:p w14:paraId="5F00605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rPr>
        <w:t>协商办理</w:t>
      </w:r>
      <w:r>
        <w:rPr>
          <w:rFonts w:hint="eastAsia" w:ascii="宋体" w:hAnsi="宋体" w:eastAsia="宋体" w:cs="宋体"/>
          <w:color w:val="auto"/>
          <w:sz w:val="24"/>
          <w:szCs w:val="24"/>
        </w:rPr>
        <w:t>。</w:t>
      </w:r>
    </w:p>
    <w:p w14:paraId="5935F44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7.3.2 开工通知</w:t>
      </w:r>
    </w:p>
    <w:p w14:paraId="753FDC1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因发包人原因造成监理人未能在计划开工日期之日起</w:t>
      </w:r>
      <w:r>
        <w:rPr>
          <w:rFonts w:hint="eastAsia" w:ascii="宋体" w:hAnsi="宋体" w:eastAsia="宋体" w:cs="宋体"/>
          <w:color w:val="auto"/>
          <w:sz w:val="24"/>
          <w:szCs w:val="24"/>
          <w:u w:val="single"/>
        </w:rPr>
        <w:t xml:space="preserve"> 90 </w:t>
      </w:r>
      <w:r>
        <w:rPr>
          <w:rFonts w:hint="eastAsia" w:ascii="宋体" w:hAnsi="宋体" w:eastAsia="宋体" w:cs="宋体"/>
          <w:color w:val="auto"/>
          <w:sz w:val="24"/>
          <w:szCs w:val="24"/>
        </w:rPr>
        <w:t>天内发出开工通知的，承包人有权提出价格调整要求，或者解除合同。</w:t>
      </w:r>
      <w:bookmarkEnd w:id="231"/>
      <w:bookmarkEnd w:id="232"/>
      <w:bookmarkEnd w:id="233"/>
      <w:bookmarkEnd w:id="234"/>
      <w:bookmarkEnd w:id="235"/>
      <w:bookmarkEnd w:id="236"/>
      <w:bookmarkEnd w:id="237"/>
    </w:p>
    <w:p w14:paraId="0D8BDB2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7.4 测量放线</w:t>
      </w:r>
    </w:p>
    <w:p w14:paraId="75686E41">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7.4.1 发包人通过监理人向承包人提供测量基准点、基准线和水准点及其书面资料的期限：</w:t>
      </w:r>
      <w:r>
        <w:rPr>
          <w:rFonts w:hint="eastAsia" w:ascii="宋体" w:hAnsi="宋体" w:eastAsia="宋体" w:cs="宋体"/>
          <w:color w:val="auto"/>
          <w:sz w:val="24"/>
          <w:szCs w:val="24"/>
          <w:u w:val="single"/>
        </w:rPr>
        <w:t>开工前一周由发包人、承包人及总包单位在监理人见证下进行现场交验，并以书面形式提供给承包人。水准点、坐标控制点交验完毕，即由承包人自费负责保护，此后由于破坏或失准带来的重新测量、放点费用及由此造成的其他损失均由承包人承担</w:t>
      </w:r>
      <w:r>
        <w:rPr>
          <w:rFonts w:hint="eastAsia" w:ascii="宋体" w:hAnsi="宋体" w:eastAsia="宋体" w:cs="宋体"/>
          <w:color w:val="auto"/>
          <w:sz w:val="24"/>
          <w:szCs w:val="24"/>
        </w:rPr>
        <w:t>。</w:t>
      </w:r>
    </w:p>
    <w:p w14:paraId="00F611D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38" w:name="_Toc300934968"/>
      <w:bookmarkStart w:id="239" w:name="_Toc312678010"/>
      <w:bookmarkStart w:id="240" w:name="_Toc303539125"/>
      <w:bookmarkStart w:id="241" w:name="_Toc297216175"/>
      <w:bookmarkStart w:id="242" w:name="_Toc304295546"/>
      <w:bookmarkStart w:id="243" w:name="_Toc312677484"/>
      <w:bookmarkStart w:id="244" w:name="_Toc297123516"/>
      <w:r>
        <w:rPr>
          <w:rFonts w:hint="eastAsia" w:ascii="宋体" w:hAnsi="宋体" w:eastAsia="宋体" w:cs="宋体"/>
          <w:color w:val="auto"/>
          <w:sz w:val="24"/>
          <w:szCs w:val="24"/>
        </w:rPr>
        <w:t>.5 工期延误</w:t>
      </w:r>
      <w:bookmarkEnd w:id="238"/>
      <w:bookmarkEnd w:id="239"/>
      <w:bookmarkEnd w:id="240"/>
      <w:bookmarkEnd w:id="241"/>
      <w:bookmarkEnd w:id="242"/>
      <w:bookmarkEnd w:id="243"/>
      <w:bookmarkEnd w:id="244"/>
    </w:p>
    <w:p w14:paraId="3FA7747E">
      <w:pPr>
        <w:spacing w:line="360" w:lineRule="auto"/>
        <w:ind w:firstLine="420"/>
        <w:rPr>
          <w:rFonts w:hint="eastAsia" w:ascii="宋体" w:hAnsi="宋体" w:eastAsia="宋体" w:cs="宋体"/>
          <w:color w:val="auto"/>
          <w:sz w:val="24"/>
          <w:szCs w:val="24"/>
        </w:rPr>
      </w:pPr>
      <w:bookmarkStart w:id="245" w:name="_Toc318581171"/>
      <w:bookmarkStart w:id="246" w:name="_Toc312678014"/>
      <w:r>
        <w:rPr>
          <w:rFonts w:hint="eastAsia" w:ascii="宋体" w:hAnsi="宋体" w:eastAsia="宋体" w:cs="宋体"/>
          <w:color w:val="auto"/>
          <w:sz w:val="24"/>
          <w:szCs w:val="24"/>
        </w:rPr>
        <w:t>7.5.1 因发包人原因导致工期延误</w:t>
      </w:r>
    </w:p>
    <w:p w14:paraId="65EC090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因发包人原因导致工期延误的其他情形：</w:t>
      </w:r>
      <w:r>
        <w:rPr>
          <w:rFonts w:hint="eastAsia" w:ascii="宋体" w:hAnsi="宋体" w:eastAsia="宋体" w:cs="宋体"/>
          <w:color w:val="auto"/>
          <w:sz w:val="24"/>
          <w:szCs w:val="24"/>
          <w:u w:val="single"/>
        </w:rPr>
        <w:t xml:space="preserve">由于发包人原因造成工期延误的，承包人应在情况发生后2天内，就延误的工期以书面报告向发包人提出。发包人在收到报告后14天内予以确认，逾期不予确认也不提出意见，视为同意顺延工期。上述工期顺延的情况，发包人不承担窝工、停工、机械进出场、台班费等在内的其它责任和费用。双方在确定竣工日期时，已充分考虑可能出现各种形式的雨雪、冰雹、台风、高温天气、停电、停水、节假日、扰民和民扰、道路施工影响等不利因素及发包人分包工程的合理工期 </w:t>
      </w:r>
      <w:r>
        <w:rPr>
          <w:rFonts w:hint="eastAsia" w:ascii="宋体" w:hAnsi="宋体" w:eastAsia="宋体" w:cs="宋体"/>
          <w:color w:val="auto"/>
          <w:sz w:val="24"/>
          <w:szCs w:val="24"/>
        </w:rPr>
        <w:t>。</w:t>
      </w:r>
    </w:p>
    <w:p w14:paraId="283FBED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47" w:name="_Toc312678012"/>
      <w:bookmarkStart w:id="248" w:name="_Toc312677486"/>
      <w:bookmarkStart w:id="249" w:name="_Toc318581169"/>
      <w:bookmarkStart w:id="250" w:name="_Toc300934970"/>
      <w:bookmarkStart w:id="251" w:name="_Toc297123518"/>
      <w:bookmarkStart w:id="252" w:name="_Toc304295548"/>
      <w:bookmarkStart w:id="253" w:name="_Toc297216177"/>
      <w:bookmarkStart w:id="254" w:name="_Toc303539127"/>
      <w:r>
        <w:rPr>
          <w:rFonts w:hint="eastAsia" w:ascii="宋体" w:hAnsi="宋体" w:eastAsia="宋体" w:cs="宋体"/>
          <w:color w:val="auto"/>
          <w:sz w:val="24"/>
          <w:szCs w:val="24"/>
        </w:rPr>
        <w:t>.5.2 因承包人原因导致工期延误</w:t>
      </w:r>
      <w:bookmarkEnd w:id="247"/>
      <w:bookmarkEnd w:id="248"/>
      <w:bookmarkEnd w:id="249"/>
    </w:p>
    <w:p w14:paraId="519B023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因</w:t>
      </w:r>
      <w:bookmarkStart w:id="255" w:name="_Toc312677487"/>
      <w:bookmarkStart w:id="256" w:name="_Toc318581170"/>
      <w:bookmarkStart w:id="257" w:name="_Toc312678013"/>
      <w:r>
        <w:rPr>
          <w:rFonts w:hint="eastAsia" w:ascii="宋体" w:hAnsi="宋体" w:eastAsia="宋体" w:cs="宋体"/>
          <w:color w:val="auto"/>
          <w:sz w:val="24"/>
          <w:szCs w:val="24"/>
        </w:rPr>
        <w:t>承包人原因造成工期延误，逾期竣工违约金的计算方法为：</w:t>
      </w:r>
      <w:r>
        <w:rPr>
          <w:rFonts w:hint="eastAsia" w:ascii="宋体" w:hAnsi="宋体" w:eastAsia="宋体" w:cs="宋体"/>
          <w:color w:val="auto"/>
          <w:sz w:val="24"/>
          <w:szCs w:val="24"/>
          <w:u w:val="single"/>
        </w:rPr>
        <w:t xml:space="preserve">如承包人不能按合同约定工期完成合同工作内容而造成工期延误，应承担违约责任，并向发包人支付违约金，即按照合同工期每延误一天以合同总价的3‰计算违约金，累计延误工期天数不得超过30天；超过30天部分，承包人承诺每延误一天以合同总价的1%计算违约金；该违约金发包人从应向承包人支付的任何款项中扣除，此违约金的支付并不能解除承包人完成该工程的责任和合同规定的其他责任  </w:t>
      </w:r>
      <w:r>
        <w:rPr>
          <w:rFonts w:hint="eastAsia" w:ascii="宋体" w:hAnsi="宋体" w:eastAsia="宋体" w:cs="宋体"/>
          <w:color w:val="auto"/>
          <w:sz w:val="24"/>
          <w:szCs w:val="24"/>
        </w:rPr>
        <w:t>。</w:t>
      </w:r>
      <w:bookmarkEnd w:id="250"/>
      <w:bookmarkEnd w:id="251"/>
      <w:bookmarkEnd w:id="252"/>
      <w:bookmarkEnd w:id="253"/>
      <w:bookmarkEnd w:id="254"/>
      <w:bookmarkEnd w:id="255"/>
      <w:bookmarkEnd w:id="256"/>
      <w:bookmarkEnd w:id="257"/>
    </w:p>
    <w:p w14:paraId="5A1486C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因承包人原因造成工期延误，逾期竣工违约金的上限：</w:t>
      </w:r>
      <w:r>
        <w:rPr>
          <w:rFonts w:hint="eastAsia" w:ascii="宋体" w:hAnsi="宋体" w:eastAsia="宋体" w:cs="宋体"/>
          <w:color w:val="auto"/>
          <w:sz w:val="24"/>
          <w:szCs w:val="24"/>
          <w:u w:val="single"/>
        </w:rPr>
        <w:t xml:space="preserve">合同总价的 5 % </w:t>
      </w:r>
      <w:r>
        <w:rPr>
          <w:rFonts w:hint="eastAsia" w:ascii="宋体" w:hAnsi="宋体" w:eastAsia="宋体" w:cs="宋体"/>
          <w:color w:val="auto"/>
          <w:sz w:val="24"/>
          <w:szCs w:val="24"/>
        </w:rPr>
        <w:t>。</w:t>
      </w:r>
      <w:bookmarkEnd w:id="245"/>
      <w:bookmarkEnd w:id="246"/>
    </w:p>
    <w:p w14:paraId="1D8913F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58" w:name="_Toc303539128"/>
      <w:bookmarkStart w:id="259" w:name="_Toc304295549"/>
      <w:bookmarkStart w:id="260" w:name="_Toc297216178"/>
      <w:bookmarkStart w:id="261" w:name="_Toc300934971"/>
      <w:bookmarkStart w:id="262" w:name="_Toc297123519"/>
      <w:bookmarkStart w:id="263" w:name="_Toc312678015"/>
      <w:r>
        <w:rPr>
          <w:rFonts w:hint="eastAsia" w:ascii="宋体" w:hAnsi="宋体" w:eastAsia="宋体" w:cs="宋体"/>
          <w:color w:val="auto"/>
          <w:sz w:val="24"/>
          <w:szCs w:val="24"/>
        </w:rPr>
        <w:t>.6 不</w:t>
      </w:r>
      <w:bookmarkEnd w:id="258"/>
      <w:bookmarkEnd w:id="259"/>
      <w:bookmarkEnd w:id="260"/>
      <w:bookmarkEnd w:id="261"/>
      <w:bookmarkEnd w:id="262"/>
      <w:bookmarkEnd w:id="263"/>
      <w:r>
        <w:rPr>
          <w:rFonts w:hint="eastAsia" w:ascii="宋体" w:hAnsi="宋体" w:eastAsia="宋体" w:cs="宋体"/>
          <w:color w:val="auto"/>
          <w:sz w:val="24"/>
          <w:szCs w:val="24"/>
        </w:rPr>
        <w:t>利物质条件</w:t>
      </w:r>
    </w:p>
    <w:p w14:paraId="78C74733">
      <w:pPr>
        <w:spacing w:line="360" w:lineRule="auto"/>
        <w:ind w:firstLine="420"/>
        <w:rPr>
          <w:rFonts w:hint="eastAsia" w:ascii="宋体" w:hAnsi="宋体" w:eastAsia="宋体" w:cs="宋体"/>
          <w:color w:val="auto"/>
          <w:sz w:val="24"/>
          <w:szCs w:val="24"/>
        </w:rPr>
      </w:pPr>
      <w:bookmarkStart w:id="264" w:name="_Toc303539129"/>
      <w:bookmarkStart w:id="265" w:name="_Toc297123520"/>
      <w:bookmarkStart w:id="266" w:name="_Toc297216179"/>
      <w:bookmarkStart w:id="267" w:name="_Toc300934972"/>
      <w:bookmarkStart w:id="268" w:name="_Toc304295550"/>
      <w:bookmarkStart w:id="269" w:name="_Toc318581172"/>
      <w:bookmarkStart w:id="270" w:name="_Toc312678016"/>
      <w:r>
        <w:rPr>
          <w:rFonts w:hint="eastAsia" w:ascii="宋体" w:hAnsi="宋体" w:eastAsia="宋体" w:cs="宋体"/>
          <w:color w:val="auto"/>
          <w:sz w:val="24"/>
          <w:szCs w:val="24"/>
        </w:rPr>
        <w:t>不利物质条件的其他情形和有关约定：</w:t>
      </w:r>
      <w:r>
        <w:rPr>
          <w:rFonts w:hint="eastAsia" w:ascii="宋体" w:hAnsi="宋体" w:eastAsia="宋体" w:cs="宋体"/>
          <w:color w:val="auto"/>
          <w:sz w:val="24"/>
          <w:szCs w:val="24"/>
          <w:u w:val="single"/>
        </w:rPr>
        <w:t xml:space="preserve">招标文件中已明确或投标文件承包人承诺完成，但暂未计入报价的项目不作为顺延工期的理由。雨雪、冰雹、台风、高温天气、低温天气、停水、停电、节假日、扰民和民扰、市政影响等不利因素等在总工期内，不另外考虑。如遇国家和政府要求短期（临时）停工的，双方商量处理 </w:t>
      </w:r>
      <w:r>
        <w:rPr>
          <w:rFonts w:hint="eastAsia" w:ascii="宋体" w:hAnsi="宋体" w:eastAsia="宋体" w:cs="宋体"/>
          <w:color w:val="auto"/>
          <w:sz w:val="24"/>
          <w:szCs w:val="24"/>
        </w:rPr>
        <w:t>。</w:t>
      </w:r>
      <w:bookmarkEnd w:id="264"/>
      <w:bookmarkEnd w:id="265"/>
      <w:bookmarkEnd w:id="266"/>
      <w:bookmarkEnd w:id="267"/>
      <w:bookmarkEnd w:id="268"/>
      <w:bookmarkEnd w:id="269"/>
      <w:bookmarkEnd w:id="270"/>
    </w:p>
    <w:p w14:paraId="63B92BE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71" w:name="_Toc297123521"/>
      <w:bookmarkStart w:id="272" w:name="_Toc300934973"/>
      <w:bookmarkStart w:id="273" w:name="_Toc304295551"/>
      <w:bookmarkStart w:id="274" w:name="_Toc297216180"/>
      <w:bookmarkStart w:id="275" w:name="_Toc312678017"/>
      <w:bookmarkStart w:id="276" w:name="_Toc303539130"/>
      <w:r>
        <w:rPr>
          <w:rFonts w:hint="eastAsia" w:ascii="宋体" w:hAnsi="宋体" w:eastAsia="宋体" w:cs="宋体"/>
          <w:color w:val="auto"/>
          <w:sz w:val="24"/>
          <w:szCs w:val="24"/>
        </w:rPr>
        <w:t>.7 异常恶劣的气候条件</w:t>
      </w:r>
      <w:bookmarkEnd w:id="271"/>
      <w:bookmarkEnd w:id="272"/>
      <w:bookmarkEnd w:id="273"/>
      <w:bookmarkEnd w:id="274"/>
      <w:bookmarkEnd w:id="275"/>
      <w:bookmarkEnd w:id="276"/>
    </w:p>
    <w:p w14:paraId="36E3504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发包人和承包人同意以下情形视为异常恶劣的气候条件：</w:t>
      </w:r>
    </w:p>
    <w:p w14:paraId="47816E7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292B64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4D9231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5090BE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7.8 提前竣工的奖励</w:t>
      </w:r>
    </w:p>
    <w:p w14:paraId="139569C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7.8.1 提前竣工的奖励：</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4A3FDBE">
      <w:pPr>
        <w:keepNext/>
        <w:keepLines/>
        <w:spacing w:before="164" w:after="164" w:line="360" w:lineRule="auto"/>
        <w:rPr>
          <w:rFonts w:hint="eastAsia" w:ascii="宋体" w:hAnsi="宋体" w:eastAsia="宋体" w:cs="宋体"/>
          <w:color w:val="auto"/>
          <w:sz w:val="24"/>
          <w:szCs w:val="24"/>
        </w:rPr>
      </w:pPr>
      <w:bookmarkStart w:id="277" w:name="_Toc351203640"/>
      <w:r>
        <w:rPr>
          <w:rFonts w:hint="eastAsia" w:ascii="宋体" w:hAnsi="宋体" w:eastAsia="宋体" w:cs="宋体"/>
          <w:color w:val="auto"/>
          <w:sz w:val="24"/>
          <w:szCs w:val="24"/>
        </w:rPr>
        <w:t>8. 材料与设备</w:t>
      </w:r>
      <w:bookmarkEnd w:id="212"/>
      <w:bookmarkEnd w:id="213"/>
      <w:bookmarkEnd w:id="214"/>
      <w:bookmarkEnd w:id="215"/>
      <w:bookmarkEnd w:id="216"/>
      <w:bookmarkEnd w:id="217"/>
      <w:bookmarkEnd w:id="218"/>
      <w:bookmarkEnd w:id="219"/>
      <w:bookmarkEnd w:id="220"/>
      <w:bookmarkEnd w:id="221"/>
      <w:bookmarkEnd w:id="277"/>
    </w:p>
    <w:p w14:paraId="55BC38C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8</w:t>
      </w:r>
      <w:bookmarkStart w:id="278" w:name="_Toc296503167"/>
      <w:bookmarkStart w:id="279" w:name="_Toc297048353"/>
      <w:bookmarkStart w:id="280" w:name="_Toc296890995"/>
      <w:bookmarkStart w:id="281" w:name="_Toc297120467"/>
      <w:bookmarkStart w:id="282" w:name="_Toc280868654"/>
      <w:bookmarkStart w:id="283" w:name="_Toc312677493"/>
      <w:bookmarkStart w:id="284" w:name="_Toc297216186"/>
      <w:bookmarkStart w:id="285" w:name="_Toc296891207"/>
      <w:bookmarkStart w:id="286" w:name="_Toc296347166"/>
      <w:bookmarkStart w:id="287" w:name="_Toc292559372"/>
      <w:bookmarkStart w:id="288" w:name="_Toc312678019"/>
      <w:bookmarkStart w:id="289" w:name="_Toc297123527"/>
      <w:bookmarkStart w:id="290" w:name="_Toc304295556"/>
      <w:bookmarkStart w:id="291" w:name="_Toc300934979"/>
      <w:bookmarkStart w:id="292" w:name="_Toc292559877"/>
      <w:bookmarkStart w:id="293" w:name="_Toc296944506"/>
      <w:bookmarkStart w:id="294" w:name="_Toc296346668"/>
      <w:bookmarkStart w:id="295" w:name="_Toc303539136"/>
      <w:bookmarkStart w:id="296" w:name="_Toc280868655"/>
      <w:bookmarkStart w:id="297" w:name="_Toc267251424"/>
      <w:bookmarkStart w:id="298" w:name="_Toc280868656"/>
      <w:r>
        <w:rPr>
          <w:rFonts w:hint="eastAsia" w:ascii="宋体" w:hAnsi="宋体" w:eastAsia="宋体" w:cs="宋体"/>
          <w:color w:val="auto"/>
          <w:sz w:val="24"/>
          <w:szCs w:val="24"/>
        </w:rPr>
        <w:t>.4 材料与工程设备的保管与使用</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484CB46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8</w:t>
      </w:r>
      <w:bookmarkStart w:id="299" w:name="_Toc292559878"/>
      <w:bookmarkStart w:id="300" w:name="_Toc292559373"/>
      <w:bookmarkStart w:id="301" w:name="_Toc312677494"/>
      <w:bookmarkStart w:id="302" w:name="_Toc297123528"/>
      <w:bookmarkStart w:id="303" w:name="_Toc312678020"/>
      <w:bookmarkStart w:id="304" w:name="_Toc296346669"/>
      <w:bookmarkStart w:id="305" w:name="_Toc296944507"/>
      <w:bookmarkStart w:id="306" w:name="_Toc296347167"/>
      <w:bookmarkStart w:id="307" w:name="_Toc296891208"/>
      <w:bookmarkStart w:id="308" w:name="_Toc300934980"/>
      <w:bookmarkStart w:id="309" w:name="_Toc296890996"/>
      <w:bookmarkStart w:id="310" w:name="_Toc304295557"/>
      <w:bookmarkStart w:id="311" w:name="_Toc297120468"/>
      <w:bookmarkStart w:id="312" w:name="_Toc296503168"/>
      <w:bookmarkStart w:id="313" w:name="_Toc297216187"/>
      <w:bookmarkStart w:id="314" w:name="_Toc303539137"/>
      <w:bookmarkStart w:id="315" w:name="_Toc318581173"/>
      <w:bookmarkStart w:id="316" w:name="_Toc297048354"/>
      <w:r>
        <w:rPr>
          <w:rFonts w:hint="eastAsia" w:ascii="宋体" w:hAnsi="宋体" w:eastAsia="宋体" w:cs="宋体"/>
          <w:color w:val="auto"/>
          <w:sz w:val="24"/>
          <w:szCs w:val="24"/>
        </w:rPr>
        <w:t>.4.1 发包人供应的材料设备的保管费用的承担：</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bookmarkEnd w:id="299"/>
      <w:bookmarkEnd w:id="300"/>
    </w:p>
    <w:p w14:paraId="2A806B7D">
      <w:pPr>
        <w:spacing w:line="360" w:lineRule="auto"/>
        <w:ind w:firstLine="422"/>
        <w:rPr>
          <w:rFonts w:hint="eastAsia" w:ascii="宋体" w:hAnsi="宋体" w:eastAsia="宋体" w:cs="宋体"/>
          <w:b/>
          <w:color w:val="auto"/>
          <w:sz w:val="24"/>
          <w:szCs w:val="24"/>
        </w:rPr>
      </w:pPr>
      <w:r>
        <w:rPr>
          <w:rFonts w:hint="eastAsia" w:ascii="宋体" w:hAnsi="宋体" w:eastAsia="宋体" w:cs="宋体"/>
          <w:b/>
          <w:color w:val="auto"/>
          <w:sz w:val="24"/>
          <w:szCs w:val="24"/>
        </w:rPr>
        <w:t>8.4.2 本工程检测费用的承担：</w:t>
      </w:r>
      <w:r>
        <w:rPr>
          <w:rFonts w:hint="eastAsia" w:ascii="宋体" w:hAnsi="宋体" w:eastAsia="宋体" w:cs="宋体"/>
          <w:b/>
          <w:color w:val="auto"/>
          <w:sz w:val="24"/>
          <w:szCs w:val="24"/>
          <w:u w:val="single"/>
        </w:rPr>
        <w:t>承包人承担，包含在投标报价中，发包人不在另行支付。</w:t>
      </w:r>
    </w:p>
    <w:p w14:paraId="1C75AFC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8.5 样品</w:t>
      </w:r>
    </w:p>
    <w:p w14:paraId="1EA5BE2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8.5.1 样品的报送与封存</w:t>
      </w:r>
    </w:p>
    <w:p w14:paraId="04E0E2D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需要承包人报送样品的材料或工程设备，样品的种类、名称、规格、数量要求：</w:t>
      </w:r>
      <w:r>
        <w:rPr>
          <w:rFonts w:hint="eastAsia" w:ascii="宋体" w:hAnsi="宋体" w:eastAsia="宋体" w:cs="宋体"/>
          <w:color w:val="auto"/>
          <w:sz w:val="24"/>
          <w:szCs w:val="24"/>
          <w:u w:val="single"/>
        </w:rPr>
        <w:t>用于本工程之任何材料的品质，在使用前必须得到发包人认可或批准。在施工前，承包人须提供各有关材料的样本作认可之用。发包人对任何样本之认可或批准，并不免除承包人对工程质量应付的责任和义务。承包人须提供发包人认可或批准的样本在工地，以便发包人核对作为以后验收工程的标准</w:t>
      </w:r>
      <w:r>
        <w:rPr>
          <w:rFonts w:hint="eastAsia" w:ascii="宋体" w:hAnsi="宋体" w:eastAsia="宋体" w:cs="宋体"/>
          <w:color w:val="auto"/>
          <w:sz w:val="24"/>
          <w:szCs w:val="24"/>
        </w:rPr>
        <w:t>。</w:t>
      </w:r>
    </w:p>
    <w:p w14:paraId="53307DF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8.6 施工设备和临时设施</w:t>
      </w:r>
    </w:p>
    <w:p w14:paraId="632F4F2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8.6.1 承包人提供的施工设备和临时设施</w:t>
      </w:r>
    </w:p>
    <w:p w14:paraId="5CA1D18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关于修建临时设施费用承担的约定：</w:t>
      </w:r>
      <w:r>
        <w:rPr>
          <w:rFonts w:hint="eastAsia" w:ascii="宋体" w:hAnsi="宋体" w:eastAsia="宋体" w:cs="宋体"/>
          <w:color w:val="auto"/>
          <w:sz w:val="24"/>
          <w:szCs w:val="24"/>
          <w:u w:val="single"/>
        </w:rPr>
        <w:t xml:space="preserve">由承包人自行承担，并包含在合同总价内  </w:t>
      </w:r>
      <w:r>
        <w:rPr>
          <w:rFonts w:hint="eastAsia" w:ascii="宋体" w:hAnsi="宋体" w:eastAsia="宋体" w:cs="宋体"/>
          <w:color w:val="auto"/>
          <w:sz w:val="24"/>
          <w:szCs w:val="24"/>
        </w:rPr>
        <w:t>。</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20811A1F">
      <w:pPr>
        <w:keepNext/>
        <w:keepLines/>
        <w:spacing w:before="164" w:after="164" w:line="360" w:lineRule="auto"/>
        <w:rPr>
          <w:rFonts w:hint="eastAsia" w:ascii="宋体" w:hAnsi="宋体" w:eastAsia="宋体" w:cs="宋体"/>
          <w:color w:val="auto"/>
          <w:sz w:val="24"/>
          <w:szCs w:val="24"/>
        </w:rPr>
      </w:pPr>
      <w:bookmarkStart w:id="317" w:name="_Toc351203641"/>
      <w:r>
        <w:rPr>
          <w:rFonts w:hint="eastAsia" w:ascii="宋体" w:hAnsi="宋体" w:eastAsia="宋体" w:cs="宋体"/>
          <w:color w:val="auto"/>
          <w:sz w:val="24"/>
          <w:szCs w:val="24"/>
        </w:rPr>
        <w:t>9</w:t>
      </w:r>
      <w:bookmarkEnd w:id="296"/>
      <w:bookmarkEnd w:id="297"/>
      <w:bookmarkEnd w:id="298"/>
      <w:bookmarkStart w:id="318" w:name="_Toc297216192"/>
      <w:bookmarkStart w:id="319" w:name="_Toc312678021"/>
      <w:bookmarkStart w:id="320" w:name="_Toc304295559"/>
      <w:bookmarkStart w:id="321" w:name="_Toc297123533"/>
      <w:bookmarkStart w:id="322" w:name="_Toc312677495"/>
      <w:bookmarkStart w:id="323" w:name="_Toc300934982"/>
      <w:bookmarkStart w:id="324" w:name="_Toc303539139"/>
      <w:bookmarkStart w:id="325" w:name="_Toc296347172"/>
      <w:bookmarkStart w:id="326" w:name="_Toc297120473"/>
      <w:bookmarkStart w:id="327" w:name="_Toc296346674"/>
      <w:bookmarkStart w:id="328" w:name="_Toc296944512"/>
      <w:bookmarkStart w:id="329" w:name="_Toc297048359"/>
      <w:bookmarkStart w:id="330" w:name="_Toc296503173"/>
      <w:bookmarkStart w:id="331" w:name="_Toc292559883"/>
      <w:bookmarkStart w:id="332" w:name="_Toc296891213"/>
      <w:bookmarkStart w:id="333" w:name="_Toc267251428"/>
      <w:bookmarkStart w:id="334" w:name="_Toc296891001"/>
      <w:bookmarkStart w:id="335" w:name="_Toc292559378"/>
      <w:bookmarkStart w:id="336" w:name="_Toc267251427"/>
      <w:r>
        <w:rPr>
          <w:rFonts w:hint="eastAsia" w:ascii="宋体" w:hAnsi="宋体" w:eastAsia="宋体" w:cs="宋体"/>
          <w:color w:val="auto"/>
          <w:sz w:val="24"/>
          <w:szCs w:val="24"/>
        </w:rPr>
        <w:t>. 试验与检验</w:t>
      </w:r>
      <w:bookmarkEnd w:id="317"/>
      <w:bookmarkEnd w:id="318"/>
      <w:bookmarkEnd w:id="319"/>
      <w:bookmarkEnd w:id="320"/>
      <w:bookmarkEnd w:id="321"/>
      <w:bookmarkEnd w:id="322"/>
      <w:bookmarkEnd w:id="323"/>
      <w:bookmarkEnd w:id="324"/>
    </w:p>
    <w:p w14:paraId="39A8A8E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9</w:t>
      </w:r>
      <w:bookmarkStart w:id="337" w:name="_Toc312677496"/>
      <w:bookmarkStart w:id="338" w:name="_Toc297123534"/>
      <w:bookmarkStart w:id="339" w:name="_Toc303539140"/>
      <w:bookmarkStart w:id="340" w:name="_Toc312678022"/>
      <w:bookmarkStart w:id="341" w:name="_Toc304295560"/>
      <w:bookmarkStart w:id="342" w:name="_Toc297216193"/>
      <w:bookmarkStart w:id="343" w:name="_Toc300934983"/>
      <w:r>
        <w:rPr>
          <w:rFonts w:hint="eastAsia" w:ascii="宋体" w:hAnsi="宋体" w:eastAsia="宋体" w:cs="宋体"/>
          <w:color w:val="auto"/>
          <w:sz w:val="24"/>
          <w:szCs w:val="24"/>
        </w:rPr>
        <w:t>.1 试验设备与试验人员</w:t>
      </w:r>
      <w:bookmarkEnd w:id="337"/>
      <w:bookmarkEnd w:id="338"/>
      <w:bookmarkEnd w:id="339"/>
      <w:bookmarkEnd w:id="340"/>
      <w:bookmarkEnd w:id="341"/>
      <w:bookmarkEnd w:id="342"/>
      <w:bookmarkEnd w:id="343"/>
    </w:p>
    <w:p w14:paraId="0B5B96E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9</w:t>
      </w:r>
      <w:bookmarkStart w:id="344" w:name="_Toc304295561"/>
      <w:bookmarkStart w:id="345" w:name="_Toc297123535"/>
      <w:bookmarkStart w:id="346" w:name="_Toc312677497"/>
      <w:bookmarkStart w:id="347" w:name="_Toc300934984"/>
      <w:bookmarkStart w:id="348" w:name="_Toc303539141"/>
      <w:bookmarkStart w:id="349" w:name="_Toc312678023"/>
      <w:bookmarkStart w:id="350" w:name="_Toc297216194"/>
      <w:bookmarkStart w:id="351" w:name="_Toc318581174"/>
      <w:r>
        <w:rPr>
          <w:rFonts w:hint="eastAsia" w:ascii="宋体" w:hAnsi="宋体" w:eastAsia="宋体" w:cs="宋体"/>
          <w:color w:val="auto"/>
          <w:sz w:val="24"/>
          <w:szCs w:val="24"/>
        </w:rPr>
        <w:t>.1.1 试验设备</w:t>
      </w:r>
      <w:bookmarkEnd w:id="344"/>
      <w:bookmarkEnd w:id="345"/>
      <w:bookmarkEnd w:id="346"/>
      <w:bookmarkEnd w:id="347"/>
      <w:bookmarkEnd w:id="348"/>
      <w:bookmarkEnd w:id="349"/>
      <w:bookmarkEnd w:id="350"/>
    </w:p>
    <w:p w14:paraId="73F7E720">
      <w:pPr>
        <w:spacing w:line="360" w:lineRule="auto"/>
        <w:ind w:firstLine="420"/>
        <w:rPr>
          <w:rFonts w:hint="eastAsia" w:ascii="宋体" w:hAnsi="宋体" w:eastAsia="宋体" w:cs="宋体"/>
          <w:color w:val="auto"/>
          <w:sz w:val="24"/>
          <w:szCs w:val="24"/>
        </w:rPr>
      </w:pPr>
      <w:bookmarkStart w:id="352" w:name="_Toc303539142"/>
      <w:bookmarkStart w:id="353" w:name="_Toc312678024"/>
      <w:bookmarkStart w:id="354" w:name="_Toc304295562"/>
      <w:bookmarkStart w:id="355" w:name="_Toc300934985"/>
      <w:bookmarkStart w:id="356" w:name="_Toc297123536"/>
      <w:bookmarkStart w:id="357" w:name="_Toc297216195"/>
      <w:bookmarkStart w:id="358" w:name="_Toc312677498"/>
      <w:r>
        <w:rPr>
          <w:rFonts w:hint="eastAsia" w:ascii="宋体" w:hAnsi="宋体" w:eastAsia="宋体" w:cs="宋体"/>
          <w:color w:val="auto"/>
          <w:sz w:val="24"/>
          <w:szCs w:val="24"/>
        </w:rPr>
        <w:t>施工现场需要配置的试验场所：</w:t>
      </w:r>
      <w:r>
        <w:rPr>
          <w:rFonts w:hint="eastAsia" w:ascii="宋体" w:hAnsi="宋体" w:eastAsia="宋体" w:cs="宋体"/>
          <w:color w:val="auto"/>
          <w:sz w:val="24"/>
          <w:szCs w:val="24"/>
          <w:u w:val="single"/>
        </w:rPr>
        <w:t xml:space="preserve">由承包人根据工程情况自行设置建设  </w:t>
      </w:r>
      <w:r>
        <w:rPr>
          <w:rFonts w:hint="eastAsia" w:ascii="宋体" w:hAnsi="宋体" w:eastAsia="宋体" w:cs="宋体"/>
          <w:color w:val="auto"/>
          <w:sz w:val="24"/>
          <w:szCs w:val="24"/>
        </w:rPr>
        <w:t xml:space="preserve">。 </w:t>
      </w:r>
    </w:p>
    <w:p w14:paraId="30BA7A6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施工现场需要配备的试验设备：</w:t>
      </w:r>
      <w:r>
        <w:rPr>
          <w:rFonts w:hint="eastAsia" w:ascii="宋体" w:hAnsi="宋体" w:eastAsia="宋体" w:cs="宋体"/>
          <w:color w:val="auto"/>
          <w:sz w:val="24"/>
          <w:szCs w:val="24"/>
          <w:u w:val="single"/>
        </w:rPr>
        <w:t xml:space="preserve">由承包人自行承担，并包含在合同总价内   </w:t>
      </w:r>
      <w:r>
        <w:rPr>
          <w:rFonts w:hint="eastAsia" w:ascii="宋体" w:hAnsi="宋体" w:eastAsia="宋体" w:cs="宋体"/>
          <w:color w:val="auto"/>
          <w:sz w:val="24"/>
          <w:szCs w:val="24"/>
        </w:rPr>
        <w:t>。</w:t>
      </w:r>
    </w:p>
    <w:p w14:paraId="38A2CF1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施工现场需要具备的其他试验条件：</w:t>
      </w:r>
      <w:r>
        <w:rPr>
          <w:rFonts w:hint="eastAsia" w:ascii="宋体" w:hAnsi="宋体" w:eastAsia="宋体" w:cs="宋体"/>
          <w:color w:val="auto"/>
          <w:sz w:val="24"/>
          <w:szCs w:val="24"/>
          <w:u w:val="single"/>
        </w:rPr>
        <w:t xml:space="preserve">由承包人自行承担，并包含在合同总价内   </w:t>
      </w:r>
      <w:r>
        <w:rPr>
          <w:rFonts w:hint="eastAsia" w:ascii="宋体" w:hAnsi="宋体" w:eastAsia="宋体" w:cs="宋体"/>
          <w:color w:val="auto"/>
          <w:sz w:val="24"/>
          <w:szCs w:val="24"/>
        </w:rPr>
        <w:t>。</w:t>
      </w:r>
    </w:p>
    <w:p w14:paraId="5162782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现场工艺试验 </w:t>
      </w:r>
    </w:p>
    <w:p w14:paraId="1F51E36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现场工艺试验的有关约定：</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w:t>
      </w:r>
      <w:bookmarkEnd w:id="351"/>
      <w:bookmarkEnd w:id="352"/>
      <w:bookmarkEnd w:id="353"/>
      <w:bookmarkEnd w:id="354"/>
      <w:bookmarkEnd w:id="355"/>
      <w:bookmarkEnd w:id="356"/>
      <w:bookmarkEnd w:id="357"/>
      <w:bookmarkEnd w:id="358"/>
    </w:p>
    <w:p w14:paraId="7E3AA792">
      <w:pPr>
        <w:keepNext/>
        <w:keepLines/>
        <w:spacing w:before="164" w:after="164" w:line="360" w:lineRule="auto"/>
        <w:rPr>
          <w:rFonts w:hint="eastAsia" w:ascii="宋体" w:hAnsi="宋体" w:eastAsia="宋体" w:cs="宋体"/>
          <w:color w:val="auto"/>
          <w:sz w:val="24"/>
          <w:szCs w:val="24"/>
        </w:rPr>
      </w:pPr>
      <w:bookmarkStart w:id="359" w:name="_Toc351203642"/>
      <w:r>
        <w:rPr>
          <w:rFonts w:hint="eastAsia" w:ascii="宋体" w:hAnsi="宋体" w:eastAsia="宋体" w:cs="宋体"/>
          <w:color w:val="auto"/>
          <w:sz w:val="24"/>
          <w:szCs w:val="24"/>
        </w:rPr>
        <w:t>1</w:t>
      </w:r>
      <w:bookmarkEnd w:id="325"/>
      <w:bookmarkEnd w:id="326"/>
      <w:bookmarkEnd w:id="327"/>
      <w:bookmarkEnd w:id="328"/>
      <w:bookmarkEnd w:id="329"/>
      <w:bookmarkEnd w:id="330"/>
      <w:bookmarkEnd w:id="331"/>
      <w:bookmarkEnd w:id="332"/>
      <w:bookmarkEnd w:id="333"/>
      <w:bookmarkEnd w:id="334"/>
      <w:bookmarkEnd w:id="335"/>
      <w:bookmarkEnd w:id="336"/>
      <w:bookmarkStart w:id="360" w:name="_Toc297216199"/>
      <w:bookmarkStart w:id="361" w:name="_Toc312677499"/>
      <w:bookmarkStart w:id="362" w:name="_Toc296944532"/>
      <w:bookmarkStart w:id="363" w:name="_Toc303539146"/>
      <w:bookmarkStart w:id="364" w:name="_Toc292559903"/>
      <w:bookmarkStart w:id="365" w:name="_Toc300934989"/>
      <w:bookmarkStart w:id="366" w:name="_Toc296891233"/>
      <w:bookmarkStart w:id="367" w:name="_Toc297048379"/>
      <w:bookmarkStart w:id="368" w:name="_Toc304295566"/>
      <w:bookmarkStart w:id="369" w:name="_Toc296346694"/>
      <w:bookmarkStart w:id="370" w:name="_Toc296891021"/>
      <w:bookmarkStart w:id="371" w:name="_Toc296503193"/>
      <w:bookmarkStart w:id="372" w:name="_Toc296347192"/>
      <w:bookmarkStart w:id="373" w:name="_Toc297120493"/>
      <w:bookmarkStart w:id="374" w:name="_Toc297123540"/>
      <w:bookmarkStart w:id="375" w:name="_Toc292559398"/>
      <w:bookmarkStart w:id="376" w:name="_Toc312678025"/>
      <w:bookmarkStart w:id="377" w:name="_Toc267251435"/>
      <w:bookmarkStart w:id="378" w:name="_Toc267251439"/>
      <w:bookmarkStart w:id="379" w:name="_Toc267251433"/>
      <w:bookmarkStart w:id="380" w:name="_Toc267251437"/>
      <w:bookmarkStart w:id="381" w:name="_Toc267251440"/>
      <w:bookmarkStart w:id="382" w:name="_Toc267251441"/>
      <w:bookmarkStart w:id="383" w:name="_Toc267251442"/>
      <w:r>
        <w:rPr>
          <w:rFonts w:hint="eastAsia" w:ascii="宋体" w:hAnsi="宋体" w:eastAsia="宋体" w:cs="宋体"/>
          <w:color w:val="auto"/>
          <w:sz w:val="24"/>
          <w:szCs w:val="24"/>
        </w:rPr>
        <w:t>0. 变更</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F635B7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384" w:name="_Toc300934990"/>
      <w:bookmarkStart w:id="385" w:name="_Toc296503194"/>
      <w:bookmarkStart w:id="386" w:name="_Toc292559399"/>
      <w:bookmarkStart w:id="387" w:name="_Toc304295567"/>
      <w:bookmarkStart w:id="388" w:name="_Toc296346695"/>
      <w:bookmarkStart w:id="389" w:name="_Toc312678026"/>
      <w:bookmarkStart w:id="390" w:name="_Toc296891022"/>
      <w:bookmarkStart w:id="391" w:name="_Toc312677500"/>
      <w:bookmarkStart w:id="392" w:name="_Toc297123541"/>
      <w:bookmarkStart w:id="393" w:name="_Toc297120494"/>
      <w:bookmarkStart w:id="394" w:name="_Toc297216200"/>
      <w:bookmarkStart w:id="395" w:name="_Toc296347193"/>
      <w:bookmarkStart w:id="396" w:name="_Toc303539147"/>
      <w:bookmarkStart w:id="397" w:name="_Toc292559904"/>
      <w:bookmarkStart w:id="398" w:name="_Toc296944533"/>
      <w:bookmarkStart w:id="399" w:name="_Toc297048380"/>
      <w:bookmarkStart w:id="400" w:name="_Toc296891234"/>
      <w:r>
        <w:rPr>
          <w:rFonts w:hint="eastAsia" w:ascii="宋体" w:hAnsi="宋体" w:eastAsia="宋体" w:cs="宋体"/>
          <w:color w:val="auto"/>
          <w:sz w:val="24"/>
          <w:szCs w:val="24"/>
        </w:rPr>
        <w:t>0.1 变更的范围</w:t>
      </w:r>
    </w:p>
    <w:p w14:paraId="2F4A60F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关于变更的范围的约定：</w:t>
      </w:r>
      <w:r>
        <w:rPr>
          <w:rFonts w:hint="eastAsia" w:ascii="宋体" w:hAnsi="宋体" w:eastAsia="宋体" w:cs="宋体"/>
          <w:color w:val="auto"/>
          <w:sz w:val="24"/>
          <w:szCs w:val="24"/>
          <w:u w:val="single"/>
        </w:rPr>
        <w:t>工程的设计变更由发包人提前通知监理、承包人，承包人应执行变更，工程变更、签证应先进行费用审批后实施</w:t>
      </w:r>
      <w:r>
        <w:rPr>
          <w:rFonts w:hint="eastAsia" w:ascii="宋体" w:hAnsi="宋体" w:eastAsia="宋体" w:cs="宋体"/>
          <w:color w:val="auto"/>
          <w:sz w:val="24"/>
          <w:szCs w:val="24"/>
        </w:rPr>
        <w:t>。</w:t>
      </w:r>
    </w:p>
    <w:p w14:paraId="35C8F11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10.2 变更估价</w:t>
      </w:r>
    </w:p>
    <w:p w14:paraId="138CF00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10.2.1 变更估价原则</w:t>
      </w:r>
    </w:p>
    <w:p w14:paraId="4B89B9E6">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关于变更估价的约定: </w:t>
      </w:r>
      <w:r>
        <w:rPr>
          <w:rFonts w:hint="eastAsia" w:ascii="宋体" w:hAnsi="宋体" w:eastAsia="宋体" w:cs="宋体"/>
          <w:color w:val="auto"/>
          <w:sz w:val="24"/>
          <w:szCs w:val="24"/>
          <w:u w:val="single"/>
        </w:rPr>
        <w:t>① 对承包人超出设计图纸（含设计变更）范围和因承包人原因造成返工的工程量，发包人不予计量；</w:t>
      </w:r>
    </w:p>
    <w:p w14:paraId="24C1EC0F">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② 对于发包人要求承包人完成合同以外的零星项目，承包人应在完成任务后7日内就用工数量和单价、机械台班数量和单价、使用材料和金额等向监理和发包人提出书面签证，发包人在收到经监理核准书面签证后7日内进行确认。承包人未在规定时间内提出书面签证，则视为放弃，逾期发包人不予办理；</w:t>
      </w:r>
    </w:p>
    <w:p w14:paraId="26616BDC">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③ 所有涉及工程造价确定方面的资料（含所有的变更签证资料），必须经过发包人代表的书面确认后，方可作为竣工后价款结算的唯一依据。</w:t>
      </w:r>
    </w:p>
    <w:p w14:paraId="0B6D68C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Start w:id="401" w:name="_Toc296891025"/>
      <w:bookmarkStart w:id="402" w:name="_Toc296891237"/>
      <w:bookmarkStart w:id="403" w:name="_Toc292559907"/>
      <w:bookmarkStart w:id="404" w:name="_Toc296944536"/>
      <w:bookmarkStart w:id="405" w:name="_Toc300934993"/>
      <w:bookmarkStart w:id="406" w:name="_Toc296346698"/>
      <w:bookmarkStart w:id="407" w:name="_Toc297123544"/>
      <w:bookmarkStart w:id="408" w:name="_Toc297120497"/>
      <w:bookmarkStart w:id="409" w:name="_Toc303539150"/>
      <w:bookmarkStart w:id="410" w:name="_Toc296503197"/>
      <w:bookmarkStart w:id="411" w:name="_Toc297048383"/>
      <w:bookmarkStart w:id="412" w:name="_Toc292559402"/>
      <w:bookmarkStart w:id="413" w:name="_Toc297216203"/>
      <w:bookmarkStart w:id="414" w:name="_Toc296347196"/>
      <w:bookmarkStart w:id="415" w:name="_Toc312677503"/>
      <w:bookmarkStart w:id="416" w:name="_Toc304295570"/>
      <w:bookmarkStart w:id="417" w:name="_Toc312678029"/>
      <w:r>
        <w:rPr>
          <w:rFonts w:hint="eastAsia" w:ascii="宋体" w:hAnsi="宋体" w:eastAsia="宋体" w:cs="宋体"/>
          <w:color w:val="auto"/>
          <w:sz w:val="24"/>
          <w:szCs w:val="24"/>
        </w:rPr>
        <w:t>0.3 承</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Start w:id="418" w:name="_Toc292559913"/>
      <w:bookmarkStart w:id="419" w:name="_Toc297216204"/>
      <w:bookmarkStart w:id="420" w:name="_Toc296891031"/>
      <w:bookmarkStart w:id="421" w:name="_Toc297123545"/>
      <w:bookmarkStart w:id="422" w:name="_Toc296891243"/>
      <w:bookmarkStart w:id="423" w:name="_Toc292559408"/>
      <w:bookmarkStart w:id="424" w:name="_Toc303539151"/>
      <w:bookmarkStart w:id="425" w:name="_Toc297048389"/>
      <w:bookmarkStart w:id="426" w:name="_Toc296346704"/>
      <w:bookmarkStart w:id="427" w:name="_Toc297120503"/>
      <w:bookmarkStart w:id="428" w:name="_Toc296503203"/>
      <w:bookmarkStart w:id="429" w:name="_Toc296944542"/>
      <w:bookmarkStart w:id="430" w:name="_Toc296347202"/>
      <w:bookmarkStart w:id="431" w:name="_Toc300934994"/>
      <w:r>
        <w:rPr>
          <w:rFonts w:hint="eastAsia" w:ascii="宋体" w:hAnsi="宋体" w:eastAsia="宋体" w:cs="宋体"/>
          <w:color w:val="auto"/>
          <w:sz w:val="24"/>
          <w:szCs w:val="24"/>
        </w:rPr>
        <w:t>包人的合理化建议</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1FB323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监理人审查承包人合理化建议的期限：</w:t>
      </w:r>
      <w:r>
        <w:rPr>
          <w:rFonts w:hint="eastAsia" w:ascii="宋体" w:hAnsi="宋体" w:eastAsia="宋体" w:cs="宋体"/>
          <w:color w:val="auto"/>
          <w:sz w:val="24"/>
          <w:szCs w:val="24"/>
          <w:u w:val="single"/>
        </w:rPr>
        <w:t xml:space="preserve"> 7日内 </w:t>
      </w:r>
      <w:r>
        <w:rPr>
          <w:rFonts w:hint="eastAsia" w:ascii="宋体" w:hAnsi="宋体" w:eastAsia="宋体" w:cs="宋体"/>
          <w:color w:val="auto"/>
          <w:sz w:val="24"/>
          <w:szCs w:val="24"/>
        </w:rPr>
        <w:t>。</w:t>
      </w:r>
    </w:p>
    <w:p w14:paraId="0D783D8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发包人审批承包人合理化建议的期限：</w:t>
      </w:r>
      <w:r>
        <w:rPr>
          <w:rFonts w:hint="eastAsia" w:ascii="宋体" w:hAnsi="宋体" w:eastAsia="宋体" w:cs="宋体"/>
          <w:color w:val="auto"/>
          <w:sz w:val="24"/>
          <w:szCs w:val="24"/>
          <w:u w:val="single"/>
        </w:rPr>
        <w:t xml:space="preserve"> 7日内 </w:t>
      </w:r>
      <w:r>
        <w:rPr>
          <w:rFonts w:hint="eastAsia" w:ascii="宋体" w:hAnsi="宋体" w:eastAsia="宋体" w:cs="宋体"/>
          <w:color w:val="auto"/>
          <w:sz w:val="24"/>
          <w:szCs w:val="24"/>
        </w:rPr>
        <w:t>。</w:t>
      </w:r>
    </w:p>
    <w:p w14:paraId="2B155062">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承</w:t>
      </w:r>
      <w:bookmarkStart w:id="432" w:name="_Toc318581175"/>
      <w:bookmarkStart w:id="433" w:name="_Toc296346705"/>
      <w:bookmarkStart w:id="434" w:name="_Toc292559914"/>
      <w:bookmarkStart w:id="435" w:name="_Toc312678030"/>
      <w:bookmarkStart w:id="436" w:name="_Toc297048390"/>
      <w:bookmarkStart w:id="437" w:name="_Toc292559409"/>
      <w:bookmarkStart w:id="438" w:name="_Toc300934995"/>
      <w:bookmarkStart w:id="439" w:name="_Toc296891244"/>
      <w:bookmarkStart w:id="440" w:name="_Toc296891032"/>
      <w:bookmarkStart w:id="441" w:name="_Toc304295571"/>
      <w:bookmarkStart w:id="442" w:name="_Toc303539152"/>
      <w:bookmarkStart w:id="443" w:name="_Toc312677504"/>
      <w:bookmarkStart w:id="444" w:name="_Toc296503204"/>
      <w:bookmarkStart w:id="445" w:name="_Toc297216205"/>
      <w:bookmarkStart w:id="446" w:name="_Toc296944543"/>
      <w:bookmarkStart w:id="447" w:name="_Toc297120504"/>
      <w:bookmarkStart w:id="448" w:name="_Toc297123546"/>
      <w:bookmarkStart w:id="449" w:name="_Toc296347203"/>
      <w:r>
        <w:rPr>
          <w:rFonts w:hint="eastAsia" w:ascii="宋体" w:hAnsi="宋体" w:eastAsia="宋体" w:cs="宋体"/>
          <w:color w:val="auto"/>
          <w:sz w:val="24"/>
          <w:szCs w:val="24"/>
        </w:rPr>
        <w:t>包人提出的合理化建议降低了合同价格或者提高了工程经济效益的奖励的方法和金额为：</w:t>
      </w:r>
      <w:r>
        <w:rPr>
          <w:rFonts w:hint="eastAsia" w:ascii="宋体" w:hAnsi="宋体" w:eastAsia="宋体" w:cs="宋体"/>
          <w:color w:val="auto"/>
          <w:sz w:val="24"/>
          <w:szCs w:val="24"/>
          <w:u w:val="single"/>
        </w:rPr>
        <w:t xml:space="preserve"> 另行协商 </w:t>
      </w:r>
      <w:r>
        <w:rPr>
          <w:rFonts w:hint="eastAsia" w:ascii="宋体" w:hAnsi="宋体" w:eastAsia="宋体" w:cs="宋体"/>
          <w:color w:val="auto"/>
          <w:sz w:val="24"/>
          <w:szCs w:val="24"/>
        </w:rPr>
        <w:t>。</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243AA42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450" w:name="_Toc304295574"/>
      <w:bookmarkStart w:id="451" w:name="_Toc297216207"/>
      <w:bookmarkStart w:id="452" w:name="_Toc312678033"/>
      <w:bookmarkStart w:id="453" w:name="_Toc296347198"/>
      <w:bookmarkStart w:id="454" w:name="_Toc296944538"/>
      <w:bookmarkStart w:id="455" w:name="_Toc300934997"/>
      <w:bookmarkStart w:id="456" w:name="_Toc297048385"/>
      <w:bookmarkStart w:id="457" w:name="_Toc296346700"/>
      <w:bookmarkStart w:id="458" w:name="_Toc292559909"/>
      <w:bookmarkStart w:id="459" w:name="_Toc303539154"/>
      <w:bookmarkStart w:id="460" w:name="_Toc296891027"/>
      <w:bookmarkStart w:id="461" w:name="_Toc296891239"/>
      <w:bookmarkStart w:id="462" w:name="_Toc297120499"/>
      <w:bookmarkStart w:id="463" w:name="_Toc297123548"/>
      <w:bookmarkStart w:id="464" w:name="_Toc312677507"/>
      <w:bookmarkStart w:id="465" w:name="_Toc296503199"/>
      <w:bookmarkStart w:id="466" w:name="_Toc292559404"/>
      <w:r>
        <w:rPr>
          <w:rFonts w:hint="eastAsia" w:ascii="宋体" w:hAnsi="宋体" w:eastAsia="宋体" w:cs="宋体"/>
          <w:color w:val="auto"/>
          <w:sz w:val="24"/>
          <w:szCs w:val="24"/>
        </w:rPr>
        <w:t>0.4 暂估价</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1D97D53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暂</w:t>
      </w:r>
      <w:bookmarkStart w:id="467" w:name="_Toc312678034"/>
      <w:bookmarkStart w:id="468" w:name="_Toc312677508"/>
      <w:bookmarkStart w:id="469" w:name="_Toc318581176"/>
      <w:r>
        <w:rPr>
          <w:rFonts w:hint="eastAsia" w:ascii="宋体" w:hAnsi="宋体" w:eastAsia="宋体" w:cs="宋体"/>
          <w:color w:val="auto"/>
          <w:sz w:val="24"/>
          <w:szCs w:val="24"/>
        </w:rPr>
        <w:t>估价材料和工程设备的明细详见附件11：《暂估价一览表》。</w:t>
      </w:r>
      <w:bookmarkEnd w:id="467"/>
      <w:bookmarkEnd w:id="468"/>
      <w:bookmarkEnd w:id="469"/>
    </w:p>
    <w:p w14:paraId="400031A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470" w:name="_Toc318581177"/>
      <w:bookmarkStart w:id="471" w:name="_Toc312677509"/>
      <w:bookmarkStart w:id="472" w:name="_Toc312678035"/>
      <w:r>
        <w:rPr>
          <w:rFonts w:hint="eastAsia" w:ascii="宋体" w:hAnsi="宋体" w:eastAsia="宋体" w:cs="宋体"/>
          <w:color w:val="auto"/>
          <w:sz w:val="24"/>
          <w:szCs w:val="24"/>
        </w:rPr>
        <w:t>0.4.1 依法必须招标的暂估价项目</w:t>
      </w:r>
      <w:bookmarkEnd w:id="470"/>
      <w:bookmarkEnd w:id="471"/>
      <w:bookmarkEnd w:id="472"/>
    </w:p>
    <w:p w14:paraId="23AAB7D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对于依法必须招标的暂估价项目的确认和批准采取第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种方式确定。</w:t>
      </w:r>
    </w:p>
    <w:p w14:paraId="3F99667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10.4.2 不属于依法必须招标的暂估价项目</w:t>
      </w:r>
    </w:p>
    <w:p w14:paraId="4DAF6AA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对于不属于依法必须招标的暂估价项目的确认和批准采取第</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种方式确定。</w:t>
      </w:r>
    </w:p>
    <w:p w14:paraId="7356C3D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14:paraId="3491E09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b/>
          <w:color w:val="auto"/>
          <w:sz w:val="24"/>
          <w:szCs w:val="24"/>
          <w:u w:val="single"/>
        </w:rPr>
        <w:t>材料暂估价中所有材料，施工过程中由发包方负责采购，费用由工程款支付</w:t>
      </w:r>
      <w:r>
        <w:rPr>
          <w:rFonts w:hint="eastAsia" w:ascii="宋体" w:hAnsi="宋体" w:eastAsia="宋体" w:cs="宋体"/>
          <w:b/>
          <w:color w:val="auto"/>
          <w:sz w:val="24"/>
          <w:szCs w:val="24"/>
        </w:rPr>
        <w:t>。</w:t>
      </w:r>
    </w:p>
    <w:p w14:paraId="25BA6B2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10.5 暂列金额</w:t>
      </w:r>
    </w:p>
    <w:p w14:paraId="4E03A3E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合同当事人关于暂列金额使用的约定：</w:t>
      </w:r>
      <w:r>
        <w:rPr>
          <w:rFonts w:hint="eastAsia" w:ascii="宋体" w:hAnsi="宋体" w:eastAsia="宋体" w:cs="宋体"/>
          <w:color w:val="auto"/>
          <w:sz w:val="24"/>
          <w:szCs w:val="24"/>
          <w:u w:val="single"/>
        </w:rPr>
        <w:t>如有，暂列金额应按照发包人的要求使用，发包人的要求应通过监理人发出，承包人应对发包人发出的要求进行响应</w:t>
      </w:r>
      <w:r>
        <w:rPr>
          <w:rFonts w:hint="eastAsia" w:ascii="宋体" w:hAnsi="宋体" w:eastAsia="宋体" w:cs="宋体"/>
          <w:color w:val="auto"/>
          <w:sz w:val="24"/>
          <w:szCs w:val="24"/>
        </w:rPr>
        <w:t>。</w:t>
      </w:r>
    </w:p>
    <w:p w14:paraId="1D9506F3">
      <w:pPr>
        <w:keepNext/>
        <w:keepLines/>
        <w:spacing w:before="164" w:after="164" w:line="360" w:lineRule="auto"/>
        <w:rPr>
          <w:rFonts w:hint="eastAsia" w:ascii="宋体" w:hAnsi="宋体" w:eastAsia="宋体" w:cs="宋体"/>
          <w:color w:val="auto"/>
          <w:sz w:val="24"/>
          <w:szCs w:val="24"/>
        </w:rPr>
      </w:pPr>
      <w:bookmarkStart w:id="473" w:name="_Toc351203643"/>
      <w:r>
        <w:rPr>
          <w:rFonts w:hint="eastAsia" w:ascii="宋体" w:hAnsi="宋体" w:eastAsia="宋体" w:cs="宋体"/>
          <w:color w:val="auto"/>
          <w:sz w:val="24"/>
          <w:szCs w:val="24"/>
        </w:rPr>
        <w:t>11. 价格调整</w:t>
      </w:r>
      <w:bookmarkEnd w:id="473"/>
    </w:p>
    <w:p w14:paraId="261E4FB7">
      <w:pPr>
        <w:spacing w:line="360" w:lineRule="auto"/>
        <w:ind w:firstLine="420"/>
        <w:rPr>
          <w:rFonts w:hint="eastAsia" w:ascii="宋体" w:hAnsi="宋体" w:eastAsia="宋体" w:cs="宋体"/>
          <w:color w:val="auto"/>
          <w:sz w:val="24"/>
          <w:szCs w:val="24"/>
        </w:rPr>
      </w:pPr>
      <w:bookmarkStart w:id="474" w:name="_Toc296347200"/>
      <w:bookmarkStart w:id="475" w:name="_Toc303539157"/>
      <w:bookmarkStart w:id="476" w:name="_Toc292559406"/>
      <w:bookmarkStart w:id="477" w:name="_Toc297120501"/>
      <w:bookmarkStart w:id="478" w:name="_Toc312678039"/>
      <w:bookmarkStart w:id="479" w:name="_Toc292559911"/>
      <w:bookmarkStart w:id="480" w:name="_Toc296346702"/>
      <w:bookmarkStart w:id="481" w:name="_Toc300935000"/>
      <w:bookmarkStart w:id="482" w:name="_Toc296503201"/>
      <w:bookmarkStart w:id="483" w:name="_Toc296891029"/>
      <w:bookmarkStart w:id="484" w:name="_Toc296891241"/>
      <w:bookmarkStart w:id="485" w:name="_Toc297216209"/>
      <w:bookmarkStart w:id="486" w:name="_Toc297048387"/>
      <w:bookmarkStart w:id="487" w:name="_Toc304295577"/>
      <w:bookmarkStart w:id="488" w:name="_Toc297123550"/>
      <w:bookmarkStart w:id="489" w:name="_Toc296944540"/>
      <w:r>
        <w:rPr>
          <w:rFonts w:hint="eastAsia" w:ascii="宋体" w:hAnsi="宋体" w:eastAsia="宋体" w:cs="宋体"/>
          <w:color w:val="auto"/>
          <w:sz w:val="24"/>
          <w:szCs w:val="24"/>
        </w:rPr>
        <w:t>11.1 市场价格波动引起的调整</w:t>
      </w:r>
      <w:bookmarkEnd w:id="377"/>
      <w:bookmarkEnd w:id="378"/>
      <w:bookmarkEnd w:id="379"/>
      <w:bookmarkEnd w:id="380"/>
      <w:bookmarkEnd w:id="381"/>
      <w:bookmarkEnd w:id="38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43B82A68">
      <w:pPr>
        <w:spacing w:line="360" w:lineRule="auto"/>
        <w:ind w:firstLine="420"/>
        <w:rPr>
          <w:rFonts w:hint="eastAsia" w:ascii="宋体" w:hAnsi="宋体" w:eastAsia="宋体" w:cs="宋体"/>
          <w:color w:val="auto"/>
          <w:sz w:val="24"/>
          <w:szCs w:val="24"/>
        </w:rPr>
      </w:pPr>
      <w:bookmarkStart w:id="490" w:name="_Toc292559915"/>
      <w:bookmarkStart w:id="491" w:name="_Toc296347204"/>
      <w:bookmarkStart w:id="492" w:name="_Toc296944544"/>
      <w:bookmarkStart w:id="493" w:name="_Toc297120505"/>
      <w:bookmarkStart w:id="494" w:name="_Toc296891245"/>
      <w:bookmarkStart w:id="495" w:name="_Toc296346706"/>
      <w:bookmarkStart w:id="496" w:name="_Toc292559410"/>
      <w:bookmarkStart w:id="497" w:name="_Toc297048391"/>
      <w:bookmarkStart w:id="498" w:name="_Toc296503205"/>
      <w:bookmarkStart w:id="499" w:name="_Toc296891033"/>
      <w:bookmarkStart w:id="500" w:name="_Toc297123552"/>
      <w:bookmarkStart w:id="501" w:name="_Toc351203644"/>
      <w:bookmarkStart w:id="502" w:name="_Toc304295579"/>
      <w:bookmarkStart w:id="503" w:name="_Toc300935002"/>
      <w:bookmarkStart w:id="504" w:name="_Toc297216211"/>
      <w:bookmarkStart w:id="505" w:name="_Toc303539159"/>
      <w:bookmarkStart w:id="506" w:name="_Toc312678040"/>
      <w:r>
        <w:rPr>
          <w:rFonts w:hint="eastAsia" w:ascii="宋体" w:hAnsi="宋体" w:eastAsia="宋体" w:cs="宋体"/>
          <w:color w:val="auto"/>
          <w:sz w:val="24"/>
          <w:szCs w:val="24"/>
        </w:rPr>
        <w:t>市场价格波动是否调整合同价格的约定：</w:t>
      </w:r>
      <w:r>
        <w:rPr>
          <w:rFonts w:hint="eastAsia" w:ascii="宋体" w:hAnsi="宋体" w:eastAsia="宋体" w:cs="宋体"/>
          <w:color w:val="auto"/>
          <w:sz w:val="24"/>
          <w:szCs w:val="24"/>
          <w:u w:val="single"/>
        </w:rPr>
        <w:t>除约定的调整范围外，其他材料、设备、机械费用等市场价格变化在投标综合单价里已考虑，不做调整，除不可抗力以外的其他风险</w:t>
      </w:r>
      <w:r>
        <w:rPr>
          <w:rFonts w:hint="eastAsia" w:ascii="宋体" w:hAnsi="宋体" w:eastAsia="宋体" w:cs="宋体"/>
          <w:color w:val="auto"/>
          <w:sz w:val="24"/>
          <w:szCs w:val="24"/>
        </w:rPr>
        <w:t>。</w:t>
      </w:r>
    </w:p>
    <w:p w14:paraId="6420E1C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种方式对合同价格进行调整：</w:t>
      </w:r>
    </w:p>
    <w:p w14:paraId="6F11916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14:paraId="50181CA9">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关于各可调因子、定值和变值权重，以及基本价格指数及其来源的约定：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 xml:space="preserve">；  </w:t>
      </w:r>
    </w:p>
    <w:p w14:paraId="0B2E8C9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14:paraId="7CAD3E4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关于基准价格的约定：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19B52B3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46510CA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0ADA9D8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③承包人在已标价工程量清单或预算书中载明的材料单价等于基准单价的：专用合同条款合同履行期间材料单价涨跌幅以基准单价为基础超过±%时，其超过部分据实调整。</w:t>
      </w:r>
    </w:p>
    <w:p w14:paraId="589CE4DA">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第3种方式：其他价格调整方式：</w:t>
      </w:r>
    </w:p>
    <w:p w14:paraId="131CDAE2">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1、签证、变更、变动后的子目或漏项的综合单价，按以下办法调整：⑴工程量清单中已有工作内容和价格组成相同于变更子目或单项的综合单价时，按合同已有综合单价执行；⑵工程量清单中只有工作内容和价格组成类似于变更子目或单项的综合单价时，可以参照类似综合单价，由双方协商调整后确定变更的综合单价；⑶工程量清单中没有工作内容和价格组成相同或类似于变更子目或单项的综合单价时，由承包人按投标时的计价标准及投标费率编制变更综合单价报送监理工程师复核，最终由发包人、监理、跟踪审计共同确定变更的综合单价。 </w:t>
      </w:r>
    </w:p>
    <w:p w14:paraId="3FAA6EE9">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2、材料价格202</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rPr>
        <w:t>年第</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rPr>
        <w:t>期《徐州市建筑材料指导价》及市场询价、江苏省建设厅发布的人工指导价及其他有关文件规定，信息价没有标明的材料价格以该项目招标控制价中的材料价格为准。</w:t>
      </w:r>
    </w:p>
    <w:p w14:paraId="6445AE4A">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3、因发包人原因造成工期延误的，延误期间发生的材料价格上涨差额由发包人承担；因承包人原因造成工期延误的，延误期间发生的材料价格上涨差额由承包人承担。</w:t>
      </w:r>
    </w:p>
    <w:p w14:paraId="30221FA7">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4、本工程的措施项目（模板、脚手架、文明施工措施费除外）实行一次性包干费用，过程中发生的变更、签证费将不计取措施费，仅计取规费及税金。</w:t>
      </w:r>
    </w:p>
    <w:p w14:paraId="309F0426">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5、承包人在施工过程中发生的变更、签证，应严格按发包人的变更、签证管理流程进行申报，其人工、机械、管理费、利润均按照投标时优惠率和费率。</w:t>
      </w:r>
    </w:p>
    <w:p w14:paraId="56E69FD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u w:val="single"/>
        </w:rPr>
        <w:t>6、人工费调整执行本项目工程量清单的规定同比例调整</w:t>
      </w:r>
      <w:r>
        <w:rPr>
          <w:rFonts w:hint="eastAsia" w:ascii="宋体" w:hAnsi="宋体" w:eastAsia="宋体" w:cs="宋体"/>
          <w:color w:val="auto"/>
          <w:sz w:val="24"/>
          <w:szCs w:val="24"/>
        </w:rPr>
        <w:t>。</w:t>
      </w:r>
    </w:p>
    <w:p w14:paraId="079B4028">
      <w:pPr>
        <w:keepNext/>
        <w:keepLines/>
        <w:spacing w:before="164" w:after="16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bookmarkEnd w:id="490"/>
      <w:bookmarkEnd w:id="491"/>
      <w:bookmarkEnd w:id="492"/>
      <w:bookmarkEnd w:id="493"/>
      <w:bookmarkEnd w:id="494"/>
      <w:bookmarkEnd w:id="495"/>
      <w:bookmarkEnd w:id="496"/>
      <w:bookmarkEnd w:id="497"/>
      <w:bookmarkEnd w:id="498"/>
      <w:bookmarkEnd w:id="499"/>
      <w:r>
        <w:rPr>
          <w:rFonts w:hint="eastAsia" w:ascii="宋体" w:hAnsi="宋体" w:eastAsia="宋体" w:cs="宋体"/>
          <w:color w:val="auto"/>
          <w:sz w:val="24"/>
          <w:szCs w:val="24"/>
        </w:rPr>
        <w:t>合同价格、计量与支付</w:t>
      </w:r>
      <w:bookmarkEnd w:id="500"/>
      <w:bookmarkEnd w:id="501"/>
      <w:bookmarkEnd w:id="502"/>
      <w:bookmarkEnd w:id="503"/>
      <w:bookmarkEnd w:id="504"/>
      <w:bookmarkEnd w:id="505"/>
      <w:bookmarkEnd w:id="506"/>
    </w:p>
    <w:p w14:paraId="3272FFDB">
      <w:pPr>
        <w:spacing w:line="360" w:lineRule="auto"/>
        <w:ind w:firstLine="420"/>
        <w:rPr>
          <w:rFonts w:hint="eastAsia" w:ascii="宋体" w:hAnsi="宋体" w:eastAsia="宋体" w:cs="宋体"/>
          <w:color w:val="auto"/>
          <w:sz w:val="24"/>
          <w:szCs w:val="24"/>
        </w:rPr>
      </w:pPr>
      <w:bookmarkStart w:id="507" w:name="_Toc267251461"/>
      <w:bookmarkStart w:id="508" w:name="_Toc292559411"/>
      <w:bookmarkStart w:id="509" w:name="_Toc292559916"/>
      <w:bookmarkStart w:id="510" w:name="_Toc296347205"/>
      <w:bookmarkStart w:id="511" w:name="_Toc296346707"/>
      <w:bookmarkStart w:id="512" w:name="_Toc297120506"/>
      <w:bookmarkStart w:id="513" w:name="_Toc297048392"/>
      <w:bookmarkStart w:id="514" w:name="_Toc296944545"/>
      <w:bookmarkStart w:id="515" w:name="_Toc296503206"/>
      <w:bookmarkStart w:id="516" w:name="_Toc296891246"/>
      <w:bookmarkStart w:id="517" w:name="_Toc296891034"/>
      <w:bookmarkStart w:id="518" w:name="_Toc303539160"/>
      <w:bookmarkStart w:id="519" w:name="_Toc304295580"/>
      <w:bookmarkStart w:id="520" w:name="_Toc312678041"/>
      <w:bookmarkStart w:id="521" w:name="_Toc297216212"/>
      <w:bookmarkStart w:id="522" w:name="_Toc300935003"/>
      <w:bookmarkStart w:id="523" w:name="_Toc297123553"/>
      <w:r>
        <w:rPr>
          <w:rFonts w:hint="eastAsia" w:ascii="宋体" w:hAnsi="宋体" w:eastAsia="宋体" w:cs="宋体"/>
          <w:color w:val="auto"/>
          <w:sz w:val="24"/>
          <w:szCs w:val="24"/>
        </w:rPr>
        <w:t>12.1 合</w:t>
      </w:r>
      <w:bookmarkEnd w:id="507"/>
      <w:bookmarkEnd w:id="508"/>
      <w:bookmarkEnd w:id="509"/>
      <w:r>
        <w:rPr>
          <w:rFonts w:hint="eastAsia" w:ascii="宋体" w:hAnsi="宋体" w:eastAsia="宋体" w:cs="宋体"/>
          <w:color w:val="auto"/>
          <w:sz w:val="24"/>
          <w:szCs w:val="24"/>
        </w:rPr>
        <w:t>同价</w:t>
      </w:r>
      <w:bookmarkEnd w:id="510"/>
      <w:bookmarkEnd w:id="511"/>
      <w:bookmarkEnd w:id="512"/>
      <w:bookmarkEnd w:id="513"/>
      <w:bookmarkEnd w:id="514"/>
      <w:bookmarkEnd w:id="515"/>
      <w:bookmarkEnd w:id="516"/>
      <w:bookmarkEnd w:id="517"/>
      <w:r>
        <w:rPr>
          <w:rFonts w:hint="eastAsia" w:ascii="宋体" w:hAnsi="宋体" w:eastAsia="宋体" w:cs="宋体"/>
          <w:color w:val="auto"/>
          <w:sz w:val="24"/>
          <w:szCs w:val="24"/>
        </w:rPr>
        <w:t>格形式</w:t>
      </w:r>
      <w:bookmarkEnd w:id="518"/>
      <w:bookmarkEnd w:id="519"/>
      <w:bookmarkEnd w:id="520"/>
      <w:bookmarkEnd w:id="521"/>
      <w:bookmarkEnd w:id="522"/>
      <w:bookmarkEnd w:id="523"/>
    </w:p>
    <w:p w14:paraId="07A42CB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14:paraId="06B31C1A">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综合单价包含的风险范围：</w:t>
      </w:r>
      <w:r>
        <w:rPr>
          <w:rFonts w:hint="eastAsia" w:ascii="宋体" w:hAnsi="宋体" w:eastAsia="宋体" w:cs="宋体"/>
          <w:color w:val="auto"/>
          <w:sz w:val="24"/>
          <w:szCs w:val="24"/>
          <w:u w:val="single"/>
        </w:rPr>
        <w:t>（1）一周内非承包人原因停水、停电造成累计停工在八小时以内的风险；</w:t>
      </w:r>
    </w:p>
    <w:p w14:paraId="6F27C849">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招标图纸范围内的或在招标文件中已经明示或暗示的风险、责任和义务的费用，承包人不得因工程所需的材料、供应品及设备价格的涨价，或因与本合同施工有关的成本费用的增加为理由而要求调整综合单价，不得以未充分了解成本因素而要求调整综合单价或请求额外补偿，本合同另有约定的除外；</w:t>
      </w:r>
    </w:p>
    <w:p w14:paraId="515256F6">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（3）作为一个有经验的承包人可以或应该预见的，为完成整体工程内容所必须考虑的风险；</w:t>
      </w:r>
    </w:p>
    <w:p w14:paraId="63547FBF">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（4）双方约定的不可抗力范围的风险；</w:t>
      </w:r>
    </w:p>
    <w:p w14:paraId="01DCCE69">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（5）投标报价时所报的一次性包干的固定费用的风险；</w:t>
      </w:r>
    </w:p>
    <w:p w14:paraId="4BBDFC7F">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（6）招标文件中的暂定价以及原图纸或招标清单中未实施项的项目结算中予以扣除的风险；</w:t>
      </w:r>
    </w:p>
    <w:p w14:paraId="086E64ED">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（7）工程量误差或错误造成的工程造价调整的风险；</w:t>
      </w:r>
    </w:p>
    <w:p w14:paraId="1882E649">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8）承包人承认在递交投标书之时已详细审阅、了解本合同及其附件，并经现场踏勘，已充分了解工程位置现状及工程进度等，对工程场地周围的环境、场地现状、可能发生的困难与风险已充分考虑，并已反映到合同价款中。</w:t>
      </w:r>
    </w:p>
    <w:p w14:paraId="2F2A98B3">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合同文件对承包人施工质量的要求高于国家标准或一般质量标准而引起承包人施工时多投入的费用、承包人提高建设标准高于发包人要求标准时引起承包人多投入的费用以及为避免施工期间噪声扰民，承包人对诸如夜间施工等所采取的防护措施而多投入的费用等均已包含在合同价款中，不再另行增补；</w:t>
      </w:r>
    </w:p>
    <w:p w14:paraId="2B4D04BA">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10）承包人必须严格按照施工图纸内容进行施工，不得以合同报价书中缺项或漏项及工程量与图纸不符等为理由拒绝施工。如果属于施工图纸或者合同报价书中包含的项目，承包人拒不施工的，发包人有权委托其他单位进行施工，发生的费用从承包人工程款中扣除；</w:t>
      </w:r>
    </w:p>
    <w:p w14:paraId="626171A6">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承包人承诺已对施工现场进行考察，合同价款中包含由于施工现场多家施工单位交叉作业引起的工效降低、费用增加、工序颠倒引起费用增加等各项应有费用；考虑并包含周边区域已有的建（构）筑物、提升设备、以及自身提升设备间对施工的影响及费用；</w:t>
      </w:r>
    </w:p>
    <w:p w14:paraId="4A199E0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12）措施项目是指为完成工程项目施工，发生于该工程施工前和施工过程中技术、生活、安全等方面的非工程实体项目。承包人在投标报价时已将该措施项目费考虑在内，费用标准自定，措施项目费用（除安全文明施工费外）以包干形式计入，无论在投标报价中是否单独列出均由承包人承担，结算时与分部分项工程量变化、设计变更、现场签证无关，不再调整  </w:t>
      </w:r>
      <w:r>
        <w:rPr>
          <w:rFonts w:hint="eastAsia" w:ascii="宋体" w:hAnsi="宋体" w:eastAsia="宋体" w:cs="宋体"/>
          <w:color w:val="auto"/>
          <w:sz w:val="24"/>
          <w:szCs w:val="24"/>
        </w:rPr>
        <w:t>。</w:t>
      </w:r>
    </w:p>
    <w:p w14:paraId="05DAB4B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w:t>
      </w:r>
      <w:r>
        <w:rPr>
          <w:rFonts w:hint="eastAsia" w:ascii="宋体" w:hAnsi="宋体" w:eastAsia="宋体" w:cs="宋体"/>
          <w:color w:val="auto"/>
          <w:sz w:val="24"/>
          <w:szCs w:val="24"/>
          <w:u w:val="single"/>
        </w:rPr>
        <w:t xml:space="preserve">此合同的风险费用已包含在合同价款中，不再另行计取  </w:t>
      </w:r>
      <w:r>
        <w:rPr>
          <w:rFonts w:hint="eastAsia" w:ascii="宋体" w:hAnsi="宋体" w:eastAsia="宋体" w:cs="宋体"/>
          <w:color w:val="auto"/>
          <w:sz w:val="24"/>
          <w:szCs w:val="24"/>
        </w:rPr>
        <w:t>。</w:t>
      </w:r>
    </w:p>
    <w:p w14:paraId="6E43420C">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①至本工程投标截止日前28天，其后国家的法律、法规、规章和政策发生变化时，应按省级或行业建设主管部门或其授权的工程造价管理机构发布的规定调整合同价格，但承包人对人工费或人工单价的投标报价高于发布价格的除外。</w:t>
      </w:r>
    </w:p>
    <w:p w14:paraId="3AD08D1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②本招标工程合同，发包人按固定综合单价的办法签约的，工程完工后按实际完成工程量进行计量结算。承包人投标时是在仔细阅读招标文件、设计图纸、技术规范等前提下，结合对此工程的风险分析，作出自己的投标报价的。工程设计变更、现场变更签证以及发包人另行委托施工的追加工程，结算时必须有经发包人、监理等有关各方共同签字确认，按照约定办法进行结算，具体调整办法约定如下：①结算时调整项目与投标文件中清单项目相同的，按照投标文件中的综合单价执行。若投标文件中相同清单综合单价不一致的，按照最低的综合单价执行。②若投标文件中无此清单项目的，由承包人编制变更综合单价报送监理复核，并经发包人确认后执行。承包人编制变更综合单价的依据为：人工、机械、取费按投标报价为基准，材料以相应变更项目施工期之前一个月，最近一期的《新沂市工程造价信息》下浮10%为基准，无信息价的按发包人、监理共同认可的价格。③措施项目清单中的费用（除安全文明施工费外）无论工程量是否发生变化、设计图纸是否发生变更，结算时将不得调整，这些费用在整个工程是包干的  </w:t>
      </w:r>
      <w:r>
        <w:rPr>
          <w:rFonts w:hint="eastAsia" w:ascii="宋体" w:hAnsi="宋体" w:eastAsia="宋体" w:cs="宋体"/>
          <w:color w:val="auto"/>
          <w:sz w:val="24"/>
          <w:szCs w:val="24"/>
        </w:rPr>
        <w:t>。</w:t>
      </w:r>
    </w:p>
    <w:p w14:paraId="1D07D98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14:paraId="062F51BC">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总价包含的风险范围：</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0E2A73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31DF98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E93578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3、其他价格方式：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1645783">
      <w:pPr>
        <w:spacing w:line="360" w:lineRule="auto"/>
        <w:ind w:firstLine="420"/>
        <w:rPr>
          <w:rFonts w:hint="eastAsia" w:ascii="宋体" w:hAnsi="宋体" w:eastAsia="宋体" w:cs="宋体"/>
          <w:color w:val="auto"/>
          <w:sz w:val="24"/>
          <w:szCs w:val="24"/>
        </w:rPr>
      </w:pPr>
      <w:bookmarkStart w:id="524" w:name="_Toc297123554"/>
      <w:bookmarkStart w:id="525" w:name="_Toc304295581"/>
      <w:bookmarkStart w:id="526" w:name="_Toc303539161"/>
      <w:bookmarkStart w:id="527" w:name="_Toc312678042"/>
      <w:bookmarkStart w:id="528" w:name="_Toc300935004"/>
      <w:bookmarkStart w:id="529" w:name="_Toc297216213"/>
      <w:bookmarkStart w:id="530" w:name="_Toc296891247"/>
      <w:bookmarkStart w:id="531" w:name="_Toc297120507"/>
      <w:bookmarkStart w:id="532" w:name="_Toc296346708"/>
      <w:bookmarkStart w:id="533" w:name="_Toc296503207"/>
      <w:bookmarkStart w:id="534" w:name="_Toc292559412"/>
      <w:bookmarkStart w:id="535" w:name="_Toc297048393"/>
      <w:bookmarkStart w:id="536" w:name="_Toc296944546"/>
      <w:bookmarkStart w:id="537" w:name="_Toc296891035"/>
      <w:bookmarkStart w:id="538" w:name="_Toc296347206"/>
      <w:bookmarkStart w:id="539" w:name="_Toc292559917"/>
      <w:r>
        <w:rPr>
          <w:rFonts w:hint="eastAsia" w:ascii="宋体" w:hAnsi="宋体" w:eastAsia="宋体" w:cs="宋体"/>
          <w:color w:val="auto"/>
          <w:sz w:val="24"/>
          <w:szCs w:val="24"/>
        </w:rPr>
        <w:t>12.2 预付款</w:t>
      </w:r>
      <w:bookmarkEnd w:id="524"/>
      <w:bookmarkEnd w:id="525"/>
      <w:bookmarkEnd w:id="526"/>
      <w:bookmarkEnd w:id="527"/>
      <w:bookmarkEnd w:id="528"/>
      <w:bookmarkEnd w:id="529"/>
    </w:p>
    <w:p w14:paraId="01BDE1B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12.2.1 预付款的支付</w:t>
      </w:r>
    </w:p>
    <w:p w14:paraId="312C64F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预付款支付比例或金额：</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0F6737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预付款支付期限：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77396E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预付款扣回的方式：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62D428C">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12.2.2 预付款担保</w:t>
      </w:r>
    </w:p>
    <w:p w14:paraId="2ABEFB8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承包人提交预付款担保的期限：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D8C015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预付款担保的形式为：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bookmarkEnd w:id="530"/>
      <w:bookmarkEnd w:id="531"/>
      <w:bookmarkEnd w:id="532"/>
      <w:bookmarkEnd w:id="533"/>
      <w:bookmarkEnd w:id="534"/>
      <w:bookmarkEnd w:id="535"/>
      <w:bookmarkEnd w:id="536"/>
      <w:bookmarkEnd w:id="537"/>
      <w:bookmarkEnd w:id="538"/>
      <w:bookmarkEnd w:id="539"/>
    </w:p>
    <w:p w14:paraId="246381C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12.3 计量</w:t>
      </w:r>
    </w:p>
    <w:p w14:paraId="41BEFF7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14:paraId="5BC6937A">
      <w:pPr>
        <w:spacing w:line="360" w:lineRule="auto"/>
        <w:ind w:firstLine="42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工程量计算规则：</w:t>
      </w:r>
      <w:r>
        <w:rPr>
          <w:rFonts w:hint="eastAsia" w:ascii="宋体" w:hAnsi="宋体" w:eastAsia="宋体" w:cs="宋体"/>
          <w:color w:val="auto"/>
          <w:sz w:val="24"/>
          <w:szCs w:val="24"/>
          <w:u w:val="single"/>
        </w:rPr>
        <w:t xml:space="preserve">  计价规则执行国家标准《建设工程工程量清单计价规范》(GB50500-2013)</w:t>
      </w:r>
      <w:r>
        <w:rPr>
          <w:rFonts w:hint="eastAsia" w:ascii="宋体" w:hAnsi="宋体" w:eastAsia="宋体" w:cs="宋体"/>
          <w:color w:val="auto"/>
          <w:sz w:val="24"/>
          <w:szCs w:val="24"/>
          <w:u w:val="single"/>
          <w:lang w:val="en-US" w:eastAsia="zh-CN"/>
        </w:rPr>
        <w:t>和建筑与装饰、安装工程的国家计量规范；</w:t>
      </w:r>
      <w:r>
        <w:rPr>
          <w:rFonts w:hint="eastAsia" w:ascii="宋体" w:hAnsi="宋体" w:eastAsia="宋体" w:cs="宋体"/>
          <w:color w:val="auto"/>
          <w:sz w:val="24"/>
          <w:szCs w:val="24"/>
          <w:u w:val="single"/>
        </w:rPr>
        <w:t>《江苏省建筑与装饰工程计价定额》(2014)、《江苏省安装工程计价定额》(2014)、《江苏省建设工程费用定额》(2014)、“苏建价〔2016〕154号”文件(费用定额调整)、“苏建函价[2019]178号”文(调整增值税率)、“江苏省住房和城乡建设厅[2018]第24号”文(安全文明施工费、扬尘污染防治增加费、环境保护税等计取方法)</w:t>
      </w:r>
      <w:r>
        <w:rPr>
          <w:rFonts w:hint="eastAsia" w:ascii="宋体" w:hAnsi="宋体" w:eastAsia="宋体" w:cs="宋体"/>
          <w:color w:val="auto"/>
          <w:sz w:val="24"/>
          <w:szCs w:val="24"/>
          <w:u w:val="single"/>
          <w:lang w:eastAsia="zh-CN"/>
        </w:rPr>
        <w:t>。</w:t>
      </w:r>
    </w:p>
    <w:p w14:paraId="75C44B0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14:paraId="35054B1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关于计量周期的约定：</w:t>
      </w:r>
      <w:r>
        <w:rPr>
          <w:rFonts w:hint="eastAsia" w:ascii="宋体" w:hAnsi="宋体" w:eastAsia="宋体" w:cs="宋体"/>
          <w:color w:val="auto"/>
          <w:sz w:val="24"/>
          <w:szCs w:val="24"/>
          <w:u w:val="single"/>
        </w:rPr>
        <w:t xml:space="preserve">  根据工程进度节点  </w:t>
      </w:r>
      <w:r>
        <w:rPr>
          <w:rFonts w:hint="eastAsia" w:ascii="宋体" w:hAnsi="宋体" w:eastAsia="宋体" w:cs="宋体"/>
          <w:color w:val="auto"/>
          <w:sz w:val="24"/>
          <w:szCs w:val="24"/>
        </w:rPr>
        <w:t>。</w:t>
      </w:r>
    </w:p>
    <w:p w14:paraId="4F3B7BB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14:paraId="10FC310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关于单价合同计量的约定：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0720D1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14:paraId="4C15801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关于总价合同计量的约定：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2D8DB5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12.3.5 总价合同采用支付分解表计量支付的，是否适用第12.3.4 项〔总价合同的计量〕约定进行计量：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785190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14:paraId="6B4BE1D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其他价格形式的计量方式和程序：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37F813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12.4 工程进度款支付</w:t>
      </w:r>
    </w:p>
    <w:p w14:paraId="3CE5CC0E">
      <w:pPr>
        <w:spacing w:line="360" w:lineRule="auto"/>
        <w:ind w:firstLine="420"/>
        <w:rPr>
          <w:rFonts w:hint="eastAsia" w:ascii="宋体" w:hAnsi="宋体" w:eastAsia="宋体" w:cs="宋体"/>
          <w:color w:val="auto"/>
          <w:sz w:val="24"/>
          <w:szCs w:val="24"/>
        </w:rPr>
      </w:pPr>
      <w:bookmarkStart w:id="540" w:name="_Toc292559416"/>
      <w:bookmarkStart w:id="541" w:name="_Toc296503211"/>
      <w:bookmarkStart w:id="542" w:name="_Toc303539163"/>
      <w:bookmarkStart w:id="543" w:name="_Toc297120511"/>
      <w:bookmarkStart w:id="544" w:name="_Toc296891251"/>
      <w:bookmarkStart w:id="545" w:name="_Toc296891039"/>
      <w:bookmarkStart w:id="546" w:name="_Toc296347210"/>
      <w:bookmarkStart w:id="547" w:name="_Toc296346712"/>
      <w:bookmarkStart w:id="548" w:name="_Toc292559921"/>
      <w:bookmarkStart w:id="549" w:name="_Toc297123556"/>
      <w:bookmarkStart w:id="550" w:name="_Toc296944550"/>
      <w:bookmarkStart w:id="551" w:name="_Toc297048397"/>
      <w:bookmarkStart w:id="552" w:name="_Toc300935006"/>
      <w:bookmarkStart w:id="553" w:name="_Toc297216215"/>
      <w:r>
        <w:rPr>
          <w:rFonts w:hint="eastAsia" w:ascii="宋体" w:hAnsi="宋体" w:eastAsia="宋体" w:cs="宋体"/>
          <w:color w:val="auto"/>
          <w:sz w:val="24"/>
          <w:szCs w:val="24"/>
        </w:rPr>
        <w:t>12.4.1 付款周期</w:t>
      </w:r>
    </w:p>
    <w:p w14:paraId="62F3D1C3">
      <w:pPr>
        <w:spacing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关于付款周期</w:t>
      </w:r>
      <w:r>
        <w:rPr>
          <w:rFonts w:hint="eastAsia" w:ascii="宋体" w:hAnsi="宋体" w:eastAsia="宋体" w:cs="宋体"/>
          <w:color w:val="auto"/>
          <w:sz w:val="24"/>
          <w:szCs w:val="24"/>
          <w:highlight w:val="none"/>
        </w:rPr>
        <w:t>的约定：</w:t>
      </w:r>
    </w:p>
    <w:p w14:paraId="64CD069E">
      <w:pPr>
        <w:pStyle w:val="55"/>
        <w:widowControl w:val="0"/>
        <w:tabs>
          <w:tab w:val="left" w:pos="294"/>
        </w:tabs>
        <w:spacing w:line="360" w:lineRule="auto"/>
        <w:ind w:firstLine="480"/>
        <w:rPr>
          <w:rFonts w:hint="eastAsia" w:ascii="宋体" w:hAnsi="宋体" w:eastAsia="宋体" w:cs="宋体"/>
          <w:b/>
          <w:bCs w:val="0"/>
          <w:color w:val="auto"/>
          <w:sz w:val="24"/>
          <w:highlight w:val="none"/>
        </w:rPr>
      </w:pPr>
      <w:r>
        <w:rPr>
          <w:rFonts w:hint="eastAsia" w:ascii="宋体" w:hAnsi="宋体" w:eastAsia="宋体" w:cs="宋体"/>
          <w:b/>
          <w:bCs w:val="0"/>
          <w:color w:val="auto"/>
          <w:sz w:val="24"/>
          <w:szCs w:val="24"/>
          <w:highlight w:val="none"/>
          <w:lang w:val="en-US" w:eastAsia="zh-CN"/>
        </w:rPr>
        <w:t>经双方协商一致，选择以下</w:t>
      </w:r>
      <w:r>
        <w:rPr>
          <w:rFonts w:hint="eastAsia" w:ascii="宋体" w:hAnsi="宋体" w:cs="宋体"/>
          <w:b/>
          <w:bCs w:val="0"/>
          <w:color w:val="auto"/>
          <w:sz w:val="24"/>
          <w:szCs w:val="24"/>
          <w:highlight w:val="none"/>
          <w:lang w:val="en-US" w:eastAsia="zh-CN"/>
        </w:rPr>
        <w:t>以下</w:t>
      </w:r>
      <w:r>
        <w:rPr>
          <w:rFonts w:hint="eastAsia" w:ascii="宋体" w:hAnsi="宋体" w:eastAsia="宋体" w:cs="宋体"/>
          <w:b/>
          <w:bCs w:val="0"/>
          <w:color w:val="auto"/>
          <w:sz w:val="24"/>
          <w:szCs w:val="24"/>
          <w:highlight w:val="none"/>
          <w:lang w:val="en-US" w:eastAsia="zh-CN"/>
        </w:rPr>
        <w:t>付款方式：</w:t>
      </w:r>
      <w:r>
        <w:rPr>
          <w:rFonts w:hint="eastAsia" w:ascii="宋体" w:hAnsi="宋体" w:eastAsia="宋体" w:cs="宋体"/>
          <w:b/>
          <w:bCs w:val="0"/>
          <w:color w:val="auto"/>
          <w:sz w:val="24"/>
          <w:highlight w:val="none"/>
        </w:rPr>
        <w:t>工程竣工</w:t>
      </w:r>
      <w:r>
        <w:rPr>
          <w:rFonts w:hint="eastAsia" w:ascii="宋体" w:hAnsi="宋体" w:eastAsia="宋体" w:cs="宋体"/>
          <w:b/>
          <w:bCs w:val="0"/>
          <w:color w:val="auto"/>
          <w:sz w:val="24"/>
          <w:highlight w:val="none"/>
          <w:lang w:val="en-US" w:eastAsia="zh-CN"/>
        </w:rPr>
        <w:t>并通过省级和美乡村</w:t>
      </w:r>
      <w:r>
        <w:rPr>
          <w:rFonts w:hint="eastAsia" w:ascii="宋体" w:hAnsi="宋体" w:eastAsia="宋体" w:cs="宋体"/>
          <w:b/>
          <w:bCs w:val="0"/>
          <w:color w:val="auto"/>
          <w:sz w:val="24"/>
          <w:highlight w:val="none"/>
        </w:rPr>
        <w:t>验收合格后付至合同价款的</w:t>
      </w:r>
      <w:r>
        <w:rPr>
          <w:rFonts w:hint="eastAsia" w:ascii="宋体" w:hAnsi="宋体" w:eastAsia="宋体" w:cs="宋体"/>
          <w:b/>
          <w:bCs w:val="0"/>
          <w:color w:val="auto"/>
          <w:sz w:val="24"/>
          <w:highlight w:val="none"/>
          <w:lang w:val="en-US" w:eastAsia="zh-CN"/>
        </w:rPr>
        <w:t>60</w:t>
      </w:r>
      <w:r>
        <w:rPr>
          <w:rFonts w:hint="eastAsia" w:ascii="宋体" w:hAnsi="宋体" w:eastAsia="宋体" w:cs="宋体"/>
          <w:b/>
          <w:bCs w:val="0"/>
          <w:color w:val="auto"/>
          <w:sz w:val="24"/>
          <w:highlight w:val="none"/>
        </w:rPr>
        <w:t>%；完整规范的竣工结算资料报送招标人并完成竣工结算审核后付至审定价的100%。</w:t>
      </w:r>
    </w:p>
    <w:p w14:paraId="75A3CC3D">
      <w:pPr>
        <w:keepNext w:val="0"/>
        <w:keepLines w:val="0"/>
        <w:pageBreakBefore w:val="0"/>
        <w:widowControl/>
        <w:pBdr>
          <w:top w:val="none" w:color="000000" w:sz="0" w:space="0"/>
          <w:left w:val="none" w:color="000000" w:sz="0" w:space="0"/>
          <w:bottom w:val="none" w:color="000000" w:sz="0" w:space="0"/>
          <w:right w:val="none" w:color="000000" w:sz="0" w:space="0"/>
        </w:pBdr>
        <w:spacing w:before="0" w:after="200" w:line="360" w:lineRule="auto"/>
        <w:ind w:left="0" w:right="6" w:firstLine="420"/>
        <w:jc w:val="both"/>
        <w:rPr>
          <w:rFonts w:hint="eastAsia"/>
          <w:b/>
          <w:bCs w:val="0"/>
          <w:lang w:eastAsia="zh-CN"/>
        </w:rPr>
      </w:pPr>
      <w:r>
        <w:rPr>
          <w:rFonts w:ascii="宋体" w:hAnsi="宋体" w:eastAsia="宋体" w:cs="宋体"/>
          <w:b/>
          <w:bCs w:val="0"/>
          <w:color w:val="auto"/>
          <w:sz w:val="24"/>
          <w:highlight w:val="none"/>
        </w:rPr>
        <w:t>进度款与质量挂钩，如果所完成工程的质量达不到验收规范要求，发包人有权暂缓支付该部分工程款。待承包人整改完成符合验收规范要求后再行支付。付款前承包方应提供符合发包方要求的增值税发票。</w:t>
      </w:r>
    </w:p>
    <w:p w14:paraId="41AEC23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12.4.2 形象进度付</w:t>
      </w:r>
      <w:r>
        <w:rPr>
          <w:rFonts w:hint="eastAsia" w:ascii="宋体" w:hAnsi="宋体" w:eastAsia="宋体" w:cs="宋体"/>
          <w:color w:val="auto"/>
          <w:sz w:val="24"/>
          <w:szCs w:val="24"/>
        </w:rPr>
        <w:t>款申请单的编制</w:t>
      </w:r>
    </w:p>
    <w:p w14:paraId="192A7B8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关于形象进度付款申请单编制的约定：</w:t>
      </w:r>
      <w:r>
        <w:rPr>
          <w:rFonts w:hint="eastAsia" w:ascii="宋体" w:hAnsi="宋体" w:eastAsia="宋体" w:cs="宋体"/>
          <w:color w:val="auto"/>
          <w:sz w:val="24"/>
          <w:szCs w:val="24"/>
          <w:u w:val="single"/>
        </w:rPr>
        <w:t xml:space="preserve">执行通用条款，并由承包人提交，经发包人和监理单位确认 </w:t>
      </w:r>
      <w:r>
        <w:rPr>
          <w:rFonts w:hint="eastAsia" w:ascii="宋体" w:hAnsi="宋体" w:eastAsia="宋体" w:cs="宋体"/>
          <w:color w:val="auto"/>
          <w:sz w:val="24"/>
          <w:szCs w:val="24"/>
        </w:rPr>
        <w:t>。</w:t>
      </w:r>
    </w:p>
    <w:p w14:paraId="30C0E91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Pr>
          <w:rFonts w:hint="eastAsia" w:ascii="宋体" w:hAnsi="宋体" w:eastAsia="宋体" w:cs="宋体"/>
          <w:color w:val="auto"/>
          <w:sz w:val="24"/>
          <w:szCs w:val="24"/>
        </w:rPr>
        <w:t>2.4.3 形象进度付款申请单的提交</w:t>
      </w:r>
    </w:p>
    <w:p w14:paraId="5AB32A7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（1）单价合同形象进度付款申请单提交的约定：</w:t>
      </w:r>
      <w:r>
        <w:rPr>
          <w:rFonts w:hint="eastAsia" w:ascii="宋体" w:hAnsi="宋体" w:eastAsia="宋体" w:cs="宋体"/>
          <w:color w:val="auto"/>
          <w:sz w:val="24"/>
          <w:szCs w:val="24"/>
          <w:u w:val="single"/>
        </w:rPr>
        <w:t>达到相应付款节点后由承包人14日内提交</w:t>
      </w:r>
      <w:r>
        <w:rPr>
          <w:rFonts w:hint="eastAsia" w:ascii="宋体" w:hAnsi="宋体" w:eastAsia="宋体" w:cs="宋体"/>
          <w:color w:val="auto"/>
          <w:sz w:val="24"/>
          <w:szCs w:val="24"/>
        </w:rPr>
        <w:t>。</w:t>
      </w:r>
    </w:p>
    <w:p w14:paraId="313B62FC">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（2）总价合同形象进度付款申请单提交的约定：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33F9DB6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（3）其他价格形式形象合同进度付款申请单提交的约定：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04FEA23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12.4.4 形象进度款审核和支付</w:t>
      </w:r>
    </w:p>
    <w:p w14:paraId="22DB059B">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（1）监理人审查并报送发包人的期限：</w:t>
      </w:r>
      <w:r>
        <w:rPr>
          <w:rFonts w:hint="eastAsia" w:ascii="宋体" w:hAnsi="宋体" w:eastAsia="宋体" w:cs="宋体"/>
          <w:color w:val="auto"/>
          <w:sz w:val="24"/>
          <w:szCs w:val="24"/>
          <w:u w:val="single"/>
        </w:rPr>
        <w:t>收到承包人形象进度付款申请表以及相关资料后14天内完成审查并报送发包人</w:t>
      </w:r>
      <w:r>
        <w:rPr>
          <w:rFonts w:hint="eastAsia" w:ascii="宋体" w:hAnsi="宋体" w:eastAsia="宋体" w:cs="宋体"/>
          <w:color w:val="auto"/>
          <w:sz w:val="24"/>
          <w:szCs w:val="24"/>
        </w:rPr>
        <w:t>。</w:t>
      </w:r>
    </w:p>
    <w:p w14:paraId="4EEEBF2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发包人完成审批并签发形象进度款支付证书的期限：</w:t>
      </w:r>
      <w:r>
        <w:rPr>
          <w:rFonts w:hint="eastAsia" w:ascii="宋体" w:hAnsi="宋体" w:eastAsia="宋体" w:cs="宋体"/>
          <w:color w:val="auto"/>
          <w:sz w:val="24"/>
          <w:szCs w:val="24"/>
          <w:u w:val="single"/>
        </w:rPr>
        <w:t xml:space="preserve">收到进度付款申请表以及相关资料后14天内完成审批并签发进度款支付证书  </w:t>
      </w:r>
      <w:r>
        <w:rPr>
          <w:rFonts w:hint="eastAsia" w:ascii="宋体" w:hAnsi="宋体" w:eastAsia="宋体" w:cs="宋体"/>
          <w:color w:val="auto"/>
          <w:sz w:val="24"/>
          <w:szCs w:val="24"/>
        </w:rPr>
        <w:t>。</w:t>
      </w:r>
    </w:p>
    <w:p w14:paraId="5E42BBD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（2）发包人支付形象进度款的期限：</w:t>
      </w:r>
      <w:r>
        <w:rPr>
          <w:rFonts w:hint="eastAsia" w:ascii="宋体" w:hAnsi="宋体" w:eastAsia="宋体" w:cs="宋体"/>
          <w:color w:val="auto"/>
          <w:sz w:val="24"/>
          <w:szCs w:val="24"/>
          <w:u w:val="single"/>
        </w:rPr>
        <w:t xml:space="preserve">  签发形象进度款支付证书或临时形象进度款支付证书后28天内完成支付</w:t>
      </w:r>
      <w:r>
        <w:rPr>
          <w:rFonts w:hint="eastAsia" w:ascii="宋体" w:hAnsi="宋体" w:eastAsia="宋体" w:cs="宋体"/>
          <w:color w:val="auto"/>
          <w:sz w:val="24"/>
          <w:szCs w:val="24"/>
        </w:rPr>
        <w:t>。</w:t>
      </w:r>
    </w:p>
    <w:p w14:paraId="791B3F4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发包人逾期支形象付进度款的违约金的计算方式：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1EA7597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12.4.6 支付分解表的编制</w:t>
      </w:r>
    </w:p>
    <w:p w14:paraId="01DCC12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1、总价合同支付分解表的编制与审批：</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2A017E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2、单价合同的总价项目支付分解表的编制与审批：</w:t>
      </w:r>
      <w:r>
        <w:rPr>
          <w:rFonts w:hint="eastAsia" w:ascii="宋体" w:hAnsi="宋体" w:eastAsia="宋体" w:cs="宋体"/>
          <w:color w:val="auto"/>
          <w:sz w:val="24"/>
          <w:szCs w:val="24"/>
          <w:u w:val="single"/>
        </w:rPr>
        <w:t xml:space="preserve">由承包人根据施工进度计划节点以及合同对应付款基数进行分解，形成支付分解表  </w:t>
      </w:r>
      <w:r>
        <w:rPr>
          <w:rFonts w:hint="eastAsia" w:ascii="宋体" w:hAnsi="宋体" w:eastAsia="宋体" w:cs="宋体"/>
          <w:color w:val="auto"/>
          <w:sz w:val="24"/>
          <w:szCs w:val="24"/>
        </w:rPr>
        <w:t>。</w:t>
      </w:r>
      <w:bookmarkEnd w:id="383"/>
    </w:p>
    <w:p w14:paraId="29CE4D8B">
      <w:pPr>
        <w:keepNext/>
        <w:keepLines/>
        <w:spacing w:before="164" w:after="164" w:line="360" w:lineRule="auto"/>
        <w:rPr>
          <w:rFonts w:hint="eastAsia" w:ascii="宋体" w:hAnsi="宋体" w:eastAsia="宋体" w:cs="宋体"/>
          <w:color w:val="auto"/>
          <w:sz w:val="24"/>
          <w:szCs w:val="24"/>
        </w:rPr>
      </w:pPr>
      <w:bookmarkStart w:id="554" w:name="_Toc304295593"/>
      <w:bookmarkStart w:id="555" w:name="_Toc296503219"/>
      <w:bookmarkStart w:id="556" w:name="_Toc297120519"/>
      <w:bookmarkStart w:id="557" w:name="_Toc300935015"/>
      <w:bookmarkStart w:id="558" w:name="_Toc296891047"/>
      <w:bookmarkStart w:id="559" w:name="_Toc296891259"/>
      <w:bookmarkStart w:id="560" w:name="_Toc292559929"/>
      <w:bookmarkStart w:id="561" w:name="_Toc297048405"/>
      <w:bookmarkStart w:id="562" w:name="_Toc351203645"/>
      <w:bookmarkStart w:id="563" w:name="_Toc312678053"/>
      <w:bookmarkStart w:id="564" w:name="_Toc292559424"/>
      <w:bookmarkStart w:id="565" w:name="_Toc296347218"/>
      <w:bookmarkStart w:id="566" w:name="_Toc297123564"/>
      <w:bookmarkStart w:id="567" w:name="_Toc297216223"/>
      <w:bookmarkStart w:id="568" w:name="_Toc296944558"/>
      <w:bookmarkStart w:id="569" w:name="_Toc296346720"/>
      <w:bookmarkStart w:id="570" w:name="_Toc303539172"/>
      <w:r>
        <w:rPr>
          <w:rFonts w:hint="eastAsia" w:ascii="宋体" w:hAnsi="宋体" w:eastAsia="宋体" w:cs="宋体"/>
          <w:color w:val="auto"/>
          <w:sz w:val="24"/>
          <w:szCs w:val="24"/>
        </w:rPr>
        <w:t>13. 验收和工程试车</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44B6E71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13.1 分部分项工程验收</w:t>
      </w:r>
    </w:p>
    <w:p w14:paraId="6E21584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13.1.1 监理人不能按时进行验收时，应提前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14:paraId="3EA86B53">
      <w:pPr>
        <w:spacing w:line="360" w:lineRule="auto"/>
        <w:ind w:firstLine="420"/>
        <w:rPr>
          <w:rFonts w:hint="eastAsia" w:ascii="宋体" w:hAnsi="宋体" w:eastAsia="宋体" w:cs="宋体"/>
          <w:b/>
          <w:color w:val="auto"/>
          <w:sz w:val="24"/>
          <w:szCs w:val="24"/>
        </w:rPr>
      </w:pPr>
      <w:r>
        <w:rPr>
          <w:rFonts w:hint="eastAsia" w:ascii="宋体" w:hAnsi="宋体" w:eastAsia="宋体" w:cs="宋体"/>
          <w:color w:val="auto"/>
          <w:sz w:val="24"/>
          <w:szCs w:val="24"/>
        </w:rPr>
        <w:t>关于延期最长不得超过：</w:t>
      </w:r>
      <w:r>
        <w:rPr>
          <w:rFonts w:hint="eastAsia" w:ascii="宋体" w:hAnsi="宋体" w:eastAsia="宋体" w:cs="宋体"/>
          <w:color w:val="auto"/>
          <w:sz w:val="24"/>
          <w:szCs w:val="24"/>
          <w:u w:val="single"/>
        </w:rPr>
        <w:t xml:space="preserve">  48  </w:t>
      </w:r>
      <w:r>
        <w:rPr>
          <w:rFonts w:hint="eastAsia" w:ascii="宋体" w:hAnsi="宋体" w:eastAsia="宋体" w:cs="宋体"/>
          <w:color w:val="auto"/>
          <w:sz w:val="24"/>
          <w:szCs w:val="24"/>
        </w:rPr>
        <w:t>小时。</w:t>
      </w:r>
    </w:p>
    <w:p w14:paraId="4990324C">
      <w:pPr>
        <w:spacing w:line="360" w:lineRule="auto"/>
        <w:ind w:firstLine="420"/>
        <w:rPr>
          <w:rFonts w:hint="eastAsia" w:ascii="宋体" w:hAnsi="宋体" w:eastAsia="宋体" w:cs="宋体"/>
          <w:color w:val="auto"/>
          <w:sz w:val="24"/>
          <w:szCs w:val="24"/>
        </w:rPr>
      </w:pPr>
      <w:bookmarkStart w:id="571" w:name="_Toc296503223"/>
      <w:bookmarkStart w:id="572" w:name="_Toc296347222"/>
      <w:bookmarkStart w:id="573" w:name="_Toc303539173"/>
      <w:bookmarkStart w:id="574" w:name="_Toc296346724"/>
      <w:bookmarkStart w:id="575" w:name="_Toc312678056"/>
      <w:bookmarkStart w:id="576" w:name="_Toc292559933"/>
      <w:bookmarkStart w:id="577" w:name="_Toc292559428"/>
      <w:bookmarkStart w:id="578" w:name="_Toc304295596"/>
      <w:bookmarkStart w:id="579" w:name="_Toc300935016"/>
      <w:bookmarkStart w:id="580" w:name="_Toc297216224"/>
      <w:bookmarkStart w:id="581" w:name="_Toc296891051"/>
      <w:bookmarkStart w:id="582" w:name="_Toc296891263"/>
      <w:bookmarkStart w:id="583" w:name="_Toc296944562"/>
      <w:bookmarkStart w:id="584" w:name="_Toc297120523"/>
      <w:bookmarkStart w:id="585" w:name="_Toc297123565"/>
      <w:bookmarkStart w:id="586" w:name="_Toc297048409"/>
      <w:bookmarkStart w:id="587" w:name="_Toc267251476"/>
      <w:bookmarkStart w:id="588" w:name="_Toc267251475"/>
      <w:bookmarkStart w:id="589" w:name="_Toc267251474"/>
      <w:bookmarkStart w:id="590" w:name="_Toc267251470"/>
      <w:bookmarkStart w:id="591" w:name="_Toc267251472"/>
      <w:bookmarkStart w:id="592" w:name="_Toc267251473"/>
      <w:bookmarkStart w:id="593" w:name="_Toc267251471"/>
      <w:r>
        <w:rPr>
          <w:rFonts w:hint="eastAsia" w:ascii="宋体" w:hAnsi="宋体" w:eastAsia="宋体" w:cs="宋体"/>
          <w:color w:val="auto"/>
          <w:sz w:val="24"/>
          <w:szCs w:val="24"/>
        </w:rPr>
        <w:t>13.2 竣工验收</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5986923D">
      <w:pPr>
        <w:spacing w:line="360" w:lineRule="auto"/>
        <w:ind w:firstLine="420"/>
        <w:rPr>
          <w:rFonts w:hint="eastAsia" w:ascii="宋体" w:hAnsi="宋体" w:eastAsia="宋体" w:cs="宋体"/>
          <w:color w:val="auto"/>
          <w:sz w:val="24"/>
          <w:szCs w:val="24"/>
        </w:rPr>
      </w:pPr>
      <w:bookmarkStart w:id="594" w:name="_Toc280868704"/>
      <w:bookmarkStart w:id="595" w:name="_Toc280868705"/>
      <w:bookmarkStart w:id="596" w:name="_Toc280868707"/>
      <w:bookmarkStart w:id="597" w:name="_Toc280868706"/>
      <w:bookmarkStart w:id="598" w:name="_Toc280868708"/>
      <w:bookmarkStart w:id="599" w:name="_Toc280868709"/>
      <w:r>
        <w:rPr>
          <w:rFonts w:hint="eastAsia" w:ascii="宋体" w:hAnsi="宋体" w:eastAsia="宋体" w:cs="宋体"/>
          <w:color w:val="auto"/>
          <w:sz w:val="24"/>
          <w:szCs w:val="24"/>
        </w:rPr>
        <w:t>13.2.1 竣工验收程序</w:t>
      </w:r>
      <w:bookmarkEnd w:id="594"/>
    </w:p>
    <w:p w14:paraId="61BAF76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关于竣工验收程序的约定：</w:t>
      </w:r>
      <w:r>
        <w:rPr>
          <w:rFonts w:hint="eastAsia" w:ascii="宋体" w:hAnsi="宋体" w:eastAsia="宋体" w:cs="宋体"/>
          <w:color w:val="auto"/>
          <w:sz w:val="24"/>
          <w:szCs w:val="24"/>
          <w:u w:val="single"/>
        </w:rPr>
        <w:t xml:space="preserve">执行通用条款 </w:t>
      </w:r>
      <w:r>
        <w:rPr>
          <w:rFonts w:hint="eastAsia" w:ascii="宋体" w:hAnsi="宋体" w:eastAsia="宋体" w:cs="宋体"/>
          <w:color w:val="auto"/>
          <w:sz w:val="24"/>
          <w:szCs w:val="24"/>
        </w:rPr>
        <w:t>。</w:t>
      </w:r>
    </w:p>
    <w:p w14:paraId="67AACB2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发包人不按照本项约定组织竣工验收、颁发工程接收证书的违约金的计算方法</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w:t>
      </w:r>
      <w:bookmarkEnd w:id="595"/>
    </w:p>
    <w:p w14:paraId="4A8E209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13.2.2 移交、接收全部与部分工程</w:t>
      </w:r>
      <w:bookmarkEnd w:id="596"/>
      <w:bookmarkEnd w:id="597"/>
    </w:p>
    <w:p w14:paraId="638917A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承包人向发包人移交工程的期限：</w:t>
      </w:r>
      <w:r>
        <w:rPr>
          <w:rFonts w:hint="eastAsia" w:ascii="宋体" w:hAnsi="宋体" w:eastAsia="宋体" w:cs="宋体"/>
          <w:color w:val="auto"/>
          <w:sz w:val="24"/>
          <w:szCs w:val="24"/>
          <w:u w:val="single"/>
        </w:rPr>
        <w:t xml:space="preserve"> 竣工时间以发包人组织的竣工验收合格日期为准。经发包人组织验收合格的工程，则自验收结束之日起15天内承包人将工程移交给发包人，撤出全部临建、施工人员、施工机械和剩余材料，并将承包范围内的所有工程垃圾清理干净  </w:t>
      </w:r>
      <w:r>
        <w:rPr>
          <w:rFonts w:hint="eastAsia" w:ascii="宋体" w:hAnsi="宋体" w:eastAsia="宋体" w:cs="宋体"/>
          <w:color w:val="auto"/>
          <w:sz w:val="24"/>
          <w:szCs w:val="24"/>
        </w:rPr>
        <w:t>。</w:t>
      </w:r>
    </w:p>
    <w:p w14:paraId="40398C8F">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发包人未按本合同约定接收全部或部分工程的，违约金的计算方法为：</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w:t>
      </w:r>
    </w:p>
    <w:p w14:paraId="7EC4504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承包人未按时移交工程的，违约金的计算方法为：</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w:t>
      </w:r>
    </w:p>
    <w:p w14:paraId="653D407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13.3 工程试车</w:t>
      </w:r>
      <w:bookmarkEnd w:id="598"/>
    </w:p>
    <w:p w14:paraId="1748ECA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13.3.1 试车程序</w:t>
      </w:r>
    </w:p>
    <w:p w14:paraId="75DFF2B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工程试车内容：</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0C9D0F1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（1）单机无负荷试车费用由承担；</w:t>
      </w:r>
    </w:p>
    <w:p w14:paraId="2B9027D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（2）无负荷联动试车费用由承担。</w:t>
      </w:r>
    </w:p>
    <w:p w14:paraId="0858236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13.3.2 投料试车</w:t>
      </w:r>
    </w:p>
    <w:p w14:paraId="1EB4FC9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关于投料试车相关事项的约定：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F42234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13.4 竣工退场</w:t>
      </w:r>
    </w:p>
    <w:p w14:paraId="525FE6D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13.6.1 竣工退场</w:t>
      </w:r>
    </w:p>
    <w:p w14:paraId="08D0B56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承包人完成竣工退场的期限：</w:t>
      </w:r>
      <w:r>
        <w:rPr>
          <w:rFonts w:hint="eastAsia" w:ascii="宋体" w:hAnsi="宋体" w:eastAsia="宋体" w:cs="宋体"/>
          <w:color w:val="auto"/>
          <w:sz w:val="24"/>
          <w:szCs w:val="24"/>
          <w:u w:val="single"/>
        </w:rPr>
        <w:t xml:space="preserve"> 竣工验收合格后14日内 </w:t>
      </w:r>
      <w:r>
        <w:rPr>
          <w:rFonts w:hint="eastAsia" w:ascii="宋体" w:hAnsi="宋体" w:eastAsia="宋体" w:cs="宋体"/>
          <w:color w:val="auto"/>
          <w:sz w:val="24"/>
          <w:szCs w:val="24"/>
        </w:rPr>
        <w:t>。</w:t>
      </w:r>
    </w:p>
    <w:p w14:paraId="16CC2E99">
      <w:pPr>
        <w:keepNext/>
        <w:keepLines/>
        <w:spacing w:before="164" w:after="164" w:line="360" w:lineRule="auto"/>
        <w:rPr>
          <w:rFonts w:hint="eastAsia" w:ascii="宋体" w:hAnsi="宋体" w:eastAsia="宋体" w:cs="宋体"/>
          <w:color w:val="auto"/>
          <w:sz w:val="24"/>
          <w:szCs w:val="24"/>
        </w:rPr>
      </w:pPr>
      <w:bookmarkStart w:id="600" w:name="_Toc351203646"/>
      <w:r>
        <w:rPr>
          <w:rFonts w:hint="eastAsia" w:ascii="宋体" w:hAnsi="宋体" w:eastAsia="宋体" w:cs="宋体"/>
          <w:color w:val="auto"/>
          <w:sz w:val="24"/>
          <w:szCs w:val="24"/>
        </w:rPr>
        <w:t>14. 竣工结算</w:t>
      </w:r>
      <w:bookmarkEnd w:id="600"/>
    </w:p>
    <w:p w14:paraId="7D86072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14.1 竣工结算申请</w:t>
      </w:r>
    </w:p>
    <w:p w14:paraId="1D9AC58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承包人提交竣工结算申请单的期限：</w:t>
      </w:r>
      <w:r>
        <w:rPr>
          <w:rFonts w:hint="eastAsia" w:ascii="宋体" w:hAnsi="宋体" w:eastAsia="宋体" w:cs="宋体"/>
          <w:color w:val="auto"/>
          <w:sz w:val="24"/>
          <w:szCs w:val="24"/>
          <w:u w:val="single"/>
        </w:rPr>
        <w:t xml:space="preserve"> 工程竣工验收合格后一个月内 </w:t>
      </w:r>
      <w:r>
        <w:rPr>
          <w:rFonts w:hint="eastAsia" w:ascii="宋体" w:hAnsi="宋体" w:eastAsia="宋体" w:cs="宋体"/>
          <w:color w:val="auto"/>
          <w:sz w:val="24"/>
          <w:szCs w:val="24"/>
        </w:rPr>
        <w:t>。</w:t>
      </w:r>
    </w:p>
    <w:p w14:paraId="38F6ECB1">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竣工结算申请单应包括的内容：</w:t>
      </w:r>
      <w:r>
        <w:rPr>
          <w:rFonts w:hint="eastAsia" w:ascii="宋体" w:hAnsi="宋体" w:eastAsia="宋体" w:cs="宋体"/>
          <w:color w:val="auto"/>
          <w:sz w:val="24"/>
          <w:szCs w:val="24"/>
          <w:u w:val="single"/>
        </w:rPr>
        <w:t xml:space="preserve">结算项目承包合同及合同报价书；经审查批准的竣工图；招标文件；变更及现场签证累计统计表、审批表、结算表及变更签证的详细资料；工程竣工验收记录表；施工单位上报的完整的竣工结算资料； </w:t>
      </w:r>
    </w:p>
    <w:p w14:paraId="7A19087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u w:val="single"/>
        </w:rPr>
        <w:t>如核减额在承包人送审总价5%以内（含5%）审计费用由发包人承担，核减额在5%以上至10%（含10%），由承包人与发包人分别承担50%，核减额大于10%的，其审计费用由承包人全部承担审计费按基本费1000元+核减额的5%计算</w:t>
      </w:r>
      <w:r>
        <w:rPr>
          <w:rFonts w:hint="eastAsia" w:ascii="宋体" w:hAnsi="宋体" w:eastAsia="宋体" w:cs="宋体"/>
          <w:color w:val="auto"/>
          <w:sz w:val="24"/>
          <w:szCs w:val="24"/>
        </w:rPr>
        <w:t>。</w:t>
      </w:r>
    </w:p>
    <w:p w14:paraId="331936D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14.2 竣工结算审核</w:t>
      </w:r>
    </w:p>
    <w:p w14:paraId="48E8E36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发包人审批竣工付款申请单的期限：</w:t>
      </w:r>
      <w:r>
        <w:rPr>
          <w:rFonts w:hint="eastAsia" w:ascii="宋体" w:hAnsi="宋体" w:eastAsia="宋体" w:cs="宋体"/>
          <w:color w:val="auto"/>
          <w:sz w:val="24"/>
          <w:szCs w:val="24"/>
          <w:u w:val="single"/>
        </w:rPr>
        <w:t xml:space="preserve">  收到承包人提交的最终结清申请后28天内完成审批并向承包人颁发最终结清证书</w:t>
      </w:r>
      <w:r>
        <w:rPr>
          <w:rFonts w:hint="eastAsia" w:ascii="宋体" w:hAnsi="宋体" w:eastAsia="宋体" w:cs="宋体"/>
          <w:color w:val="auto"/>
          <w:sz w:val="24"/>
          <w:szCs w:val="24"/>
        </w:rPr>
        <w:t>。</w:t>
      </w:r>
    </w:p>
    <w:p w14:paraId="7DC68E2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发包人完成竣工付款的期限：</w:t>
      </w:r>
      <w:r>
        <w:rPr>
          <w:rFonts w:hint="eastAsia" w:ascii="宋体" w:hAnsi="宋体" w:eastAsia="宋体" w:cs="宋体"/>
          <w:color w:val="auto"/>
          <w:sz w:val="24"/>
          <w:szCs w:val="24"/>
          <w:u w:val="single"/>
        </w:rPr>
        <w:t xml:space="preserve">  签发竣工付款证书后28天内  </w:t>
      </w:r>
      <w:r>
        <w:rPr>
          <w:rFonts w:hint="eastAsia" w:ascii="宋体" w:hAnsi="宋体" w:eastAsia="宋体" w:cs="宋体"/>
          <w:color w:val="auto"/>
          <w:sz w:val="24"/>
          <w:szCs w:val="24"/>
        </w:rPr>
        <w:t>。</w:t>
      </w:r>
    </w:p>
    <w:p w14:paraId="2264786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关于竣工付款证书异议部分复核的方式和程序：</w:t>
      </w:r>
      <w:r>
        <w:rPr>
          <w:rFonts w:hint="eastAsia" w:ascii="宋体" w:hAnsi="宋体" w:eastAsia="宋体" w:cs="宋体"/>
          <w:color w:val="auto"/>
          <w:sz w:val="24"/>
          <w:szCs w:val="24"/>
          <w:u w:val="single"/>
        </w:rPr>
        <w:t xml:space="preserve">执行通用条款 </w:t>
      </w:r>
      <w:r>
        <w:rPr>
          <w:rFonts w:hint="eastAsia" w:ascii="宋体" w:hAnsi="宋体" w:eastAsia="宋体" w:cs="宋体"/>
          <w:color w:val="auto"/>
          <w:sz w:val="24"/>
          <w:szCs w:val="24"/>
        </w:rPr>
        <w:t>。</w:t>
      </w:r>
    </w:p>
    <w:p w14:paraId="4F133F08">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审减率约定：</w:t>
      </w:r>
      <w:r>
        <w:rPr>
          <w:rFonts w:hint="eastAsia" w:ascii="宋体" w:hAnsi="宋体" w:eastAsia="宋体" w:cs="宋体"/>
          <w:color w:val="auto"/>
          <w:sz w:val="24"/>
          <w:szCs w:val="24"/>
          <w:u w:val="single"/>
        </w:rPr>
        <w:t>审计报告结（决）算审减率10%-15%的，承包人按审减金额的20%支付违约金，超过15%的，按照审减金额的30%支付违约金，发包人有权从工程款中直接扣除。对于一年内审减率连续两次超过15%的承包人试行黑名单制度，两年内不得参与</w:t>
      </w:r>
      <w:r>
        <w:rPr>
          <w:rFonts w:hint="eastAsia" w:ascii="宋体" w:hAnsi="宋体" w:cs="宋体"/>
          <w:color w:val="auto"/>
          <w:sz w:val="24"/>
          <w:szCs w:val="24"/>
          <w:u w:val="single"/>
          <w:lang w:val="en-US" w:eastAsia="zh-CN"/>
        </w:rPr>
        <w:t>新沂市时集镇</w:t>
      </w:r>
      <w:r>
        <w:rPr>
          <w:rFonts w:hint="eastAsia" w:ascii="宋体" w:hAnsi="宋体" w:eastAsia="宋体" w:cs="宋体"/>
          <w:color w:val="auto"/>
          <w:sz w:val="24"/>
          <w:szCs w:val="24"/>
          <w:u w:val="single"/>
        </w:rPr>
        <w:t>工程项目建设。</w:t>
      </w:r>
    </w:p>
    <w:p w14:paraId="75506CF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项目终审费用约定：</w:t>
      </w:r>
      <w:r>
        <w:rPr>
          <w:rFonts w:hint="eastAsia" w:ascii="宋体" w:hAnsi="宋体" w:eastAsia="宋体" w:cs="宋体"/>
          <w:color w:val="auto"/>
          <w:sz w:val="24"/>
          <w:szCs w:val="24"/>
          <w:u w:val="single"/>
        </w:rPr>
        <w:t>工程结（决）算经终审后，审减率在3%（含3%）以内的，审计服务费用由发包人支付，3%-5%（含5%）发包人和承包人各付一半，5%以上的承包人全额支付。</w:t>
      </w:r>
    </w:p>
    <w:p w14:paraId="424C064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14.3 最终结清</w:t>
      </w:r>
    </w:p>
    <w:p w14:paraId="2474F6D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14.3.1 最终结清申请单</w:t>
      </w:r>
    </w:p>
    <w:p w14:paraId="45C9F12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       4份      </w:t>
      </w:r>
      <w:r>
        <w:rPr>
          <w:rFonts w:hint="eastAsia" w:ascii="宋体" w:hAnsi="宋体" w:eastAsia="宋体" w:cs="宋体"/>
          <w:color w:val="auto"/>
          <w:sz w:val="24"/>
          <w:szCs w:val="24"/>
        </w:rPr>
        <w:t>。</w:t>
      </w:r>
    </w:p>
    <w:p w14:paraId="4F3741F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承包人提交最终结算申请单的期限：</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 xml:space="preserve">。 </w:t>
      </w:r>
    </w:p>
    <w:p w14:paraId="567041C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14.3.2 最终结清证书和支付</w:t>
      </w:r>
    </w:p>
    <w:p w14:paraId="2F112C7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（1）发包人完成最终结清申请单的审批并颁发最终结清证书的期限：</w:t>
      </w:r>
      <w:r>
        <w:rPr>
          <w:rFonts w:hint="eastAsia" w:ascii="宋体" w:hAnsi="宋体" w:eastAsia="宋体" w:cs="宋体"/>
          <w:color w:val="auto"/>
          <w:sz w:val="24"/>
          <w:szCs w:val="24"/>
          <w:u w:val="single"/>
        </w:rPr>
        <w:t xml:space="preserve">收到承包人提交的最终结清申请后28天内完成审批并向承包人颁发最终结清证书 </w:t>
      </w:r>
      <w:r>
        <w:rPr>
          <w:rFonts w:hint="eastAsia" w:ascii="宋体" w:hAnsi="宋体" w:eastAsia="宋体" w:cs="宋体"/>
          <w:color w:val="auto"/>
          <w:sz w:val="24"/>
          <w:szCs w:val="24"/>
        </w:rPr>
        <w:t>。</w:t>
      </w:r>
    </w:p>
    <w:p w14:paraId="7A8D866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 xml:space="preserve">  签发最终结清证书后的28天内 </w:t>
      </w:r>
      <w:r>
        <w:rPr>
          <w:rFonts w:hint="eastAsia" w:ascii="宋体" w:hAnsi="宋体" w:eastAsia="宋体" w:cs="宋体"/>
          <w:color w:val="auto"/>
          <w:sz w:val="24"/>
          <w:szCs w:val="24"/>
        </w:rPr>
        <w:t>。</w:t>
      </w:r>
      <w:bookmarkEnd w:id="587"/>
      <w:bookmarkEnd w:id="588"/>
      <w:bookmarkEnd w:id="589"/>
      <w:bookmarkEnd w:id="590"/>
      <w:bookmarkEnd w:id="591"/>
      <w:bookmarkEnd w:id="592"/>
      <w:bookmarkEnd w:id="593"/>
      <w:bookmarkEnd w:id="599"/>
    </w:p>
    <w:p w14:paraId="33FB6BD8">
      <w:pPr>
        <w:keepNext/>
        <w:keepLines/>
        <w:spacing w:before="164" w:after="164" w:line="360" w:lineRule="auto"/>
        <w:rPr>
          <w:rFonts w:hint="eastAsia" w:ascii="宋体" w:hAnsi="宋体" w:eastAsia="宋体" w:cs="宋体"/>
          <w:color w:val="auto"/>
          <w:sz w:val="24"/>
          <w:szCs w:val="24"/>
        </w:rPr>
      </w:pPr>
      <w:bookmarkStart w:id="601" w:name="_Toc351203647"/>
      <w:bookmarkStart w:id="602" w:name="_Toc267251483"/>
      <w:bookmarkStart w:id="603" w:name="_Toc267251482"/>
      <w:bookmarkStart w:id="604" w:name="_Toc267251484"/>
      <w:bookmarkStart w:id="605" w:name="_Toc267251485"/>
      <w:bookmarkStart w:id="606" w:name="_Toc267251486"/>
      <w:bookmarkStart w:id="607" w:name="_Toc267251490"/>
      <w:bookmarkStart w:id="608" w:name="_Toc267251489"/>
      <w:bookmarkStart w:id="609" w:name="_Toc267251488"/>
      <w:bookmarkStart w:id="610" w:name="_Toc267251492"/>
      <w:bookmarkStart w:id="611" w:name="_Toc267251494"/>
      <w:bookmarkStart w:id="612" w:name="_Toc267251503"/>
      <w:bookmarkStart w:id="613" w:name="_Toc267251496"/>
      <w:bookmarkStart w:id="614" w:name="_Toc267251497"/>
      <w:bookmarkStart w:id="615" w:name="_Toc267251498"/>
      <w:bookmarkStart w:id="616" w:name="_Toc267251491"/>
      <w:bookmarkStart w:id="617" w:name="_Toc267251493"/>
      <w:bookmarkStart w:id="618" w:name="_Toc267251502"/>
      <w:bookmarkStart w:id="619" w:name="_Toc267251501"/>
      <w:bookmarkStart w:id="620" w:name="_Toc267251495"/>
      <w:bookmarkStart w:id="621" w:name="_Toc267251499"/>
      <w:bookmarkStart w:id="622" w:name="_Toc267251504"/>
      <w:bookmarkStart w:id="623" w:name="_Toc267251506"/>
      <w:bookmarkStart w:id="624" w:name="_Toc267251507"/>
      <w:bookmarkStart w:id="625" w:name="_Toc267251508"/>
      <w:bookmarkStart w:id="626" w:name="_Toc267251510"/>
      <w:bookmarkStart w:id="627" w:name="_Toc267251514"/>
      <w:bookmarkStart w:id="628" w:name="_Toc267251509"/>
      <w:bookmarkStart w:id="629" w:name="_Toc267251511"/>
      <w:bookmarkStart w:id="630" w:name="_Toc267251515"/>
      <w:bookmarkStart w:id="631" w:name="_Toc267251513"/>
      <w:r>
        <w:rPr>
          <w:rFonts w:hint="eastAsia" w:ascii="宋体" w:hAnsi="宋体" w:eastAsia="宋体" w:cs="宋体"/>
          <w:color w:val="auto"/>
          <w:sz w:val="24"/>
          <w:szCs w:val="24"/>
        </w:rPr>
        <w:t>15. 缺陷责任期与保修</w:t>
      </w:r>
      <w:bookmarkEnd w:id="601"/>
    </w:p>
    <w:p w14:paraId="31910FC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15.1 缺陷责任期</w:t>
      </w:r>
      <w:bookmarkEnd w:id="602"/>
    </w:p>
    <w:p w14:paraId="27242A9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缺陷责任期的具体期限：</w:t>
      </w:r>
      <w:r>
        <w:rPr>
          <w:rFonts w:hint="eastAsia" w:ascii="宋体" w:hAnsi="宋体" w:eastAsia="宋体" w:cs="宋体"/>
          <w:color w:val="auto"/>
          <w:sz w:val="24"/>
          <w:szCs w:val="24"/>
          <w:u w:val="single"/>
        </w:rPr>
        <w:t xml:space="preserve"> 2年 </w:t>
      </w:r>
      <w:r>
        <w:rPr>
          <w:rFonts w:hint="eastAsia" w:ascii="宋体" w:hAnsi="宋体" w:eastAsia="宋体" w:cs="宋体"/>
          <w:color w:val="auto"/>
          <w:sz w:val="24"/>
          <w:szCs w:val="24"/>
        </w:rPr>
        <w:t>。</w:t>
      </w:r>
    </w:p>
    <w:p w14:paraId="293B7ABA">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15.2 质量保证金</w:t>
      </w:r>
    </w:p>
    <w:p w14:paraId="16EF303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bookmarkEnd w:id="603"/>
      <w:bookmarkEnd w:id="604"/>
    </w:p>
    <w:p w14:paraId="6B4C1A7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15.3 保修</w:t>
      </w:r>
      <w:bookmarkEnd w:id="605"/>
    </w:p>
    <w:p w14:paraId="72CB3DA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15.3.1 保修责任</w:t>
      </w:r>
    </w:p>
    <w:p w14:paraId="25896E6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工程保修期为：</w:t>
      </w:r>
      <w:r>
        <w:rPr>
          <w:rFonts w:hint="eastAsia" w:ascii="宋体" w:hAnsi="宋体" w:eastAsia="宋体" w:cs="宋体"/>
          <w:color w:val="auto"/>
          <w:sz w:val="24"/>
          <w:szCs w:val="24"/>
          <w:u w:val="single"/>
        </w:rPr>
        <w:t xml:space="preserve"> 地基基础工程、主体结构工程终身，防水5年，其它2年 </w:t>
      </w:r>
      <w:r>
        <w:rPr>
          <w:rFonts w:hint="eastAsia" w:ascii="宋体" w:hAnsi="宋体" w:eastAsia="宋体" w:cs="宋体"/>
          <w:color w:val="auto"/>
          <w:sz w:val="24"/>
          <w:szCs w:val="24"/>
        </w:rPr>
        <w:t>。</w:t>
      </w:r>
    </w:p>
    <w:p w14:paraId="7321848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15.3.2 修复通知</w:t>
      </w:r>
    </w:p>
    <w:p w14:paraId="35646F7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承包人收到保修通知并到达工程现场的合理时间：</w:t>
      </w:r>
      <w:r>
        <w:rPr>
          <w:rFonts w:hint="eastAsia" w:ascii="宋体" w:hAnsi="宋体" w:eastAsia="宋体" w:cs="宋体"/>
          <w:color w:val="auto"/>
          <w:sz w:val="24"/>
          <w:szCs w:val="24"/>
          <w:u w:val="single"/>
        </w:rPr>
        <w:t xml:space="preserve"> 承包人收到保修通知后24小时内到达工程现场</w:t>
      </w:r>
      <w:r>
        <w:rPr>
          <w:rFonts w:hint="eastAsia" w:ascii="宋体" w:hAnsi="宋体" w:eastAsia="宋体" w:cs="宋体"/>
          <w:color w:val="auto"/>
          <w:sz w:val="24"/>
          <w:szCs w:val="24"/>
        </w:rPr>
        <w:t>。</w:t>
      </w:r>
      <w:bookmarkEnd w:id="606"/>
      <w:bookmarkEnd w:id="607"/>
      <w:bookmarkEnd w:id="608"/>
      <w:bookmarkEnd w:id="609"/>
    </w:p>
    <w:p w14:paraId="6DA3679F">
      <w:pPr>
        <w:keepNext/>
        <w:keepLines/>
        <w:spacing w:before="164" w:after="164" w:line="360" w:lineRule="auto"/>
        <w:rPr>
          <w:rFonts w:hint="eastAsia" w:ascii="宋体" w:hAnsi="宋体" w:eastAsia="宋体" w:cs="宋体"/>
          <w:color w:val="auto"/>
          <w:sz w:val="24"/>
          <w:szCs w:val="24"/>
        </w:rPr>
      </w:pPr>
      <w:bookmarkStart w:id="632" w:name="_Toc351203648"/>
      <w:bookmarkStart w:id="633" w:name="_Toc280868717"/>
      <w:bookmarkStart w:id="634" w:name="_Toc280868718"/>
      <w:r>
        <w:rPr>
          <w:rFonts w:hint="eastAsia" w:ascii="宋体" w:hAnsi="宋体" w:eastAsia="宋体" w:cs="宋体"/>
          <w:color w:val="auto"/>
          <w:sz w:val="24"/>
          <w:szCs w:val="24"/>
        </w:rPr>
        <w:t>16. 违约</w:t>
      </w:r>
      <w:bookmarkEnd w:id="632"/>
    </w:p>
    <w:p w14:paraId="55E940C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16.1 发包人违约</w:t>
      </w:r>
    </w:p>
    <w:p w14:paraId="20BED5E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16.1.1 发包人违约的情形</w:t>
      </w:r>
    </w:p>
    <w:p w14:paraId="7B8A8C9C">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发包人违约的其他情形：</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458BCBD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    16.1.2 发包人违约的责任</w:t>
      </w:r>
    </w:p>
    <w:p w14:paraId="30501E8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发包人违约责任的承担方式和计算方法：</w:t>
      </w:r>
    </w:p>
    <w:p w14:paraId="16CACA6D">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(1)因发包人原因未能在计划开工日期前7天内下达开工通知的违约责任：</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w:t>
      </w:r>
    </w:p>
    <w:p w14:paraId="7703B1B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(2)因发包人原因未能按合同约定支付合同价款的违约责任：</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w:t>
      </w:r>
    </w:p>
    <w:p w14:paraId="3E0F56B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(3)发包人违反第10.1款〔变更的范围〕第（2）项约定，自行实施被取消的工作或转由他人实施的违约责任：</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w:t>
      </w:r>
    </w:p>
    <w:p w14:paraId="3AC7115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w:t>
      </w:r>
    </w:p>
    <w:p w14:paraId="3E7237B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(5)因发包人违反合同约定造成暂停施工的违约责任：</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w:t>
      </w:r>
    </w:p>
    <w:p w14:paraId="5B641DF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(6)发包人无正当理由没有在约定期限内发出复工指示，导致承包人无法复工的违约责任：</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w:t>
      </w:r>
    </w:p>
    <w:p w14:paraId="40182DA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(7)其他：</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525D227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14:paraId="4C7BF03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承包人按16.1.1项〔发包人违约的情形〕约定暂停施工满</w:t>
      </w:r>
      <w:r>
        <w:rPr>
          <w:rFonts w:hint="eastAsia" w:ascii="宋体" w:hAnsi="宋体" w:eastAsia="宋体" w:cs="宋体"/>
          <w:color w:val="auto"/>
          <w:sz w:val="24"/>
          <w:szCs w:val="24"/>
          <w:u w:val="single"/>
        </w:rPr>
        <w:t xml:space="preserve">  60  </w:t>
      </w:r>
      <w:r>
        <w:rPr>
          <w:rFonts w:hint="eastAsia" w:ascii="宋体" w:hAnsi="宋体" w:eastAsia="宋体" w:cs="宋体"/>
          <w:color w:val="auto"/>
          <w:sz w:val="24"/>
          <w:szCs w:val="24"/>
        </w:rPr>
        <w:t>天后发包人仍不纠正其违约行为并致使合同目的不能实现的，承包人有权解除合同。</w:t>
      </w:r>
    </w:p>
    <w:p w14:paraId="530EC84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16.2 承包人违约</w:t>
      </w:r>
    </w:p>
    <w:p w14:paraId="497CA89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14:paraId="6F5FDC87">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承包人违约的其他情形：</w:t>
      </w:r>
      <w:r>
        <w:rPr>
          <w:rFonts w:hint="eastAsia" w:ascii="宋体" w:hAnsi="宋体" w:eastAsia="宋体" w:cs="宋体"/>
          <w:color w:val="auto"/>
          <w:sz w:val="24"/>
          <w:szCs w:val="24"/>
          <w:u w:val="single"/>
        </w:rPr>
        <w:t>1、承包人应当按照合同中确定的开工日期开工，承包人承诺每逾期一天，按照合同总价款的万分之二计算，向发包人给付违约金。</w:t>
      </w:r>
    </w:p>
    <w:p w14:paraId="7B717A32">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2、承包人承诺有下列情形之一者，发包人有权要求承包人承担违约责任，赔偿发包人损失，并可以要求解除或终止本合同的一部分或全部：</w:t>
      </w:r>
    </w:p>
    <w:p w14:paraId="34803F40">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超过合同中确定的或发包人要求开工日期达十天（含十天）以上的；</w:t>
      </w:r>
    </w:p>
    <w:p w14:paraId="752D22A2">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承包人有转移资产、抽逃资金、工人及设备数据不足及其它丧失履约能力之情形；</w:t>
      </w:r>
    </w:p>
    <w:p w14:paraId="20D50EAF">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承包人违反本合同任何条款规定，经发包人限期改正而未改正；</w:t>
      </w:r>
    </w:p>
    <w:p w14:paraId="02B48307">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(4)</w:t>
      </w:r>
      <w:r>
        <w:rPr>
          <w:rFonts w:hint="eastAsia" w:ascii="宋体" w:hAnsi="宋体" w:eastAsia="宋体" w:cs="宋体"/>
          <w:color w:val="auto"/>
          <w:sz w:val="24"/>
          <w:szCs w:val="24"/>
          <w:u w:val="single"/>
        </w:rPr>
        <w:t>承包人工作草率、偷工减料、消极怠工或不听从发包人指示，屡教不改；</w:t>
      </w:r>
    </w:p>
    <w:p w14:paraId="3150CD38">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(5)</w:t>
      </w:r>
      <w:r>
        <w:rPr>
          <w:rFonts w:hint="eastAsia" w:ascii="宋体" w:hAnsi="宋体" w:eastAsia="宋体" w:cs="宋体"/>
          <w:color w:val="auto"/>
          <w:sz w:val="24"/>
          <w:szCs w:val="24"/>
          <w:u w:val="single"/>
        </w:rPr>
        <w:t>承包人工程质量不合格，发包人有权要求承包人在限期内无偿修理或者返工、改建，并进行相应经济处罚，如未在限期内完成，发包人有权解除或终止合同；</w:t>
      </w:r>
    </w:p>
    <w:p w14:paraId="6C2ED80F">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(6)</w:t>
      </w:r>
      <w:r>
        <w:rPr>
          <w:rFonts w:hint="eastAsia" w:ascii="宋体" w:hAnsi="宋体" w:eastAsia="宋体" w:cs="宋体"/>
          <w:color w:val="auto"/>
          <w:sz w:val="24"/>
          <w:szCs w:val="24"/>
          <w:u w:val="single"/>
        </w:rPr>
        <w:t>承包人其他违约行为，影响合同目的实现的。</w:t>
      </w:r>
    </w:p>
    <w:p w14:paraId="77D56636">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如本合同经发包人解除或终止，承包人承诺按照发包人的要求妥善做好施工场地的保护和移交工作，按发包人要求将自有机械设备和人员撤出施工场地。发包人有权以任何方式将全部或一部分工程改交他人承揽或施工，对此承包人不得异议﹐且应积极配合发包人办理工程报建等相关项目的变更登记手续。</w:t>
      </w:r>
    </w:p>
    <w:p w14:paraId="607D63E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3、在合同履行过程中，承包人不得以任何理由暂停工程或影响工程进度，只有经发包人书面同意才可顺延工期；非经发包人书面同意，任何事实、指令或文件都不能顺延工期。若承包人擅自停工而影响工程进度，发包人可以有权随时解除合同，并没收承包人的履约保函等各种担保、保证。承包人应立即返还发包人所付之工程、材料款。解除合同后，发包人可以依其认为适当的条件、方式与其它施工单位签约以完成工程，承包人应赔偿发包人因此所受之损失及所增加之费用  </w:t>
      </w:r>
      <w:r>
        <w:rPr>
          <w:rFonts w:hint="eastAsia" w:ascii="宋体" w:hAnsi="宋体" w:eastAsia="宋体" w:cs="宋体"/>
          <w:color w:val="auto"/>
          <w:sz w:val="24"/>
          <w:szCs w:val="24"/>
        </w:rPr>
        <w:t>。</w:t>
      </w:r>
    </w:p>
    <w:p w14:paraId="74B956E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16.2.2 承包人违约的责任</w:t>
      </w:r>
    </w:p>
    <w:p w14:paraId="6FEA5702">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承包人违约责任的承担方式和计算方法：</w:t>
      </w:r>
      <w:r>
        <w:rPr>
          <w:rFonts w:hint="eastAsia" w:ascii="宋体" w:hAnsi="宋体" w:eastAsia="宋体" w:cs="宋体"/>
          <w:color w:val="auto"/>
          <w:sz w:val="24"/>
          <w:szCs w:val="24"/>
          <w:u w:val="single"/>
        </w:rPr>
        <w:t>1、发包人有权要求解除合同，并由承包人承担由此引起的一切损失，并负责由此引起的一切法律责任，并赔偿由此引起的发包人的一切经济损失。</w:t>
      </w:r>
    </w:p>
    <w:p w14:paraId="39FE3AE0">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2、工期每延期一天，罚款合同总价的5‰ 。</w:t>
      </w:r>
    </w:p>
    <w:p w14:paraId="5CEA19A3">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3、承包人确保达到投标时承诺的质量标准，否则赔偿合同总价的2%。</w:t>
      </w:r>
    </w:p>
    <w:p w14:paraId="3632652F">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4、承包人若发生重大安全、质量事故，除按有关规定执行外所增加的费用，由承包人承担。对因此而引起的工期延误等给发包方造成的损失承包人应承担赔偿责任。对质量问题，承包人必须采取措施，达到设计要求  </w:t>
      </w:r>
      <w:r>
        <w:rPr>
          <w:rFonts w:hint="eastAsia" w:ascii="宋体" w:hAnsi="宋体" w:eastAsia="宋体" w:cs="宋体"/>
          <w:color w:val="auto"/>
          <w:sz w:val="24"/>
          <w:szCs w:val="24"/>
        </w:rPr>
        <w:t xml:space="preserve">。    </w:t>
      </w:r>
    </w:p>
    <w:p w14:paraId="1B325D8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14:paraId="0527FD8E">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关于承包人违约解除合同的特别约定：</w:t>
      </w:r>
      <w:r>
        <w:rPr>
          <w:rFonts w:hint="eastAsia" w:ascii="宋体" w:hAnsi="宋体" w:eastAsia="宋体" w:cs="宋体"/>
          <w:color w:val="auto"/>
          <w:sz w:val="24"/>
          <w:szCs w:val="24"/>
          <w:u w:val="single"/>
        </w:rPr>
        <w:t xml:space="preserve">工期延误达10天以上，发包人有权解除合同，合同的解除不免除承包人按照本条款的约定承担工期延误违约责任。如果承包人借故拖延工程进度、导致工程停工超过15日，发包人有权更换施工单位，并且由此造成的一切损失（包括但不限于重新招标费用、重新招 标的中标价与原中标价的价差、工期延误等）均由承包人负责赔偿。所有违约金和赔偿金的支付不减轻承包人合同项下的任何责任和义  </w:t>
      </w:r>
      <w:r>
        <w:rPr>
          <w:rFonts w:hint="eastAsia" w:ascii="宋体" w:hAnsi="宋体" w:eastAsia="宋体" w:cs="宋体"/>
          <w:color w:val="auto"/>
          <w:sz w:val="24"/>
          <w:szCs w:val="24"/>
        </w:rPr>
        <w:t>。</w:t>
      </w:r>
    </w:p>
    <w:p w14:paraId="5E19A77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u w:val="single"/>
        </w:rPr>
        <w:t xml:space="preserve">  另行协商  </w:t>
      </w:r>
      <w:r>
        <w:rPr>
          <w:rFonts w:hint="eastAsia" w:ascii="宋体" w:hAnsi="宋体" w:eastAsia="宋体" w:cs="宋体"/>
          <w:color w:val="auto"/>
          <w:sz w:val="24"/>
          <w:szCs w:val="24"/>
        </w:rPr>
        <w:t>。</w:t>
      </w:r>
    </w:p>
    <w:p w14:paraId="35A5942E">
      <w:pPr>
        <w:keepNext/>
        <w:keepLines/>
        <w:spacing w:before="164" w:after="164" w:line="360" w:lineRule="auto"/>
        <w:rPr>
          <w:rFonts w:hint="eastAsia" w:ascii="宋体" w:hAnsi="宋体" w:eastAsia="宋体" w:cs="宋体"/>
          <w:color w:val="auto"/>
          <w:sz w:val="24"/>
          <w:szCs w:val="24"/>
        </w:rPr>
      </w:pPr>
      <w:bookmarkStart w:id="635" w:name="_Toc351203649"/>
      <w:r>
        <w:rPr>
          <w:rFonts w:hint="eastAsia" w:ascii="宋体" w:hAnsi="宋体" w:eastAsia="宋体" w:cs="宋体"/>
          <w:color w:val="auto"/>
          <w:sz w:val="24"/>
          <w:szCs w:val="24"/>
        </w:rPr>
        <w:t>17. 不可抗力</w:t>
      </w:r>
      <w:bookmarkEnd w:id="633"/>
      <w:bookmarkEnd w:id="635"/>
    </w:p>
    <w:p w14:paraId="7F31C80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17.1 不可抗力的确认</w:t>
      </w:r>
    </w:p>
    <w:p w14:paraId="441C1C00">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除通用合同条款约定的不可抗力事件之外，视为不可抗力的其他情形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执行通用条款</w:t>
      </w:r>
      <w:r>
        <w:rPr>
          <w:rFonts w:hint="eastAsia" w:ascii="宋体" w:hAnsi="宋体" w:eastAsia="宋体" w:cs="宋体"/>
          <w:color w:val="auto"/>
          <w:sz w:val="24"/>
          <w:szCs w:val="24"/>
        </w:rPr>
        <w:t>。</w:t>
      </w:r>
    </w:p>
    <w:p w14:paraId="456CBB2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17.4 因不可抗力解除合同</w:t>
      </w:r>
    </w:p>
    <w:p w14:paraId="2EFD426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合同解除后，发包人应在商定或确定发包人应支付款项后</w:t>
      </w:r>
      <w:r>
        <w:rPr>
          <w:rFonts w:hint="eastAsia" w:ascii="宋体" w:hAnsi="宋体" w:eastAsia="宋体" w:cs="宋体"/>
          <w:color w:val="auto"/>
          <w:sz w:val="24"/>
          <w:szCs w:val="24"/>
          <w:u w:val="single"/>
        </w:rPr>
        <w:t xml:space="preserve">  60  </w:t>
      </w:r>
      <w:r>
        <w:rPr>
          <w:rFonts w:hint="eastAsia" w:ascii="宋体" w:hAnsi="宋体" w:eastAsia="宋体" w:cs="宋体"/>
          <w:color w:val="auto"/>
          <w:sz w:val="24"/>
          <w:szCs w:val="24"/>
        </w:rPr>
        <w:t>天内完成款项的支付。</w:t>
      </w:r>
    </w:p>
    <w:p w14:paraId="7D34DADB">
      <w:pPr>
        <w:keepNext/>
        <w:keepLines/>
        <w:spacing w:before="164" w:after="164" w:line="360" w:lineRule="auto"/>
        <w:rPr>
          <w:rFonts w:hint="eastAsia" w:ascii="宋体" w:hAnsi="宋体" w:eastAsia="宋体" w:cs="宋体"/>
          <w:color w:val="auto"/>
          <w:sz w:val="24"/>
          <w:szCs w:val="24"/>
        </w:rPr>
      </w:pPr>
      <w:bookmarkStart w:id="636" w:name="_Toc351203650"/>
      <w:r>
        <w:rPr>
          <w:rFonts w:hint="eastAsia" w:ascii="宋体" w:hAnsi="宋体" w:eastAsia="宋体" w:cs="宋体"/>
          <w:color w:val="auto"/>
          <w:sz w:val="24"/>
          <w:szCs w:val="24"/>
        </w:rPr>
        <w:t>18. 保险</w:t>
      </w:r>
      <w:bookmarkEnd w:id="634"/>
      <w:bookmarkEnd w:id="636"/>
    </w:p>
    <w:p w14:paraId="0822CBB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18.1 工程保险</w:t>
      </w:r>
    </w:p>
    <w:p w14:paraId="057A0F0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关于工程保险的特别约定：</w:t>
      </w:r>
      <w:r>
        <w:rPr>
          <w:rFonts w:hint="eastAsia" w:ascii="宋体" w:hAnsi="宋体" w:eastAsia="宋体" w:cs="宋体"/>
          <w:color w:val="auto"/>
          <w:sz w:val="24"/>
          <w:szCs w:val="24"/>
          <w:u w:val="single"/>
        </w:rPr>
        <w:t xml:space="preserve">  承包人应按照国家强制性规定和自身需要，以承包人或承包人和发包人共同名义投保有关险种，所需费用包含在投标报价中 </w:t>
      </w:r>
      <w:r>
        <w:rPr>
          <w:rFonts w:hint="eastAsia" w:ascii="宋体" w:hAnsi="宋体" w:eastAsia="宋体" w:cs="宋体"/>
          <w:color w:val="auto"/>
          <w:sz w:val="24"/>
          <w:szCs w:val="24"/>
        </w:rPr>
        <w:t>。</w:t>
      </w:r>
    </w:p>
    <w:p w14:paraId="6356C5B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18.3 其他保险</w:t>
      </w:r>
    </w:p>
    <w:p w14:paraId="28B3CEA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关于其他保险的约定：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63BD7F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承包人是否应为其施工设备等办理财产保险：</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D67C72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18.4 通知义务</w:t>
      </w:r>
    </w:p>
    <w:p w14:paraId="4A75737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关于变更保险合同时的通知义务的约定：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bookmarkEnd w:id="610"/>
      <w:bookmarkEnd w:id="611"/>
      <w:bookmarkEnd w:id="612"/>
      <w:bookmarkEnd w:id="613"/>
      <w:bookmarkEnd w:id="614"/>
      <w:bookmarkEnd w:id="615"/>
      <w:bookmarkEnd w:id="616"/>
      <w:bookmarkEnd w:id="617"/>
      <w:bookmarkEnd w:id="618"/>
      <w:bookmarkEnd w:id="619"/>
      <w:bookmarkEnd w:id="620"/>
      <w:bookmarkEnd w:id="621"/>
    </w:p>
    <w:p w14:paraId="2676A245">
      <w:pPr>
        <w:keepNext/>
        <w:keepLines/>
        <w:spacing w:before="164" w:after="164" w:line="360" w:lineRule="auto"/>
        <w:rPr>
          <w:rFonts w:hint="eastAsia" w:ascii="宋体" w:hAnsi="宋体" w:eastAsia="宋体" w:cs="宋体"/>
          <w:color w:val="auto"/>
          <w:sz w:val="24"/>
          <w:szCs w:val="24"/>
        </w:rPr>
      </w:pPr>
      <w:bookmarkStart w:id="637" w:name="_Toc351203651"/>
      <w:r>
        <w:rPr>
          <w:rFonts w:hint="eastAsia" w:ascii="宋体" w:hAnsi="宋体" w:eastAsia="宋体" w:cs="宋体"/>
          <w:color w:val="auto"/>
          <w:sz w:val="24"/>
          <w:szCs w:val="24"/>
        </w:rPr>
        <w:t>19. 争议解决</w:t>
      </w:r>
      <w:bookmarkEnd w:id="622"/>
      <w:bookmarkEnd w:id="623"/>
      <w:bookmarkEnd w:id="637"/>
    </w:p>
    <w:p w14:paraId="72FD02B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19.1 争</w:t>
      </w:r>
      <w:bookmarkEnd w:id="624"/>
      <w:r>
        <w:rPr>
          <w:rFonts w:hint="eastAsia" w:ascii="宋体" w:hAnsi="宋体" w:eastAsia="宋体" w:cs="宋体"/>
          <w:color w:val="auto"/>
          <w:sz w:val="24"/>
          <w:szCs w:val="24"/>
        </w:rPr>
        <w:t>议评审</w:t>
      </w:r>
    </w:p>
    <w:p w14:paraId="41A4FDE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合同当事人是否同意将工程争议提交争议评审小组决定：。  </w:t>
      </w:r>
    </w:p>
    <w:p w14:paraId="5B020FC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19.1.1 争议评审小组的确定</w:t>
      </w:r>
    </w:p>
    <w:p w14:paraId="21B3AFF3">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争议评审小组成员的确定：</w:t>
      </w:r>
      <w:r>
        <w:rPr>
          <w:rFonts w:hint="eastAsia" w:ascii="宋体" w:hAnsi="宋体" w:eastAsia="宋体" w:cs="宋体"/>
          <w:color w:val="auto"/>
          <w:sz w:val="24"/>
          <w:szCs w:val="24"/>
          <w:u w:val="single"/>
        </w:rPr>
        <w:t xml:space="preserve">       不提交        </w:t>
      </w:r>
      <w:r>
        <w:rPr>
          <w:rFonts w:hint="eastAsia" w:ascii="宋体" w:hAnsi="宋体" w:eastAsia="宋体" w:cs="宋体"/>
          <w:color w:val="auto"/>
          <w:sz w:val="24"/>
          <w:szCs w:val="24"/>
        </w:rPr>
        <w:t>。</w:t>
      </w:r>
    </w:p>
    <w:p w14:paraId="56B44AE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3B3480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争议评审小组成员的报酬承担方式：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229C14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7DFAFCC">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19.1.2 争议评审小组的决定</w:t>
      </w:r>
    </w:p>
    <w:p w14:paraId="053D46A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合同当事人关于本项的约定：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8609674">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19.2 仲裁或诉讼</w:t>
      </w:r>
      <w:bookmarkEnd w:id="625"/>
    </w:p>
    <w:p w14:paraId="5264D44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因合同及合同有关事项发生的争议，按下列第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种方式解决：</w:t>
      </w:r>
    </w:p>
    <w:p w14:paraId="2CDB9CF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(1)向仲裁委员会申请仲裁；</w:t>
      </w:r>
    </w:p>
    <w:p w14:paraId="5173600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新沂市  </w:t>
      </w:r>
      <w:r>
        <w:rPr>
          <w:rFonts w:hint="eastAsia" w:ascii="宋体" w:hAnsi="宋体" w:eastAsia="宋体" w:cs="宋体"/>
          <w:color w:val="auto"/>
          <w:sz w:val="24"/>
          <w:szCs w:val="24"/>
        </w:rPr>
        <w:t>人民法院起诉。</w:t>
      </w:r>
      <w:bookmarkEnd w:id="626"/>
      <w:bookmarkEnd w:id="627"/>
      <w:bookmarkEnd w:id="628"/>
      <w:bookmarkEnd w:id="629"/>
      <w:bookmarkEnd w:id="630"/>
      <w:bookmarkEnd w:id="631"/>
      <w:bookmarkStart w:id="638" w:name="_Toc358569763"/>
    </w:p>
    <w:p w14:paraId="036D5A67">
      <w:pPr>
        <w:pStyle w:val="335"/>
        <w:keepNext w:val="0"/>
        <w:keepLines w:val="0"/>
        <w:widowControl/>
        <w:spacing w:before="0" w:after="0" w:line="360" w:lineRule="auto"/>
        <w:outlineLvl w:val="9"/>
        <w:rPr>
          <w:rFonts w:hint="eastAsia" w:ascii="宋体" w:hAnsi="宋体" w:eastAsia="宋体" w:cs="宋体"/>
          <w:color w:val="auto"/>
          <w:sz w:val="24"/>
          <w:szCs w:val="24"/>
        </w:rPr>
      </w:pPr>
      <w:bookmarkStart w:id="639" w:name="_Toc25273"/>
      <w:bookmarkStart w:id="640" w:name="_Toc2511"/>
    </w:p>
    <w:p w14:paraId="4C0AAEB9">
      <w:pPr>
        <w:pStyle w:val="18"/>
        <w:ind w:left="0" w:firstLine="0"/>
        <w:rPr>
          <w:rFonts w:hint="eastAsia" w:ascii="宋体" w:hAnsi="宋体" w:eastAsia="宋体" w:cs="宋体"/>
          <w:color w:val="auto"/>
          <w:sz w:val="24"/>
          <w:szCs w:val="24"/>
        </w:rPr>
      </w:pPr>
    </w:p>
    <w:p w14:paraId="42C71D27">
      <w:pPr>
        <w:rPr>
          <w:rFonts w:hint="eastAsia" w:ascii="宋体" w:hAnsi="宋体" w:eastAsia="宋体" w:cs="宋体"/>
          <w:color w:val="auto"/>
          <w:sz w:val="24"/>
          <w:szCs w:val="24"/>
        </w:rPr>
      </w:pPr>
    </w:p>
    <w:p w14:paraId="29158079">
      <w:pPr>
        <w:pStyle w:val="236"/>
        <w:rPr>
          <w:rFonts w:hint="eastAsia" w:ascii="宋体" w:hAnsi="宋体" w:eastAsia="宋体" w:cs="宋体"/>
          <w:color w:val="auto"/>
          <w:sz w:val="24"/>
          <w:szCs w:val="24"/>
        </w:rPr>
      </w:pPr>
    </w:p>
    <w:p w14:paraId="552E27E2">
      <w:pPr>
        <w:rPr>
          <w:rFonts w:hint="eastAsia" w:ascii="宋体" w:hAnsi="宋体" w:eastAsia="宋体" w:cs="宋体"/>
          <w:color w:val="auto"/>
          <w:sz w:val="24"/>
          <w:szCs w:val="24"/>
        </w:rPr>
      </w:pPr>
    </w:p>
    <w:p w14:paraId="02DAEAE9">
      <w:pPr>
        <w:pStyle w:val="236"/>
        <w:rPr>
          <w:rFonts w:hint="eastAsia"/>
        </w:rPr>
      </w:pPr>
    </w:p>
    <w:p w14:paraId="1EF60B5B">
      <w:pPr>
        <w:rPr>
          <w:rFonts w:hint="eastAsia"/>
        </w:rPr>
      </w:pPr>
    </w:p>
    <w:p w14:paraId="2FDAECA2">
      <w:pPr>
        <w:rPr>
          <w:rFonts w:hint="eastAsia"/>
        </w:rPr>
      </w:pPr>
    </w:p>
    <w:p w14:paraId="39D5E758">
      <w:pPr>
        <w:pStyle w:val="335"/>
        <w:keepNext w:val="0"/>
        <w:keepLines w:val="0"/>
        <w:widowControl/>
        <w:spacing w:before="0" w:after="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专用合同条件附件</w:t>
      </w:r>
      <w:bookmarkEnd w:id="639"/>
      <w:bookmarkEnd w:id="640"/>
    </w:p>
    <w:p w14:paraId="22FCD18E">
      <w:pPr>
        <w:rPr>
          <w:rFonts w:hint="eastAsia" w:ascii="宋体" w:hAnsi="宋体" w:eastAsia="宋体" w:cs="宋体"/>
          <w:color w:val="auto"/>
          <w:sz w:val="24"/>
          <w:szCs w:val="24"/>
        </w:rPr>
      </w:pPr>
    </w:p>
    <w:p w14:paraId="3F49F79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附件1：工程质量保修书</w:t>
      </w:r>
    </w:p>
    <w:p w14:paraId="781E18A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附件2：主要建设工程文件目录</w:t>
      </w:r>
    </w:p>
    <w:p w14:paraId="7BF5C6C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附件3：承包人主要管理人员表</w:t>
      </w:r>
    </w:p>
    <w:p w14:paraId="610C842E">
      <w:pPr>
        <w:pStyle w:val="337"/>
        <w:outlineLvl w:val="9"/>
        <w:rPr>
          <w:rFonts w:hint="eastAsia" w:ascii="宋体" w:hAnsi="宋体" w:eastAsia="宋体" w:cs="宋体"/>
          <w:color w:val="auto"/>
          <w:sz w:val="24"/>
          <w:szCs w:val="24"/>
        </w:rPr>
      </w:pPr>
      <w:bookmarkStart w:id="641" w:name="_Toc20171895"/>
      <w:bookmarkStart w:id="642" w:name="_Toc32488"/>
      <w:r>
        <w:rPr>
          <w:rFonts w:hint="eastAsia" w:ascii="宋体" w:hAnsi="宋体" w:eastAsia="宋体" w:cs="宋体"/>
          <w:color w:val="auto"/>
          <w:sz w:val="24"/>
          <w:szCs w:val="24"/>
        </w:rPr>
        <w:br w:type="page" w:clear="all"/>
      </w:r>
      <w:r>
        <w:rPr>
          <w:rFonts w:hint="eastAsia" w:ascii="宋体" w:hAnsi="宋体" w:eastAsia="宋体" w:cs="宋体"/>
          <w:color w:val="auto"/>
          <w:sz w:val="24"/>
          <w:szCs w:val="24"/>
        </w:rPr>
        <w:t>附件1  工程质量保修书</w:t>
      </w:r>
      <w:bookmarkEnd w:id="641"/>
      <w:bookmarkEnd w:id="642"/>
    </w:p>
    <w:p w14:paraId="0F2FC8B0">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发包人（全称）：</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新沂市时集镇人民政府</w:t>
      </w:r>
    </w:p>
    <w:p w14:paraId="5A3EC0C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承包人（全称）：</w:t>
      </w:r>
    </w:p>
    <w:p w14:paraId="13BC94A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发包人和承包人根据《中华人民共和国建筑法》和《建设工程质量管理条例》，经协商一致就（工程全称）订立工程质量保修书。</w:t>
      </w:r>
    </w:p>
    <w:p w14:paraId="5AF35E2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一、工程质量保修范围和内容</w:t>
      </w:r>
    </w:p>
    <w:p w14:paraId="5F861898">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承包人在质量保修期内，按照有关法律规定和合同约定，承担工程质量保修责任。</w:t>
      </w:r>
    </w:p>
    <w:p w14:paraId="3B8BE5F2">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C48295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二、质量保修期</w:t>
      </w:r>
    </w:p>
    <w:p w14:paraId="48D6656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根据《建设工程质量管理条例》及有关规定，工程的质量保修期如下：</w:t>
      </w:r>
    </w:p>
    <w:p w14:paraId="32F62ED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1．地基基础工程和主体结构工程为设计文件规定的工程合理使用年限；</w:t>
      </w:r>
    </w:p>
    <w:p w14:paraId="7E12AA8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2．屋面防水工程、有防水要求的卫生间、房间和外墙面的防渗为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年；</w:t>
      </w:r>
    </w:p>
    <w:p w14:paraId="5BF7151F">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3．装修工程为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年；</w:t>
      </w:r>
    </w:p>
    <w:p w14:paraId="6511D76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4．电气管线、给排水管道、设备安装工程为</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年；</w:t>
      </w:r>
    </w:p>
    <w:p w14:paraId="4D784D3B">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5．供热与供冷系统为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个采暖期、供冷期；</w:t>
      </w:r>
    </w:p>
    <w:p w14:paraId="6A1417B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6．住宅小区内的给排水设施、道路等配套工程为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年；</w:t>
      </w:r>
    </w:p>
    <w:p w14:paraId="48D3C69D">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7．其他项目保修期限约定如下：。</w:t>
      </w:r>
    </w:p>
    <w:p w14:paraId="1DDC75C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质量保修期自工程竣工验收合格之日起计算。</w:t>
      </w:r>
    </w:p>
    <w:p w14:paraId="28636EF3">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三、缺陷责任期</w:t>
      </w:r>
    </w:p>
    <w:p w14:paraId="4DD31F5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工程缺陷责任期为</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个月，缺陷责任期自工程通过竣工验收之日起计算。单位/区段工程先于全部工程进行验收，单位/区段工程缺陷责任期自单位/区段工程验收合格之日起算。</w:t>
      </w:r>
    </w:p>
    <w:p w14:paraId="7227E345">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四、质量保修责任</w:t>
      </w:r>
    </w:p>
    <w:p w14:paraId="2B465517">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1．属于保修范围、内容的项目，承包人应当在接到保修通知之日起7天内派人保修。承包人不在约定期限内派人保修的，发包人可以委托他人修理。</w:t>
      </w:r>
    </w:p>
    <w:p w14:paraId="2212AA4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2．发生紧急事故需抢修的，承包人在接到事故通知后，应当立即到达事故现场抢修。</w:t>
      </w:r>
    </w:p>
    <w:p w14:paraId="6AA293A0">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7D8ED45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43317229">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五、保修费用</w:t>
      </w:r>
    </w:p>
    <w:p w14:paraId="7E3C8F16">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14:paraId="4E8C0699">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六、双方约定的其他工程质量保修事项：。</w:t>
      </w:r>
    </w:p>
    <w:p w14:paraId="3FBEFC61">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工程质量保修书由发包人、承包人在工程竣工验收前共同签署，作为工程总承包合同附件，其有效期限至保修期满。</w:t>
      </w:r>
    </w:p>
    <w:p w14:paraId="7E186C91">
      <w:pPr>
        <w:spacing w:line="360" w:lineRule="auto"/>
        <w:ind w:firstLine="420"/>
        <w:rPr>
          <w:rFonts w:hint="eastAsia" w:ascii="宋体" w:hAnsi="宋体" w:eastAsia="宋体" w:cs="宋体"/>
          <w:color w:val="auto"/>
          <w:sz w:val="24"/>
          <w:szCs w:val="24"/>
        </w:rPr>
      </w:pPr>
    </w:p>
    <w:p w14:paraId="22FAB54C">
      <w:pPr>
        <w:pStyle w:val="334"/>
        <w:rPr>
          <w:rFonts w:hint="eastAsia" w:ascii="宋体" w:hAnsi="宋体" w:eastAsia="宋体" w:cs="宋体"/>
          <w:color w:val="auto"/>
          <w:sz w:val="24"/>
          <w:szCs w:val="24"/>
        </w:rPr>
      </w:pPr>
    </w:p>
    <w:p w14:paraId="16575F09">
      <w:pPr>
        <w:spacing w:after="16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发包人(公章)：                           承包人(公章)：          </w:t>
      </w:r>
    </w:p>
    <w:p w14:paraId="12A6639C">
      <w:pPr>
        <w:spacing w:after="16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  址：                                 地  址：       </w:t>
      </w:r>
    </w:p>
    <w:p w14:paraId="3E832072">
      <w:pPr>
        <w:spacing w:after="16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法定代表人(签字)：                       法定代表人(签字)：       </w:t>
      </w:r>
    </w:p>
    <w:p w14:paraId="4A954197">
      <w:pPr>
        <w:spacing w:after="16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委托代理人(签字)：                       委托代理人(签字)：       </w:t>
      </w:r>
    </w:p>
    <w:p w14:paraId="226F6D89">
      <w:pPr>
        <w:spacing w:after="16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                                 电  话：</w:t>
      </w:r>
    </w:p>
    <w:p w14:paraId="5C69959F">
      <w:pPr>
        <w:spacing w:after="16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传  真：                                 传  真：  </w:t>
      </w:r>
    </w:p>
    <w:p w14:paraId="1E061685">
      <w:pPr>
        <w:spacing w:after="16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14:paraId="6A2E679B">
      <w:pPr>
        <w:spacing w:after="16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账  号：                                 账  号： </w:t>
      </w:r>
    </w:p>
    <w:p w14:paraId="4C715E01">
      <w:pPr>
        <w:spacing w:after="16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14:paraId="27BAC24B">
      <w:pPr>
        <w:pStyle w:val="337"/>
        <w:outlineLvl w:val="9"/>
        <w:rPr>
          <w:rFonts w:hint="eastAsia" w:ascii="宋体" w:hAnsi="宋体" w:eastAsia="宋体" w:cs="宋体"/>
          <w:color w:val="auto"/>
          <w:sz w:val="24"/>
          <w:szCs w:val="24"/>
        </w:rPr>
      </w:pPr>
      <w:bookmarkStart w:id="643" w:name="_Toc20171896"/>
      <w:bookmarkStart w:id="644" w:name="_Toc9101"/>
    </w:p>
    <w:p w14:paraId="7569EBAC">
      <w:pPr>
        <w:rPr>
          <w:rFonts w:hint="eastAsia" w:ascii="宋体" w:hAnsi="宋体" w:eastAsia="宋体" w:cs="宋体"/>
          <w:color w:val="auto"/>
          <w:sz w:val="24"/>
          <w:szCs w:val="24"/>
        </w:rPr>
      </w:pPr>
    </w:p>
    <w:p w14:paraId="16B5F0EB">
      <w:pPr>
        <w:pStyle w:val="337"/>
        <w:outlineLvl w:val="9"/>
        <w:rPr>
          <w:rFonts w:hint="eastAsia" w:ascii="宋体" w:hAnsi="宋体" w:eastAsia="宋体" w:cs="宋体"/>
          <w:color w:val="auto"/>
          <w:sz w:val="24"/>
          <w:szCs w:val="24"/>
        </w:rPr>
      </w:pPr>
    </w:p>
    <w:p w14:paraId="67F81F78">
      <w:pPr>
        <w:rPr>
          <w:rFonts w:hint="eastAsia" w:ascii="宋体" w:hAnsi="宋体" w:eastAsia="宋体" w:cs="宋体"/>
          <w:color w:val="auto"/>
        </w:rPr>
      </w:pPr>
    </w:p>
    <w:p w14:paraId="569F179B">
      <w:pPr>
        <w:pStyle w:val="337"/>
        <w:outlineLvl w:val="9"/>
        <w:rPr>
          <w:rFonts w:hint="eastAsia" w:ascii="宋体" w:hAnsi="宋体" w:eastAsia="宋体" w:cs="宋体"/>
          <w:color w:val="auto"/>
          <w:sz w:val="24"/>
          <w:szCs w:val="24"/>
        </w:rPr>
      </w:pPr>
      <w:r>
        <w:rPr>
          <w:rFonts w:hint="eastAsia" w:ascii="宋体" w:hAnsi="宋体" w:eastAsia="宋体" w:cs="宋体"/>
          <w:color w:val="auto"/>
          <w:sz w:val="24"/>
          <w:szCs w:val="24"/>
        </w:rPr>
        <w:t>附件2  主要建设工程文件目录</w:t>
      </w:r>
      <w:bookmarkEnd w:id="643"/>
      <w:bookmarkEnd w:id="644"/>
    </w:p>
    <w:tbl>
      <w:tblPr>
        <w:tblStyle w:val="3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373A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B5C6C21">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文件名称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A2E9B0F">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套数</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1ECD9B7">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费用（元）</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10AC3045">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0734E5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移交时间</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16CD5C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责任人</w:t>
            </w:r>
          </w:p>
        </w:tc>
      </w:tr>
      <w:tr w14:paraId="4F3E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9F2884F">
            <w:pPr>
              <w:pStyle w:val="2"/>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FC1370B">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552236C">
            <w:pPr>
              <w:pStyle w:val="2"/>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2D687C33">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02D4D8C">
            <w:pPr>
              <w:pStyle w:val="2"/>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596AE5D">
            <w:pPr>
              <w:pStyle w:val="2"/>
              <w:jc w:val="center"/>
              <w:rPr>
                <w:rFonts w:hint="eastAsia" w:ascii="宋体" w:hAnsi="宋体" w:eastAsia="宋体" w:cs="宋体"/>
                <w:color w:val="auto"/>
                <w:sz w:val="24"/>
                <w:szCs w:val="24"/>
              </w:rPr>
            </w:pPr>
          </w:p>
        </w:tc>
      </w:tr>
      <w:tr w14:paraId="34D7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F2E1272">
            <w:pPr>
              <w:pStyle w:val="2"/>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FFE5C2">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7898674">
            <w:pPr>
              <w:pStyle w:val="2"/>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A3DE275">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46C795D">
            <w:pPr>
              <w:pStyle w:val="2"/>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3D685B7">
            <w:pPr>
              <w:pStyle w:val="2"/>
              <w:jc w:val="center"/>
              <w:rPr>
                <w:rFonts w:hint="eastAsia" w:ascii="宋体" w:hAnsi="宋体" w:eastAsia="宋体" w:cs="宋体"/>
                <w:color w:val="auto"/>
                <w:sz w:val="24"/>
                <w:szCs w:val="24"/>
              </w:rPr>
            </w:pPr>
          </w:p>
        </w:tc>
      </w:tr>
      <w:tr w14:paraId="75D9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1B40BFA">
            <w:pPr>
              <w:pStyle w:val="2"/>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43854D5">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BA68E91">
            <w:pPr>
              <w:pStyle w:val="2"/>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53C6B9AF">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BFE13DE">
            <w:pPr>
              <w:pStyle w:val="2"/>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101DEF4">
            <w:pPr>
              <w:pStyle w:val="2"/>
              <w:jc w:val="center"/>
              <w:rPr>
                <w:rFonts w:hint="eastAsia" w:ascii="宋体" w:hAnsi="宋体" w:eastAsia="宋体" w:cs="宋体"/>
                <w:color w:val="auto"/>
                <w:sz w:val="24"/>
                <w:szCs w:val="24"/>
              </w:rPr>
            </w:pPr>
          </w:p>
        </w:tc>
      </w:tr>
      <w:tr w14:paraId="75FF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E48FC34">
            <w:pPr>
              <w:pStyle w:val="2"/>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CFEE0B">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46BACFB">
            <w:pPr>
              <w:pStyle w:val="2"/>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39FE55A">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9842BF4">
            <w:pPr>
              <w:pStyle w:val="2"/>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A95E2F7">
            <w:pPr>
              <w:pStyle w:val="2"/>
              <w:jc w:val="center"/>
              <w:rPr>
                <w:rFonts w:hint="eastAsia" w:ascii="宋体" w:hAnsi="宋体" w:eastAsia="宋体" w:cs="宋体"/>
                <w:color w:val="auto"/>
                <w:sz w:val="24"/>
                <w:szCs w:val="24"/>
              </w:rPr>
            </w:pPr>
          </w:p>
        </w:tc>
      </w:tr>
      <w:tr w14:paraId="0B92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97F2CEA">
            <w:pPr>
              <w:pStyle w:val="2"/>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46E64FB">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70280F7">
            <w:pPr>
              <w:pStyle w:val="2"/>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14316E11">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2A194B6">
            <w:pPr>
              <w:pStyle w:val="2"/>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C42F321">
            <w:pPr>
              <w:pStyle w:val="2"/>
              <w:jc w:val="center"/>
              <w:rPr>
                <w:rFonts w:hint="eastAsia" w:ascii="宋体" w:hAnsi="宋体" w:eastAsia="宋体" w:cs="宋体"/>
                <w:color w:val="auto"/>
                <w:sz w:val="24"/>
                <w:szCs w:val="24"/>
              </w:rPr>
            </w:pPr>
          </w:p>
        </w:tc>
      </w:tr>
      <w:tr w14:paraId="4C68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87183CB">
            <w:pPr>
              <w:pStyle w:val="2"/>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6A5386C">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856D015">
            <w:pPr>
              <w:pStyle w:val="2"/>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3E10BDBA">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B8C3F7D">
            <w:pPr>
              <w:pStyle w:val="2"/>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27AE0B0">
            <w:pPr>
              <w:pStyle w:val="2"/>
              <w:jc w:val="center"/>
              <w:rPr>
                <w:rFonts w:hint="eastAsia" w:ascii="宋体" w:hAnsi="宋体" w:eastAsia="宋体" w:cs="宋体"/>
                <w:color w:val="auto"/>
                <w:sz w:val="24"/>
                <w:szCs w:val="24"/>
              </w:rPr>
            </w:pPr>
          </w:p>
        </w:tc>
      </w:tr>
      <w:tr w14:paraId="2AB1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BE721EF">
            <w:pPr>
              <w:pStyle w:val="2"/>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5189B96">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64813BE">
            <w:pPr>
              <w:pStyle w:val="2"/>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5BDADCD0">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42ACB0C">
            <w:pPr>
              <w:pStyle w:val="2"/>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CD3E60E">
            <w:pPr>
              <w:pStyle w:val="2"/>
              <w:jc w:val="center"/>
              <w:rPr>
                <w:rFonts w:hint="eastAsia" w:ascii="宋体" w:hAnsi="宋体" w:eastAsia="宋体" w:cs="宋体"/>
                <w:color w:val="auto"/>
                <w:sz w:val="24"/>
                <w:szCs w:val="24"/>
              </w:rPr>
            </w:pPr>
          </w:p>
        </w:tc>
      </w:tr>
      <w:tr w14:paraId="7030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8D72668">
            <w:pPr>
              <w:pStyle w:val="2"/>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FE8E1D">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A853EB3">
            <w:pPr>
              <w:pStyle w:val="2"/>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1EC5A3BC">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945776B">
            <w:pPr>
              <w:pStyle w:val="2"/>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3AE7667">
            <w:pPr>
              <w:pStyle w:val="2"/>
              <w:jc w:val="center"/>
              <w:rPr>
                <w:rFonts w:hint="eastAsia" w:ascii="宋体" w:hAnsi="宋体" w:eastAsia="宋体" w:cs="宋体"/>
                <w:color w:val="auto"/>
                <w:sz w:val="24"/>
                <w:szCs w:val="24"/>
              </w:rPr>
            </w:pPr>
          </w:p>
        </w:tc>
      </w:tr>
      <w:tr w14:paraId="28AC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EBDC1D9">
            <w:pPr>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65C21F">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353896B">
            <w:pPr>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45AF0838">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56F6BDF">
            <w:pPr>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342F602">
            <w:pPr>
              <w:jc w:val="center"/>
              <w:rPr>
                <w:rFonts w:hint="eastAsia" w:ascii="宋体" w:hAnsi="宋体" w:eastAsia="宋体" w:cs="宋体"/>
                <w:color w:val="auto"/>
                <w:sz w:val="24"/>
                <w:szCs w:val="24"/>
              </w:rPr>
            </w:pPr>
          </w:p>
        </w:tc>
      </w:tr>
      <w:tr w14:paraId="391D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CABB617">
            <w:pPr>
              <w:pStyle w:val="2"/>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1BDB65D">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B380BAF">
            <w:pPr>
              <w:pStyle w:val="2"/>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4BE38B24">
            <w:pPr>
              <w:pStyle w:val="2"/>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CF7BD08">
            <w:pPr>
              <w:pStyle w:val="2"/>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52817AC">
            <w:pPr>
              <w:pStyle w:val="2"/>
              <w:jc w:val="center"/>
              <w:rPr>
                <w:rFonts w:hint="eastAsia" w:ascii="宋体" w:hAnsi="宋体" w:eastAsia="宋体" w:cs="宋体"/>
                <w:color w:val="auto"/>
                <w:sz w:val="24"/>
                <w:szCs w:val="24"/>
              </w:rPr>
            </w:pPr>
          </w:p>
        </w:tc>
      </w:tr>
      <w:tr w14:paraId="5C90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BD3C4B3">
            <w:pPr>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63D1618">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10D29B5">
            <w:pPr>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5B77909C">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DE28835">
            <w:pPr>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DDA425B">
            <w:pPr>
              <w:jc w:val="center"/>
              <w:rPr>
                <w:rFonts w:hint="eastAsia" w:ascii="宋体" w:hAnsi="宋体" w:eastAsia="宋体" w:cs="宋体"/>
                <w:color w:val="auto"/>
                <w:sz w:val="24"/>
                <w:szCs w:val="24"/>
              </w:rPr>
            </w:pPr>
          </w:p>
        </w:tc>
      </w:tr>
      <w:tr w14:paraId="0D28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356493E">
            <w:pPr>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E8463AC">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786BB2A">
            <w:pPr>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31D15FC6">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9E9CC32">
            <w:pPr>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AC2EA32">
            <w:pPr>
              <w:jc w:val="center"/>
              <w:rPr>
                <w:rFonts w:hint="eastAsia" w:ascii="宋体" w:hAnsi="宋体" w:eastAsia="宋体" w:cs="宋体"/>
                <w:color w:val="auto"/>
                <w:sz w:val="24"/>
                <w:szCs w:val="24"/>
              </w:rPr>
            </w:pPr>
          </w:p>
        </w:tc>
      </w:tr>
      <w:tr w14:paraId="355F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7A373FF">
            <w:pPr>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5682925">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8BC215A">
            <w:pPr>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8FAB211">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4BA6277">
            <w:pPr>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19DC641">
            <w:pPr>
              <w:jc w:val="center"/>
              <w:rPr>
                <w:rFonts w:hint="eastAsia" w:ascii="宋体" w:hAnsi="宋体" w:eastAsia="宋体" w:cs="宋体"/>
                <w:color w:val="auto"/>
                <w:sz w:val="24"/>
                <w:szCs w:val="24"/>
              </w:rPr>
            </w:pPr>
          </w:p>
        </w:tc>
      </w:tr>
      <w:tr w14:paraId="7FB2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095F653">
            <w:pPr>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89DCA9">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4520B12">
            <w:pPr>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21587CD3">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9C4AB84">
            <w:pPr>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E6CA71B">
            <w:pPr>
              <w:jc w:val="center"/>
              <w:rPr>
                <w:rFonts w:hint="eastAsia" w:ascii="宋体" w:hAnsi="宋体" w:eastAsia="宋体" w:cs="宋体"/>
                <w:color w:val="auto"/>
                <w:sz w:val="24"/>
                <w:szCs w:val="24"/>
              </w:rPr>
            </w:pPr>
          </w:p>
        </w:tc>
      </w:tr>
      <w:tr w14:paraId="184B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1C5F97A">
            <w:pPr>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177BDA2">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F55847C">
            <w:pPr>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A330C5C">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70AD74E">
            <w:pPr>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27D778A">
            <w:pPr>
              <w:jc w:val="center"/>
              <w:rPr>
                <w:rFonts w:hint="eastAsia" w:ascii="宋体" w:hAnsi="宋体" w:eastAsia="宋体" w:cs="宋体"/>
                <w:color w:val="auto"/>
                <w:sz w:val="24"/>
                <w:szCs w:val="24"/>
              </w:rPr>
            </w:pPr>
          </w:p>
        </w:tc>
      </w:tr>
      <w:tr w14:paraId="3285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5C585BE">
            <w:pPr>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C3203CD">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E696232">
            <w:pPr>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229DA2DE">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579988F">
            <w:pPr>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EECEE05">
            <w:pPr>
              <w:jc w:val="center"/>
              <w:rPr>
                <w:rFonts w:hint="eastAsia" w:ascii="宋体" w:hAnsi="宋体" w:eastAsia="宋体" w:cs="宋体"/>
                <w:color w:val="auto"/>
                <w:sz w:val="24"/>
                <w:szCs w:val="24"/>
              </w:rPr>
            </w:pPr>
          </w:p>
        </w:tc>
      </w:tr>
      <w:tr w14:paraId="7B66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60BE2A7">
            <w:pPr>
              <w:jc w:val="center"/>
              <w:rPr>
                <w:rFonts w:hint="eastAsia" w:ascii="宋体" w:hAnsi="宋体" w:eastAsia="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332C77">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BE11C19">
            <w:pPr>
              <w:jc w:val="center"/>
              <w:rPr>
                <w:rFonts w:hint="eastAsia" w:ascii="宋体" w:hAnsi="宋体" w:eastAsia="宋体" w:cs="宋体"/>
                <w:color w:val="auto"/>
                <w:sz w:val="24"/>
                <w:szCs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4F16D595">
            <w:pPr>
              <w:jc w:val="center"/>
              <w:rPr>
                <w:rFonts w:hint="eastAsia" w:ascii="宋体" w:hAnsi="宋体" w:eastAsia="宋体" w:cs="宋体"/>
                <w:color w:val="auto"/>
                <w:sz w:val="24"/>
                <w:szCs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B657DC4">
            <w:pPr>
              <w:jc w:val="center"/>
              <w:rPr>
                <w:rFonts w:hint="eastAsia" w:ascii="宋体" w:hAnsi="宋体" w:eastAsia="宋体" w:cs="宋体"/>
                <w:color w:val="auto"/>
                <w:sz w:val="24"/>
                <w:szCs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B4BB869">
            <w:pPr>
              <w:jc w:val="center"/>
              <w:rPr>
                <w:rFonts w:hint="eastAsia" w:ascii="宋体" w:hAnsi="宋体" w:eastAsia="宋体" w:cs="宋体"/>
                <w:color w:val="auto"/>
                <w:sz w:val="24"/>
                <w:szCs w:val="24"/>
              </w:rPr>
            </w:pPr>
          </w:p>
        </w:tc>
      </w:tr>
    </w:tbl>
    <w:p w14:paraId="398AE5C6">
      <w:pPr>
        <w:rPr>
          <w:rFonts w:hint="eastAsia" w:ascii="宋体" w:hAnsi="宋体" w:eastAsia="宋体" w:cs="宋体"/>
          <w:color w:val="auto"/>
          <w:sz w:val="24"/>
          <w:szCs w:val="24"/>
        </w:rPr>
      </w:pPr>
    </w:p>
    <w:p w14:paraId="5E2AFA9B">
      <w:pPr>
        <w:rPr>
          <w:rFonts w:hint="eastAsia" w:ascii="宋体" w:hAnsi="宋体" w:eastAsia="宋体" w:cs="宋体"/>
          <w:color w:val="auto"/>
          <w:sz w:val="24"/>
          <w:szCs w:val="24"/>
        </w:rPr>
      </w:pPr>
      <w:bookmarkStart w:id="645" w:name="_Toc20171897"/>
      <w:bookmarkStart w:id="646" w:name="_Toc16062"/>
    </w:p>
    <w:p w14:paraId="3C667587">
      <w:pPr>
        <w:pStyle w:val="337"/>
        <w:outlineLvl w:val="9"/>
        <w:rPr>
          <w:rFonts w:hint="eastAsia" w:ascii="宋体" w:hAnsi="宋体" w:eastAsia="宋体" w:cs="宋体"/>
          <w:color w:val="auto"/>
          <w:sz w:val="24"/>
          <w:szCs w:val="24"/>
        </w:rPr>
      </w:pPr>
      <w:r>
        <w:rPr>
          <w:rFonts w:hint="eastAsia" w:ascii="宋体" w:hAnsi="宋体" w:eastAsia="宋体" w:cs="宋体"/>
          <w:color w:val="auto"/>
          <w:sz w:val="24"/>
          <w:szCs w:val="24"/>
        </w:rPr>
        <w:t>附件3 承包人主要管理人员表</w:t>
      </w:r>
      <w:bookmarkEnd w:id="645"/>
      <w:bookmarkEnd w:id="646"/>
    </w:p>
    <w:tbl>
      <w:tblPr>
        <w:tblStyle w:val="37"/>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70"/>
        <w:gridCol w:w="1385"/>
        <w:gridCol w:w="1107"/>
        <w:gridCol w:w="1107"/>
        <w:gridCol w:w="3808"/>
      </w:tblGrid>
      <w:tr w14:paraId="5D51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51FE4D6A">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1A98314">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5022233">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562117D">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0C4068D">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主要资历、经验及承担过的项目</w:t>
            </w:r>
          </w:p>
        </w:tc>
      </w:tr>
      <w:tr w14:paraId="35A6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8877" w:type="dxa"/>
            <w:gridSpan w:val="5"/>
            <w:tcBorders>
              <w:top w:val="single" w:color="auto" w:sz="4" w:space="0"/>
              <w:left w:val="single" w:color="auto" w:sz="4" w:space="0"/>
              <w:bottom w:val="single" w:color="auto" w:sz="4" w:space="0"/>
              <w:right w:val="single" w:color="auto" w:sz="4" w:space="0"/>
            </w:tcBorders>
            <w:noWrap w:val="0"/>
            <w:vAlign w:val="center"/>
          </w:tcPr>
          <w:p w14:paraId="07A486C9">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一、总部人员</w:t>
            </w:r>
          </w:p>
        </w:tc>
      </w:tr>
      <w:tr w14:paraId="71DE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09F3AE1B">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项目主管</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767B2EB">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2249D70">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84101FE">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18AB0FD2">
            <w:pPr>
              <w:pStyle w:val="2"/>
              <w:jc w:val="center"/>
              <w:rPr>
                <w:rFonts w:hint="eastAsia" w:ascii="宋体" w:hAnsi="宋体" w:eastAsia="宋体" w:cs="宋体"/>
                <w:color w:val="auto"/>
                <w:sz w:val="24"/>
                <w:szCs w:val="24"/>
              </w:rPr>
            </w:pPr>
          </w:p>
        </w:tc>
      </w:tr>
      <w:tr w14:paraId="0208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50EA3A86">
            <w:pPr>
              <w:pStyle w:val="2"/>
              <w:jc w:val="center"/>
              <w:rPr>
                <w:rFonts w:hint="eastAsia" w:ascii="宋体" w:hAnsi="宋体" w:eastAsia="宋体" w:cs="宋体"/>
                <w:color w:val="auto"/>
                <w:sz w:val="24"/>
                <w:szCs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5D3D6F0">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CFE22F0">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70B6475">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561CFEEC">
            <w:pPr>
              <w:pStyle w:val="2"/>
              <w:jc w:val="center"/>
              <w:rPr>
                <w:rFonts w:hint="eastAsia" w:ascii="宋体" w:hAnsi="宋体" w:eastAsia="宋体" w:cs="宋体"/>
                <w:color w:val="auto"/>
                <w:sz w:val="24"/>
                <w:szCs w:val="24"/>
              </w:rPr>
            </w:pPr>
          </w:p>
        </w:tc>
      </w:tr>
      <w:tr w14:paraId="7E70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7CED4B55">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其他人员</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FE2D2A3">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A9F008C">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E4FEFBC">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4198DC7E">
            <w:pPr>
              <w:pStyle w:val="2"/>
              <w:jc w:val="center"/>
              <w:rPr>
                <w:rFonts w:hint="eastAsia" w:ascii="宋体" w:hAnsi="宋体" w:eastAsia="宋体" w:cs="宋体"/>
                <w:color w:val="auto"/>
                <w:sz w:val="24"/>
                <w:szCs w:val="24"/>
              </w:rPr>
            </w:pPr>
          </w:p>
        </w:tc>
      </w:tr>
      <w:tr w14:paraId="4A00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7A3FF579">
            <w:pPr>
              <w:pStyle w:val="2"/>
              <w:jc w:val="center"/>
              <w:rPr>
                <w:rFonts w:hint="eastAsia" w:ascii="宋体" w:hAnsi="宋体" w:eastAsia="宋体" w:cs="宋体"/>
                <w:color w:val="auto"/>
                <w:sz w:val="24"/>
                <w:szCs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0D57F4A">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A8D99FD">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2B2235D">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5A0A1B16">
            <w:pPr>
              <w:pStyle w:val="2"/>
              <w:jc w:val="center"/>
              <w:rPr>
                <w:rFonts w:hint="eastAsia" w:ascii="宋体" w:hAnsi="宋体" w:eastAsia="宋体" w:cs="宋体"/>
                <w:color w:val="auto"/>
                <w:sz w:val="24"/>
                <w:szCs w:val="24"/>
              </w:rPr>
            </w:pPr>
          </w:p>
        </w:tc>
      </w:tr>
      <w:tr w14:paraId="71CD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8877" w:type="dxa"/>
            <w:gridSpan w:val="5"/>
            <w:tcBorders>
              <w:top w:val="single" w:color="auto" w:sz="4" w:space="0"/>
              <w:left w:val="single" w:color="auto" w:sz="4" w:space="0"/>
              <w:bottom w:val="single" w:color="auto" w:sz="4" w:space="0"/>
              <w:right w:val="single" w:color="auto" w:sz="4" w:space="0"/>
            </w:tcBorders>
            <w:noWrap w:val="0"/>
            <w:vAlign w:val="center"/>
          </w:tcPr>
          <w:p w14:paraId="19D90169">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二、现场人员</w:t>
            </w:r>
          </w:p>
        </w:tc>
      </w:tr>
      <w:tr w14:paraId="1D52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2"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53D289F0">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工程总承包</w:t>
            </w:r>
          </w:p>
          <w:p w14:paraId="48FE7CCE">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CA0E7C8">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A2DB512">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4E1DAA1">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525A4AF0">
            <w:pPr>
              <w:pStyle w:val="2"/>
              <w:jc w:val="center"/>
              <w:rPr>
                <w:rFonts w:hint="eastAsia" w:ascii="宋体" w:hAnsi="宋体" w:eastAsia="宋体" w:cs="宋体"/>
                <w:color w:val="auto"/>
                <w:sz w:val="24"/>
                <w:szCs w:val="24"/>
              </w:rPr>
            </w:pPr>
          </w:p>
          <w:p w14:paraId="797CE1D8">
            <w:pPr>
              <w:pStyle w:val="2"/>
              <w:jc w:val="center"/>
              <w:rPr>
                <w:rFonts w:hint="eastAsia" w:ascii="宋体" w:hAnsi="宋体" w:eastAsia="宋体" w:cs="宋体"/>
                <w:color w:val="auto"/>
                <w:sz w:val="24"/>
                <w:szCs w:val="24"/>
              </w:rPr>
            </w:pPr>
          </w:p>
        </w:tc>
      </w:tr>
      <w:tr w14:paraId="5203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0AA662CF">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项目副经理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E63FB0E">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973F6E5">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7AD68F4">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0470C9C5">
            <w:pPr>
              <w:pStyle w:val="2"/>
              <w:jc w:val="center"/>
              <w:rPr>
                <w:rFonts w:hint="eastAsia" w:ascii="宋体" w:hAnsi="宋体" w:eastAsia="宋体" w:cs="宋体"/>
                <w:color w:val="auto"/>
                <w:sz w:val="24"/>
                <w:szCs w:val="24"/>
              </w:rPr>
            </w:pPr>
          </w:p>
        </w:tc>
      </w:tr>
      <w:tr w14:paraId="46E0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4F36238A">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设计负责人</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299C6DD">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2AF221E">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E51C6FC">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7C97BBE1">
            <w:pPr>
              <w:pStyle w:val="2"/>
              <w:jc w:val="center"/>
              <w:rPr>
                <w:rFonts w:hint="eastAsia" w:ascii="宋体" w:hAnsi="宋体" w:eastAsia="宋体" w:cs="宋体"/>
                <w:color w:val="auto"/>
                <w:sz w:val="24"/>
                <w:szCs w:val="24"/>
              </w:rPr>
            </w:pPr>
          </w:p>
        </w:tc>
      </w:tr>
      <w:tr w14:paraId="6CF6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16F12AB2">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采购负责人</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E320451">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864DE53">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D57849E">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568B1EA8">
            <w:pPr>
              <w:pStyle w:val="2"/>
              <w:jc w:val="center"/>
              <w:rPr>
                <w:rFonts w:hint="eastAsia" w:ascii="宋体" w:hAnsi="宋体" w:eastAsia="宋体" w:cs="宋体"/>
                <w:color w:val="auto"/>
                <w:sz w:val="24"/>
                <w:szCs w:val="24"/>
              </w:rPr>
            </w:pPr>
          </w:p>
        </w:tc>
      </w:tr>
      <w:tr w14:paraId="17AA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2ED147AD">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施工负责人</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5DB61CD">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AE9107C">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BEA6982">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2388A524">
            <w:pPr>
              <w:pStyle w:val="2"/>
              <w:jc w:val="center"/>
              <w:rPr>
                <w:rFonts w:hint="eastAsia" w:ascii="宋体" w:hAnsi="宋体" w:eastAsia="宋体" w:cs="宋体"/>
                <w:color w:val="auto"/>
                <w:sz w:val="24"/>
                <w:szCs w:val="24"/>
              </w:rPr>
            </w:pPr>
          </w:p>
        </w:tc>
      </w:tr>
      <w:tr w14:paraId="5E25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68BF37BB">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D2159E5">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81A16DF">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B3AA69D">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6EF6F950">
            <w:pPr>
              <w:pStyle w:val="2"/>
              <w:jc w:val="center"/>
              <w:rPr>
                <w:rFonts w:hint="eastAsia" w:ascii="宋体" w:hAnsi="宋体" w:eastAsia="宋体" w:cs="宋体"/>
                <w:color w:val="auto"/>
                <w:sz w:val="24"/>
                <w:szCs w:val="24"/>
              </w:rPr>
            </w:pPr>
          </w:p>
        </w:tc>
      </w:tr>
      <w:tr w14:paraId="2769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346096EB">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造价管理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FD2A09F">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A94A20B">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C8C4EF9">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5AC24D25">
            <w:pPr>
              <w:pStyle w:val="2"/>
              <w:jc w:val="center"/>
              <w:rPr>
                <w:rFonts w:hint="eastAsia" w:ascii="宋体" w:hAnsi="宋体" w:eastAsia="宋体" w:cs="宋体"/>
                <w:color w:val="auto"/>
                <w:sz w:val="24"/>
                <w:szCs w:val="24"/>
              </w:rPr>
            </w:pPr>
          </w:p>
        </w:tc>
      </w:tr>
      <w:tr w14:paraId="3A32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5C4CFA08">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质量管理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47D0F76">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32CAC51">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1CF2CF9">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0700024A">
            <w:pPr>
              <w:pStyle w:val="2"/>
              <w:jc w:val="center"/>
              <w:rPr>
                <w:rFonts w:hint="eastAsia" w:ascii="宋体" w:hAnsi="宋体" w:eastAsia="宋体" w:cs="宋体"/>
                <w:color w:val="auto"/>
                <w:sz w:val="24"/>
                <w:szCs w:val="24"/>
              </w:rPr>
            </w:pPr>
          </w:p>
        </w:tc>
      </w:tr>
      <w:tr w14:paraId="6F36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726D0A8B">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计划管理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5C5F215">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D67FBB8">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2B0F841">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23F2C386">
            <w:pPr>
              <w:pStyle w:val="2"/>
              <w:jc w:val="center"/>
              <w:rPr>
                <w:rFonts w:hint="eastAsia" w:ascii="宋体" w:hAnsi="宋体" w:eastAsia="宋体" w:cs="宋体"/>
                <w:color w:val="auto"/>
                <w:sz w:val="24"/>
                <w:szCs w:val="24"/>
              </w:rPr>
            </w:pPr>
          </w:p>
        </w:tc>
      </w:tr>
      <w:tr w14:paraId="4E52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76067203">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安全管理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7A296BE">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4E87EBA">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BBE96C7">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2D9E7D95">
            <w:pPr>
              <w:pStyle w:val="2"/>
              <w:jc w:val="center"/>
              <w:rPr>
                <w:rFonts w:hint="eastAsia" w:ascii="宋体" w:hAnsi="宋体" w:eastAsia="宋体" w:cs="宋体"/>
                <w:color w:val="auto"/>
                <w:sz w:val="24"/>
                <w:szCs w:val="24"/>
              </w:rPr>
            </w:pPr>
          </w:p>
        </w:tc>
      </w:tr>
      <w:tr w14:paraId="3880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2035F2E9">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环境管理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7F549CA">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A0DE5A0">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12414DA">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297B94C3">
            <w:pPr>
              <w:pStyle w:val="2"/>
              <w:jc w:val="center"/>
              <w:rPr>
                <w:rFonts w:hint="eastAsia" w:ascii="宋体" w:hAnsi="宋体" w:eastAsia="宋体" w:cs="宋体"/>
                <w:color w:val="auto"/>
                <w:sz w:val="24"/>
                <w:szCs w:val="24"/>
              </w:rPr>
            </w:pPr>
          </w:p>
        </w:tc>
      </w:tr>
      <w:tr w14:paraId="357D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4451B9A4">
            <w:pPr>
              <w:pStyle w:val="2"/>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其他人员</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E50D2DC">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5794187">
            <w:pPr>
              <w:pStyle w:val="2"/>
              <w:jc w:val="center"/>
              <w:rPr>
                <w:rFonts w:hint="eastAsia" w:ascii="宋体" w:hAnsi="宋体" w:eastAsia="宋体" w:cs="宋体"/>
                <w:color w:val="auto"/>
                <w:sz w:val="24"/>
                <w:szCs w:val="24"/>
              </w:rPr>
            </w:pPr>
          </w:p>
          <w:bookmarkEnd w:id="638"/>
        </w:tc>
        <w:tc>
          <w:tcPr>
            <w:tcW w:w="1107" w:type="dxa"/>
            <w:tcBorders>
              <w:top w:val="single" w:color="auto" w:sz="4" w:space="0"/>
              <w:left w:val="single" w:color="auto" w:sz="4" w:space="0"/>
              <w:bottom w:val="single" w:color="auto" w:sz="4" w:space="0"/>
              <w:right w:val="single" w:color="auto" w:sz="4" w:space="0"/>
            </w:tcBorders>
            <w:noWrap w:val="0"/>
            <w:vAlign w:val="center"/>
          </w:tcPr>
          <w:p w14:paraId="5EB0D2A3">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A010B2B">
            <w:pPr>
              <w:pStyle w:val="2"/>
              <w:jc w:val="center"/>
              <w:rPr>
                <w:rFonts w:hint="eastAsia" w:ascii="宋体" w:hAnsi="宋体" w:eastAsia="宋体" w:cs="宋体"/>
                <w:color w:val="auto"/>
                <w:sz w:val="24"/>
                <w:szCs w:val="24"/>
              </w:rPr>
            </w:pPr>
          </w:p>
        </w:tc>
      </w:tr>
      <w:tr w14:paraId="0DD7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55ECD6AA">
            <w:pPr>
              <w:pStyle w:val="2"/>
              <w:jc w:val="center"/>
              <w:rPr>
                <w:rFonts w:hint="eastAsia" w:ascii="宋体" w:hAnsi="宋体" w:eastAsia="宋体" w:cs="宋体"/>
                <w:color w:val="auto"/>
                <w:sz w:val="24"/>
                <w:szCs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49E115B">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BE124A1">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D908C13">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40981909">
            <w:pPr>
              <w:pStyle w:val="2"/>
              <w:jc w:val="center"/>
              <w:rPr>
                <w:rFonts w:hint="eastAsia" w:ascii="宋体" w:hAnsi="宋体" w:eastAsia="宋体" w:cs="宋体"/>
                <w:color w:val="auto"/>
                <w:sz w:val="24"/>
                <w:szCs w:val="24"/>
              </w:rPr>
            </w:pPr>
          </w:p>
        </w:tc>
      </w:tr>
      <w:tr w14:paraId="1810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2F8936A4">
            <w:pPr>
              <w:pStyle w:val="2"/>
              <w:jc w:val="center"/>
              <w:rPr>
                <w:rFonts w:hint="eastAsia" w:ascii="宋体" w:hAnsi="宋体" w:eastAsia="宋体" w:cs="宋体"/>
                <w:color w:val="auto"/>
                <w:sz w:val="24"/>
                <w:szCs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2747C81">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50B8643">
            <w:pPr>
              <w:pStyle w:val="2"/>
              <w:jc w:val="center"/>
              <w:rPr>
                <w:rFonts w:hint="eastAsia" w:ascii="宋体" w:hAnsi="宋体" w:eastAsia="宋体" w:cs="宋体"/>
                <w:color w:val="auto"/>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54E4643">
            <w:pPr>
              <w:pStyle w:val="2"/>
              <w:jc w:val="center"/>
              <w:rPr>
                <w:rFonts w:hint="eastAsia" w:ascii="宋体" w:hAnsi="宋体" w:eastAsia="宋体" w:cs="宋体"/>
                <w:color w:val="auto"/>
                <w:sz w:val="24"/>
                <w:szCs w:val="24"/>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A5F9235">
            <w:pPr>
              <w:pStyle w:val="2"/>
              <w:jc w:val="center"/>
              <w:rPr>
                <w:rFonts w:hint="eastAsia" w:ascii="宋体" w:hAnsi="宋体" w:eastAsia="宋体" w:cs="宋体"/>
                <w:color w:val="auto"/>
                <w:sz w:val="24"/>
                <w:szCs w:val="24"/>
              </w:rPr>
            </w:pPr>
          </w:p>
        </w:tc>
      </w:tr>
    </w:tbl>
    <w:p w14:paraId="55E3379F">
      <w:pPr>
        <w:pStyle w:val="55"/>
        <w:rPr>
          <w:rFonts w:hint="eastAsia"/>
        </w:rPr>
        <w:sectPr>
          <w:pgSz w:w="11906" w:h="16838"/>
          <w:pgMar w:top="1440" w:right="1588" w:bottom="1440" w:left="1588" w:header="851" w:footer="992" w:gutter="0"/>
          <w:cols w:space="720" w:num="1"/>
          <w:docGrid w:linePitch="360" w:charSpace="0"/>
        </w:sectPr>
      </w:pPr>
    </w:p>
    <w:p w14:paraId="02FEEA7B">
      <w:pPr>
        <w:pStyle w:val="58"/>
        <w:keepNext w:val="0"/>
        <w:keepLines w:val="0"/>
        <w:pageBreakBefore w:val="0"/>
        <w:spacing w:line="360" w:lineRule="auto"/>
        <w:ind w:left="0" w:firstLine="0"/>
        <w:rPr>
          <w:rFonts w:hint="eastAsia" w:ascii="宋体" w:hAnsi="宋体" w:eastAsia="宋体" w:cs="宋体"/>
          <w:color w:val="000000" w:themeColor="text1"/>
          <w:sz w:val="24"/>
          <w:szCs w:val="24"/>
          <w:highlight w:val="none"/>
          <w14:textFill>
            <w14:solidFill>
              <w14:schemeClr w14:val="tx1"/>
            </w14:solidFill>
          </w14:textFill>
        </w:rPr>
      </w:pPr>
    </w:p>
    <w:sectPr>
      <w:pgSz w:w="11906" w:h="16838"/>
      <w:pgMar w:top="1440" w:right="1588" w:bottom="1440" w:left="1588"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金山简黑体">
    <w:altName w:val="黑体"/>
    <w:panose1 w:val="020B0503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20B0503020202020204"/>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149F2">
    <w:pPr>
      <w:pStyle w:val="24"/>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820BE">
                          <w:pPr>
                            <w:pStyle w:val="2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EdRpwI8AgAAbwQAAA4AAAAAAAAAAQAgAAAAHwEAAGRycy9lMm9E&#10;b2MueG1sUEsFBgAAAAAGAAYAWQEAAM0FAAAAAA==&#10;">
              <v:fill on="f" focussize="0,0"/>
              <v:stroke on="f" weight="0.5pt"/>
              <v:imagedata o:title=""/>
              <o:lock v:ext="edit" aspectratio="f"/>
              <v:textbox inset="0mm,0mm,0mm,0mm" style="mso-fit-shape-to-text:t;">
                <w:txbxContent>
                  <w:p w14:paraId="600820BE">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32FE3">
    <w:pPr>
      <w:pStyle w:val="26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322F9">
                          <w:pPr>
                            <w:pStyle w:val="2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DDtNWM8AgAAbwQAAA4AAAAAAAAAAQAgAAAAHwEAAGRycy9lMm9E&#10;b2MueG1sUEsFBgAAAAAGAAYAWQEAAM0FAAAAAA==&#10;">
              <v:fill on="f" focussize="0,0"/>
              <v:stroke on="f" weight="0.5pt"/>
              <v:imagedata o:title=""/>
              <o:lock v:ext="edit" aspectratio="f"/>
              <v:textbox inset="0mm,0mm,0mm,0mm" style="mso-fit-shape-to-text:t;">
                <w:txbxContent>
                  <w:p w14:paraId="1A4322F9">
                    <w:pPr>
                      <w:pStyle w:val="24"/>
                    </w:pPr>
                    <w:r>
                      <w:fldChar w:fldCharType="begin"/>
                    </w:r>
                    <w:r>
                      <w:instrText xml:space="preserve"> PAGE  \* MERGEFORMAT </w:instrText>
                    </w:r>
                    <w:r>
                      <w:fldChar w:fldCharType="separate"/>
                    </w:r>
                    <w:r>
                      <w:t>38</w:t>
                    </w:r>
                    <w:r>
                      <w:fldChar w:fldCharType="end"/>
                    </w:r>
                  </w:p>
                </w:txbxContent>
              </v:textbox>
            </v:shape>
          </w:pict>
        </mc:Fallback>
      </mc:AlternateContent>
    </w:r>
    <w:r>
      <w:rPr>
        <w:lang w:val="zh-CN"/>
      </w:rPr>
      <w:t xml:space="preserve"> </w:t>
    </w:r>
  </w:p>
  <w:p w14:paraId="44306983">
    <w:pPr>
      <w:pStyle w:val="26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248C179"/>
    <w:multiLevelType w:val="multilevel"/>
    <w:tmpl w:val="0248C179"/>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25B654F3"/>
    <w:multiLevelType w:val="multilevel"/>
    <w:tmpl w:val="25B654F3"/>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2A8F537B"/>
    <w:multiLevelType w:val="multilevel"/>
    <w:tmpl w:val="2A8F537B"/>
    <w:lvl w:ilvl="0" w:tentative="0">
      <w:start w:val="3"/>
      <w:numFmt w:val="chineseCounting"/>
      <w:suff w:val="nothing"/>
      <w:lvlText w:val="（%1）"/>
      <w:lvlJc w:val="left"/>
      <w:pPr>
        <w:ind w:left="0" w:firstLine="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A241D34"/>
    <w:multiLevelType w:val="multilevel"/>
    <w:tmpl w:val="5A241D34"/>
    <w:lvl w:ilvl="0" w:tentative="0">
      <w:start w:val="5"/>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72183CF9"/>
    <w:multiLevelType w:val="multilevel"/>
    <w:tmpl w:val="72183CF9"/>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73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Calibri" w:hAnsi="Calibri" w:eastAsia="宋体" w:cs="Times New Roman"/>
      <w:lang w:val="en-US" w:eastAsia="zh-CN" w:bidi="ar-SA"/>
    </w:rPr>
  </w:style>
  <w:style w:type="paragraph" w:styleId="3">
    <w:name w:val="heading 1"/>
    <w:basedOn w:val="1"/>
    <w:next w:val="1"/>
    <w:qFormat/>
    <w:uiPriority w:val="0"/>
    <w:pPr>
      <w:keepNext/>
      <w:keepLines/>
      <w:spacing w:before="480" w:after="200"/>
      <w:outlineLvl w:val="0"/>
    </w:pPr>
    <w:rPr>
      <w:rFonts w:ascii="Arial" w:hAnsi="Arial" w:eastAsia="Arial" w:cs="Arial"/>
      <w:sz w:val="40"/>
      <w:szCs w:val="40"/>
    </w:rPr>
  </w:style>
  <w:style w:type="paragraph" w:styleId="4">
    <w:name w:val="heading 2"/>
    <w:basedOn w:val="1"/>
    <w:next w:val="5"/>
    <w:qFormat/>
    <w:uiPriority w:val="0"/>
    <w:pPr>
      <w:keepNext/>
      <w:keepLines/>
      <w:spacing w:before="360" w:after="200"/>
      <w:outlineLvl w:val="1"/>
    </w:pPr>
    <w:rPr>
      <w:rFonts w:ascii="Arial" w:hAnsi="Arial" w:eastAsia="Arial" w:cs="Arial"/>
      <w:sz w:val="34"/>
    </w:rPr>
  </w:style>
  <w:style w:type="paragraph" w:styleId="8">
    <w:name w:val="heading 3"/>
    <w:basedOn w:val="1"/>
    <w:next w:val="1"/>
    <w:qFormat/>
    <w:uiPriority w:val="0"/>
    <w:pPr>
      <w:keepNext/>
      <w:keepLines/>
      <w:spacing w:before="320" w:after="200"/>
      <w:outlineLvl w:val="2"/>
    </w:pPr>
    <w:rPr>
      <w:rFonts w:ascii="Arial" w:hAnsi="Arial" w:eastAsia="Arial" w:cs="Arial"/>
      <w:sz w:val="30"/>
      <w:szCs w:val="30"/>
      <w:lang w:val="en-US" w:eastAsia="zh-CN" w:bidi="ar-SA"/>
    </w:rPr>
  </w:style>
  <w:style w:type="paragraph" w:styleId="9">
    <w:name w:val="heading 4"/>
    <w:basedOn w:val="1"/>
    <w:next w:val="1"/>
    <w:qFormat/>
    <w:uiPriority w:val="0"/>
    <w:pPr>
      <w:keepNext/>
      <w:keepLines/>
      <w:spacing w:before="320" w:after="200"/>
      <w:outlineLvl w:val="3"/>
    </w:pPr>
    <w:rPr>
      <w:rFonts w:ascii="Arial" w:hAnsi="Arial" w:eastAsia="Arial" w:cs="Arial"/>
      <w:b/>
      <w:bCs/>
      <w:sz w:val="26"/>
      <w:szCs w:val="26"/>
    </w:rPr>
  </w:style>
  <w:style w:type="paragraph" w:styleId="10">
    <w:name w:val="heading 5"/>
    <w:next w:val="1"/>
    <w:qFormat/>
    <w:uiPriority w:val="0"/>
    <w:pPr>
      <w:keepNext/>
      <w:keepLines/>
      <w:spacing w:before="320" w:after="200"/>
      <w:outlineLvl w:val="4"/>
    </w:pPr>
    <w:rPr>
      <w:rFonts w:hint="default" w:ascii="Arial" w:hAnsi="Arial" w:eastAsia="Arial" w:cs="Arial"/>
      <w:b/>
      <w:bCs/>
      <w:sz w:val="24"/>
      <w:szCs w:val="24"/>
      <w:lang w:val="en-US" w:eastAsia="zh-CN" w:bidi="ar-SA"/>
    </w:rPr>
  </w:style>
  <w:style w:type="paragraph" w:styleId="11">
    <w:name w:val="heading 6"/>
    <w:next w:val="1"/>
    <w:qFormat/>
    <w:uiPriority w:val="0"/>
    <w:pPr>
      <w:keepNext/>
      <w:keepLines/>
      <w:spacing w:before="320" w:after="200"/>
      <w:outlineLvl w:val="5"/>
    </w:pPr>
    <w:rPr>
      <w:rFonts w:hint="default" w:ascii="Arial" w:hAnsi="Arial" w:eastAsia="Arial" w:cs="Arial"/>
      <w:b/>
      <w:bCs/>
      <w:sz w:val="22"/>
      <w:szCs w:val="22"/>
      <w:lang w:val="en-US" w:eastAsia="zh-CN" w:bidi="ar-SA"/>
    </w:rPr>
  </w:style>
  <w:style w:type="paragraph" w:styleId="12">
    <w:name w:val="heading 7"/>
    <w:next w:val="1"/>
    <w:qFormat/>
    <w:uiPriority w:val="0"/>
    <w:pPr>
      <w:keepNext/>
      <w:keepLines/>
      <w:spacing w:before="320" w:after="200"/>
      <w:outlineLvl w:val="6"/>
    </w:pPr>
    <w:rPr>
      <w:rFonts w:hint="default" w:ascii="Arial" w:hAnsi="Arial" w:eastAsia="Arial" w:cs="Arial"/>
      <w:b/>
      <w:bCs/>
      <w:i/>
      <w:iCs/>
      <w:sz w:val="22"/>
      <w:szCs w:val="22"/>
      <w:lang w:val="en-US" w:eastAsia="zh-CN" w:bidi="ar-SA"/>
    </w:rPr>
  </w:style>
  <w:style w:type="paragraph" w:styleId="13">
    <w:name w:val="heading 8"/>
    <w:next w:val="1"/>
    <w:qFormat/>
    <w:uiPriority w:val="0"/>
    <w:pPr>
      <w:keepNext/>
      <w:keepLines/>
      <w:spacing w:before="320" w:after="200"/>
      <w:outlineLvl w:val="7"/>
    </w:pPr>
    <w:rPr>
      <w:rFonts w:hint="default" w:ascii="Arial" w:hAnsi="Arial" w:eastAsia="Arial" w:cs="Arial"/>
      <w:i/>
      <w:iCs/>
      <w:sz w:val="22"/>
      <w:szCs w:val="22"/>
      <w:lang w:val="en-US" w:eastAsia="zh-CN" w:bidi="ar-SA"/>
    </w:rPr>
  </w:style>
  <w:style w:type="paragraph" w:styleId="14">
    <w:name w:val="heading 9"/>
    <w:next w:val="1"/>
    <w:qFormat/>
    <w:uiPriority w:val="0"/>
    <w:pPr>
      <w:keepNext/>
      <w:keepLines/>
      <w:spacing w:before="320" w:after="200"/>
      <w:outlineLvl w:val="8"/>
    </w:pPr>
    <w:rPr>
      <w:rFonts w:hint="default" w:ascii="Arial" w:hAnsi="Arial" w:eastAsia="Arial" w:cs="Arial"/>
      <w:i/>
      <w:iCs/>
      <w:sz w:val="21"/>
      <w:szCs w:val="21"/>
      <w:lang w:val="en-US" w:eastAsia="zh-CN" w:bidi="ar-SA"/>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rPr>
  </w:style>
  <w:style w:type="paragraph" w:styleId="5">
    <w:name w:val="Normal Indent"/>
    <w:basedOn w:val="1"/>
    <w:next w:val="6"/>
    <w:unhideWhenUsed/>
    <w:qFormat/>
    <w:uiPriority w:val="99"/>
    <w:pPr>
      <w:ind w:firstLine="420"/>
    </w:pPr>
  </w:style>
  <w:style w:type="paragraph" w:styleId="6">
    <w:name w:val="Body Text Indent"/>
    <w:basedOn w:val="1"/>
    <w:next w:val="7"/>
    <w:qFormat/>
    <w:uiPriority w:val="0"/>
    <w:pPr>
      <w:tabs>
        <w:tab w:val="left" w:pos="0"/>
        <w:tab w:val="left" w:pos="993"/>
        <w:tab w:val="left" w:pos="1134"/>
      </w:tabs>
      <w:spacing w:line="500" w:lineRule="exact"/>
      <w:ind w:firstLine="567"/>
    </w:pPr>
    <w:rPr>
      <w:rFonts w:ascii="宋体"/>
    </w:rPr>
  </w:style>
  <w:style w:type="paragraph" w:styleId="7">
    <w:name w:val="envelope return"/>
    <w:basedOn w:val="1"/>
    <w:unhideWhenUsed/>
    <w:qFormat/>
    <w:uiPriority w:val="99"/>
    <w:rPr>
      <w:rFonts w:ascii="Arial" w:hAnsi="Arial"/>
    </w:rPr>
  </w:style>
  <w:style w:type="paragraph" w:styleId="15">
    <w:name w:val="toc 7"/>
    <w:next w:val="1"/>
    <w:qFormat/>
    <w:uiPriority w:val="0"/>
    <w:pPr>
      <w:spacing w:after="57"/>
      <w:ind w:left="1701"/>
    </w:pPr>
    <w:rPr>
      <w:rFonts w:hint="default" w:ascii="Calibri" w:hAnsi="Calibri" w:eastAsia="宋体" w:cs="Times New Roman"/>
      <w:lang w:val="en-US" w:eastAsia="zh-CN" w:bidi="ar-SA"/>
    </w:rPr>
  </w:style>
  <w:style w:type="paragraph" w:styleId="16">
    <w:name w:val="caption"/>
    <w:next w:val="1"/>
    <w:qFormat/>
    <w:uiPriority w:val="0"/>
    <w:pPr>
      <w:spacing w:line="276" w:lineRule="auto"/>
    </w:pPr>
    <w:rPr>
      <w:rFonts w:hint="default" w:ascii="Calibri" w:hAnsi="Calibri" w:eastAsia="宋体" w:cs="Times New Roman"/>
      <w:b/>
      <w:bCs/>
      <w:color w:val="4F81BD"/>
      <w:sz w:val="18"/>
      <w:szCs w:val="18"/>
      <w:lang w:val="en-US" w:eastAsia="zh-CN" w:bidi="ar-SA"/>
    </w:rPr>
  </w:style>
  <w:style w:type="paragraph" w:styleId="17">
    <w:name w:val="annotation text"/>
    <w:basedOn w:val="1"/>
    <w:qFormat/>
    <w:uiPriority w:val="0"/>
    <w:pPr>
      <w:jc w:val="left"/>
    </w:pPr>
  </w:style>
  <w:style w:type="paragraph" w:styleId="18">
    <w:name w:val="Block Text"/>
    <w:basedOn w:val="1"/>
    <w:next w:val="1"/>
    <w:qFormat/>
    <w:uiPriority w:val="0"/>
    <w:pPr>
      <w:ind w:left="256" w:right="6" w:firstLine="624"/>
    </w:pPr>
    <w:rPr>
      <w:rFonts w:ascii="Times New Roman" w:hAnsi="Times New Roman" w:eastAsia="仿宋_GB2312"/>
      <w:sz w:val="28"/>
    </w:rPr>
  </w:style>
  <w:style w:type="paragraph" w:styleId="19">
    <w:name w:val="toc 5"/>
    <w:next w:val="1"/>
    <w:qFormat/>
    <w:uiPriority w:val="0"/>
    <w:pPr>
      <w:spacing w:after="57"/>
      <w:ind w:left="1134"/>
    </w:pPr>
    <w:rPr>
      <w:rFonts w:hint="default" w:ascii="Calibri" w:hAnsi="Calibri" w:eastAsia="宋体" w:cs="Times New Roman"/>
      <w:lang w:val="en-US" w:eastAsia="zh-CN" w:bidi="ar-SA"/>
    </w:rPr>
  </w:style>
  <w:style w:type="paragraph" w:styleId="20">
    <w:name w:val="toc 3"/>
    <w:next w:val="1"/>
    <w:qFormat/>
    <w:uiPriority w:val="0"/>
    <w:pPr>
      <w:spacing w:after="57"/>
      <w:ind w:left="567"/>
    </w:pPr>
    <w:rPr>
      <w:rFonts w:hint="default" w:ascii="Calibri" w:hAnsi="Calibri" w:eastAsia="宋体" w:cs="Times New Roman"/>
      <w:lang w:val="en-US" w:eastAsia="zh-CN" w:bidi="ar-SA"/>
    </w:rPr>
  </w:style>
  <w:style w:type="paragraph" w:styleId="21">
    <w:name w:val="Plain Text"/>
    <w:basedOn w:val="1"/>
    <w:qFormat/>
    <w:uiPriority w:val="0"/>
    <w:rPr>
      <w:rFonts w:ascii="宋体"/>
    </w:rPr>
  </w:style>
  <w:style w:type="paragraph" w:styleId="22">
    <w:name w:val="toc 8"/>
    <w:next w:val="1"/>
    <w:qFormat/>
    <w:uiPriority w:val="0"/>
    <w:pPr>
      <w:spacing w:after="57"/>
      <w:ind w:left="1984"/>
    </w:pPr>
    <w:rPr>
      <w:rFonts w:hint="default" w:ascii="Calibri" w:hAnsi="Calibri" w:eastAsia="宋体" w:cs="Times New Roman"/>
      <w:lang w:val="en-US" w:eastAsia="zh-CN" w:bidi="ar-SA"/>
    </w:rPr>
  </w:style>
  <w:style w:type="paragraph" w:styleId="23">
    <w:name w:val="endnote text"/>
    <w:qFormat/>
    <w:uiPriority w:val="0"/>
    <w:rPr>
      <w:rFonts w:hint="default" w:ascii="Calibri" w:hAnsi="Calibri" w:eastAsia="宋体" w:cs="Times New Roman"/>
      <w:lang w:val="en-US" w:eastAsia="zh-CN" w:bidi="ar-SA"/>
    </w:rPr>
  </w:style>
  <w:style w:type="paragraph" w:styleId="24">
    <w:name w:val="footer"/>
    <w:basedOn w:val="1"/>
    <w:qFormat/>
    <w:uiPriority w:val="0"/>
    <w:pPr>
      <w:tabs>
        <w:tab w:val="center" w:pos="7143"/>
        <w:tab w:val="right" w:pos="14287"/>
      </w:tabs>
    </w:pPr>
    <w:rPr>
      <w:rFonts w:hint="default" w:ascii="Calibri" w:hAnsi="Calibri" w:eastAsia="宋体" w:cs="Times New Roman"/>
      <w:lang w:val="en-US" w:eastAsia="zh-CN" w:bidi="ar-SA"/>
    </w:rPr>
  </w:style>
  <w:style w:type="paragraph" w:styleId="25">
    <w:name w:val="header"/>
    <w:qFormat/>
    <w:uiPriority w:val="0"/>
    <w:pPr>
      <w:tabs>
        <w:tab w:val="center" w:pos="7143"/>
        <w:tab w:val="right" w:pos="14287"/>
      </w:tabs>
    </w:pPr>
    <w:rPr>
      <w:rFonts w:hint="default" w:ascii="Calibri" w:hAnsi="Calibri" w:eastAsia="宋体" w:cs="Times New Roman"/>
      <w:lang w:val="en-US" w:eastAsia="zh-CN" w:bidi="ar-SA"/>
    </w:rPr>
  </w:style>
  <w:style w:type="paragraph" w:styleId="26">
    <w:name w:val="toc 1"/>
    <w:next w:val="1"/>
    <w:qFormat/>
    <w:uiPriority w:val="0"/>
    <w:pPr>
      <w:spacing w:after="57"/>
    </w:pPr>
    <w:rPr>
      <w:rFonts w:hint="default" w:ascii="Calibri" w:hAnsi="Calibri" w:eastAsia="宋体" w:cs="Times New Roman"/>
      <w:lang w:val="en-US" w:eastAsia="zh-CN" w:bidi="ar-SA"/>
    </w:rPr>
  </w:style>
  <w:style w:type="paragraph" w:styleId="27">
    <w:name w:val="toc 4"/>
    <w:next w:val="1"/>
    <w:qFormat/>
    <w:uiPriority w:val="0"/>
    <w:pPr>
      <w:spacing w:after="57"/>
      <w:ind w:left="850"/>
    </w:pPr>
    <w:rPr>
      <w:rFonts w:hint="default" w:ascii="Calibri" w:hAnsi="Calibri" w:eastAsia="宋体" w:cs="Times New Roman"/>
      <w:lang w:val="en-US" w:eastAsia="zh-CN" w:bidi="ar-SA"/>
    </w:rPr>
  </w:style>
  <w:style w:type="paragraph" w:styleId="28">
    <w:name w:val="Subtitle"/>
    <w:qFormat/>
    <w:uiPriority w:val="0"/>
    <w:pPr>
      <w:spacing w:before="200" w:after="200"/>
    </w:pPr>
    <w:rPr>
      <w:rFonts w:hint="default" w:ascii="Calibri" w:hAnsi="Calibri" w:eastAsia="宋体" w:cs="Times New Roman"/>
      <w:sz w:val="24"/>
      <w:szCs w:val="24"/>
      <w:lang w:val="en-US" w:eastAsia="zh-CN" w:bidi="ar-SA"/>
    </w:rPr>
  </w:style>
  <w:style w:type="paragraph" w:styleId="29">
    <w:name w:val="footnote text"/>
    <w:qFormat/>
    <w:uiPriority w:val="0"/>
    <w:pPr>
      <w:spacing w:after="40"/>
    </w:pPr>
    <w:rPr>
      <w:rFonts w:hint="default" w:ascii="Calibri" w:hAnsi="Calibri" w:eastAsia="宋体" w:cs="Times New Roman"/>
      <w:sz w:val="18"/>
      <w:lang w:val="en-US" w:eastAsia="zh-CN" w:bidi="ar-SA"/>
    </w:rPr>
  </w:style>
  <w:style w:type="paragraph" w:styleId="30">
    <w:name w:val="toc 6"/>
    <w:next w:val="1"/>
    <w:qFormat/>
    <w:uiPriority w:val="0"/>
    <w:pPr>
      <w:spacing w:after="57"/>
      <w:ind w:left="1417"/>
    </w:pPr>
    <w:rPr>
      <w:rFonts w:hint="default" w:ascii="Calibri" w:hAnsi="Calibri" w:eastAsia="宋体" w:cs="Times New Roman"/>
      <w:lang w:val="en-US" w:eastAsia="zh-CN" w:bidi="ar-SA"/>
    </w:rPr>
  </w:style>
  <w:style w:type="paragraph" w:styleId="31">
    <w:name w:val="table of figures"/>
    <w:next w:val="1"/>
    <w:qFormat/>
    <w:uiPriority w:val="0"/>
    <w:rPr>
      <w:rFonts w:hint="default" w:ascii="Calibri" w:hAnsi="Calibri" w:eastAsia="宋体" w:cs="Times New Roman"/>
      <w:lang w:val="en-US" w:eastAsia="zh-CN" w:bidi="ar-SA"/>
    </w:rPr>
  </w:style>
  <w:style w:type="paragraph" w:styleId="32">
    <w:name w:val="toc 2"/>
    <w:next w:val="1"/>
    <w:qFormat/>
    <w:uiPriority w:val="0"/>
    <w:pPr>
      <w:spacing w:after="57"/>
      <w:ind w:left="283"/>
    </w:pPr>
    <w:rPr>
      <w:rFonts w:hint="default" w:ascii="Calibri" w:hAnsi="Calibri" w:eastAsia="宋体" w:cs="Times New Roman"/>
      <w:lang w:val="en-US" w:eastAsia="zh-CN" w:bidi="ar-SA"/>
    </w:rPr>
  </w:style>
  <w:style w:type="paragraph" w:styleId="33">
    <w:name w:val="toc 9"/>
    <w:basedOn w:val="1"/>
    <w:next w:val="1"/>
    <w:qFormat/>
    <w:uiPriority w:val="0"/>
    <w:pPr>
      <w:spacing w:after="57"/>
      <w:ind w:left="2268"/>
    </w:pPr>
    <w:rPr>
      <w:rFonts w:hint="default" w:ascii="Calibri" w:hAnsi="Calibri" w:eastAsia="宋体" w:cs="Times New Roman"/>
      <w:lang w:val="en-US" w:eastAsia="zh-CN" w:bidi="ar-SA"/>
    </w:rPr>
  </w:style>
  <w:style w:type="paragraph" w:styleId="34">
    <w:name w:val="Body Text 2"/>
    <w:basedOn w:val="1"/>
    <w:qFormat/>
    <w:uiPriority w:val="0"/>
    <w:pPr>
      <w:spacing w:after="120" w:line="480" w:lineRule="auto"/>
    </w:pPr>
  </w:style>
  <w:style w:type="paragraph" w:styleId="35">
    <w:name w:val="Normal (Web)"/>
    <w:basedOn w:val="1"/>
    <w:qFormat/>
    <w:uiPriority w:val="0"/>
    <w:pPr>
      <w:spacing w:before="0" w:beforeAutospacing="1" w:after="0" w:afterAutospacing="1"/>
      <w:ind w:left="0" w:right="0"/>
      <w:jc w:val="left"/>
    </w:pPr>
    <w:rPr>
      <w:sz w:val="24"/>
      <w:lang w:val="en-US" w:eastAsia="zh-CN" w:bidi="ar"/>
    </w:rPr>
  </w:style>
  <w:style w:type="paragraph" w:styleId="36">
    <w:name w:val="Title"/>
    <w:basedOn w:val="1"/>
    <w:next w:val="1"/>
    <w:qFormat/>
    <w:uiPriority w:val="0"/>
    <w:pPr>
      <w:spacing w:before="300" w:after="200"/>
      <w:contextualSpacing/>
    </w:pPr>
    <w:rPr>
      <w:sz w:val="48"/>
      <w:szCs w:val="48"/>
    </w:rPr>
  </w:style>
  <w:style w:type="table" w:styleId="38">
    <w:name w:val="Table Grid"/>
    <w:basedOn w:val="3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basedOn w:val="39"/>
    <w:qFormat/>
    <w:uiPriority w:val="22"/>
    <w:rPr>
      <w:b/>
    </w:rPr>
  </w:style>
  <w:style w:type="character" w:styleId="41">
    <w:name w:val="endnote reference"/>
    <w:qFormat/>
    <w:uiPriority w:val="0"/>
    <w:rPr>
      <w:vertAlign w:val="superscript"/>
    </w:rPr>
  </w:style>
  <w:style w:type="character" w:styleId="42">
    <w:name w:val="page number"/>
    <w:basedOn w:val="39"/>
    <w:qFormat/>
    <w:uiPriority w:val="0"/>
  </w:style>
  <w:style w:type="character" w:styleId="43">
    <w:name w:val="Emphasis"/>
    <w:basedOn w:val="39"/>
    <w:qFormat/>
    <w:uiPriority w:val="0"/>
    <w:rPr>
      <w:color w:val="CC0033"/>
    </w:rPr>
  </w:style>
  <w:style w:type="character" w:styleId="44">
    <w:name w:val="Hyperlink"/>
    <w:qFormat/>
    <w:uiPriority w:val="0"/>
    <w:rPr>
      <w:color w:val="0000FF"/>
      <w:u w:val="single"/>
    </w:rPr>
  </w:style>
  <w:style w:type="character" w:styleId="45">
    <w:name w:val="footnote reference"/>
    <w:qFormat/>
    <w:uiPriority w:val="0"/>
    <w:rPr>
      <w:vertAlign w:val="superscript"/>
    </w:rPr>
  </w:style>
  <w:style w:type="paragraph" w:customStyle="1" w:styleId="46">
    <w:name w:val="一级条标题"/>
    <w:basedOn w:val="47"/>
    <w:next w:val="58"/>
    <w:qFormat/>
    <w:uiPriority w:val="0"/>
    <w:pPr>
      <w:tabs>
        <w:tab w:val="left" w:pos="810"/>
        <w:tab w:val="left" w:pos="907"/>
        <w:tab w:val="left" w:pos="1265"/>
      </w:tabs>
      <w:spacing w:before="0" w:after="0"/>
      <w:ind w:left="907" w:hanging="907"/>
      <w:outlineLvl w:val="2"/>
    </w:pPr>
    <w:rPr>
      <w:sz w:val="20"/>
    </w:rPr>
  </w:style>
  <w:style w:type="paragraph" w:customStyle="1" w:styleId="47">
    <w:name w:val="章标题"/>
    <w:next w:val="48"/>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2"/>
      <w:lang w:val="en-US" w:eastAsia="zh-CN" w:bidi="ar-SA"/>
    </w:rPr>
  </w:style>
  <w:style w:type="paragraph" w:customStyle="1" w:styleId="48">
    <w:name w:val="正文1"/>
    <w:basedOn w:val="49"/>
    <w:next w:val="57"/>
    <w:qFormat/>
    <w:uiPriority w:val="0"/>
    <w:pPr>
      <w:tabs>
        <w:tab w:val="left" w:pos="420"/>
      </w:tabs>
      <w:spacing w:line="360" w:lineRule="auto"/>
      <w:ind w:firstLine="432"/>
    </w:pPr>
    <w:rPr>
      <w:rFonts w:ascii="宋体"/>
      <w:b/>
      <w:sz w:val="24"/>
    </w:rPr>
  </w:style>
  <w:style w:type="paragraph" w:customStyle="1" w:styleId="49">
    <w:name w:val="正文111"/>
    <w:next w:val="50"/>
    <w:qFormat/>
    <w:uiPriority w:val="0"/>
    <w:rPr>
      <w:rFonts w:hint="default" w:ascii="Calibri" w:hAnsi="Calibri" w:eastAsia="宋体" w:cs="Times New Roman"/>
      <w:lang w:val="en-US" w:eastAsia="zh-CN" w:bidi="ar-SA"/>
    </w:rPr>
  </w:style>
  <w:style w:type="paragraph" w:customStyle="1" w:styleId="50">
    <w:name w:val="标题 41"/>
    <w:basedOn w:val="51"/>
    <w:next w:val="49"/>
    <w:qFormat/>
    <w:uiPriority w:val="0"/>
    <w:pPr>
      <w:keepNext/>
      <w:keepLines/>
      <w:spacing w:before="280" w:after="290" w:line="377" w:lineRule="auto"/>
      <w:outlineLvl w:val="3"/>
    </w:pPr>
    <w:rPr>
      <w:rFonts w:ascii="Cambria" w:hAnsi="Cambria"/>
      <w:b/>
      <w:bCs/>
      <w:sz w:val="28"/>
      <w:szCs w:val="28"/>
    </w:rPr>
  </w:style>
  <w:style w:type="paragraph" w:customStyle="1" w:styleId="51">
    <w:name w:val="正文12"/>
    <w:next w:val="5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2">
    <w:name w:val="脚注文本1"/>
    <w:basedOn w:val="53"/>
    <w:next w:val="56"/>
    <w:qFormat/>
    <w:uiPriority w:val="0"/>
    <w:pPr>
      <w:tabs>
        <w:tab w:val="left" w:pos="420"/>
      </w:tabs>
      <w:spacing w:after="40"/>
    </w:pPr>
    <w:rPr>
      <w:rFonts w:hint="default" w:ascii="Calibri" w:hAnsi="Calibri" w:eastAsia="宋体" w:cs="Times New Roman"/>
      <w:sz w:val="18"/>
      <w:lang w:val="en-US" w:eastAsia="zh-CN" w:bidi="ar-SA"/>
    </w:rPr>
  </w:style>
  <w:style w:type="paragraph" w:customStyle="1" w:styleId="53">
    <w:name w:val="正文1111"/>
    <w:next w:val="5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4">
    <w:name w:val="标题 211"/>
    <w:basedOn w:val="55"/>
    <w:next w:val="53"/>
    <w:qFormat/>
    <w:uiPriority w:val="0"/>
    <w:pPr>
      <w:keepNext/>
      <w:keepLines/>
      <w:spacing w:before="360" w:after="200"/>
      <w:outlineLvl w:val="1"/>
    </w:pPr>
    <w:rPr>
      <w:rFonts w:hint="default" w:ascii="Arial" w:hAnsi="Arial" w:eastAsia="Arial" w:cs="Times New Roman"/>
      <w:sz w:val="34"/>
      <w:lang w:val="en-US" w:eastAsia="zh-CN" w:bidi="ar-SA"/>
    </w:rPr>
  </w:style>
  <w:style w:type="paragraph" w:customStyle="1" w:styleId="55">
    <w:name w:val="正文11"/>
    <w:next w:val="1"/>
    <w:link w:val="327"/>
    <w:qFormat/>
    <w:uiPriority w:val="0"/>
    <w:pPr>
      <w:widowControl w:val="0"/>
      <w:jc w:val="both"/>
    </w:pPr>
    <w:rPr>
      <w:rFonts w:hint="default" w:ascii="Calibri" w:hAnsi="Calibri" w:eastAsia="宋体" w:cs="Times New Roman"/>
      <w:sz w:val="21"/>
      <w:szCs w:val="24"/>
      <w:lang w:val="en-US" w:eastAsia="zh-CN" w:bidi="ar-SA"/>
    </w:rPr>
  </w:style>
  <w:style w:type="paragraph" w:customStyle="1" w:styleId="56">
    <w:name w:val="索引 51"/>
    <w:basedOn w:val="51"/>
    <w:next w:val="48"/>
    <w:qFormat/>
    <w:uiPriority w:val="0"/>
    <w:pPr>
      <w:ind w:left="798"/>
      <w:jc w:val="left"/>
    </w:pPr>
  </w:style>
  <w:style w:type="paragraph" w:customStyle="1" w:styleId="57">
    <w:name w:val="文本块1"/>
    <w:basedOn w:val="49"/>
    <w:next w:val="50"/>
    <w:qFormat/>
    <w:uiPriority w:val="0"/>
    <w:pPr>
      <w:ind w:left="256" w:right="6" w:firstLine="624"/>
    </w:pPr>
    <w:rPr>
      <w:rFonts w:ascii="Times New Roman" w:hAnsi="Times New Roman" w:eastAsia="仿宋_GB2312"/>
      <w:sz w:val="28"/>
    </w:rPr>
  </w:style>
  <w:style w:type="paragraph" w:customStyle="1" w:styleId="58">
    <w:name w:val="段"/>
    <w:basedOn w:val="59"/>
    <w:next w:val="48"/>
    <w:qFormat/>
    <w:uiPriority w:val="0"/>
    <w:pPr>
      <w:widowControl/>
      <w:ind w:firstLine="200"/>
    </w:pPr>
    <w:rPr>
      <w:rFonts w:ascii="宋体"/>
      <w:sz w:val="20"/>
      <w:szCs w:val="20"/>
    </w:rPr>
  </w:style>
  <w:style w:type="paragraph" w:customStyle="1" w:styleId="59">
    <w:name w:val="正文112"/>
    <w:next w:val="6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0">
    <w:name w:val="正文文本11"/>
    <w:basedOn w:val="59"/>
    <w:next w:val="55"/>
    <w:qFormat/>
    <w:uiPriority w:val="0"/>
    <w:pPr>
      <w:spacing w:after="120"/>
    </w:pPr>
    <w:rPr>
      <w:rFonts w:ascii="Times New Roman" w:hAnsi="Times New Roman"/>
    </w:rPr>
  </w:style>
  <w:style w:type="paragraph" w:customStyle="1" w:styleId="61">
    <w:name w:val="正文首行缩进1"/>
    <w:basedOn w:val="60"/>
    <w:next w:val="62"/>
    <w:qFormat/>
    <w:uiPriority w:val="0"/>
    <w:pPr>
      <w:tabs>
        <w:tab w:val="left" w:pos="180"/>
      </w:tabs>
      <w:ind w:firstLine="100"/>
    </w:pPr>
  </w:style>
  <w:style w:type="paragraph" w:customStyle="1" w:styleId="62">
    <w:name w:val="正文首行缩进 21"/>
    <w:basedOn w:val="63"/>
    <w:next w:val="49"/>
    <w:qFormat/>
    <w:uiPriority w:val="0"/>
    <w:pPr>
      <w:spacing w:after="0" w:line="360" w:lineRule="auto"/>
      <w:ind w:left="0" w:firstLine="420"/>
    </w:pPr>
    <w:rPr>
      <w:rFonts w:ascii="宋体"/>
      <w:sz w:val="20"/>
      <w:szCs w:val="20"/>
    </w:rPr>
  </w:style>
  <w:style w:type="paragraph" w:customStyle="1" w:styleId="63">
    <w:name w:val="正文文本缩进1"/>
    <w:basedOn w:val="55"/>
    <w:next w:val="64"/>
    <w:qFormat/>
    <w:uiPriority w:val="0"/>
    <w:pPr>
      <w:spacing w:after="120"/>
      <w:ind w:left="420"/>
    </w:pPr>
    <w:rPr>
      <w:rFonts w:ascii="Times New Roman" w:hAnsi="Times New Roman"/>
    </w:rPr>
  </w:style>
  <w:style w:type="paragraph" w:customStyle="1" w:styleId="64">
    <w:name w:val="寄信人地址1"/>
    <w:basedOn w:val="49"/>
    <w:qFormat/>
    <w:uiPriority w:val="0"/>
    <w:rPr>
      <w:rFonts w:ascii="Arial" w:hAnsi="Arial"/>
    </w:rPr>
  </w:style>
  <w:style w:type="paragraph" w:customStyle="1" w:styleId="65">
    <w:name w:val="正文首行缩进11"/>
    <w:basedOn w:val="66"/>
    <w:next w:val="67"/>
    <w:qFormat/>
    <w:uiPriority w:val="0"/>
    <w:pPr>
      <w:tabs>
        <w:tab w:val="left" w:pos="420"/>
      </w:tabs>
      <w:spacing w:line="360" w:lineRule="auto"/>
      <w:ind w:firstLine="200"/>
    </w:pPr>
    <w:rPr>
      <w:rFonts w:ascii="仿宋_GB2312" w:eastAsia="仿宋_GB2312"/>
      <w:sz w:val="30"/>
      <w:szCs w:val="30"/>
    </w:rPr>
  </w:style>
  <w:style w:type="paragraph" w:customStyle="1" w:styleId="66">
    <w:name w:val="正文文本1"/>
    <w:basedOn w:val="55"/>
    <w:next w:val="46"/>
    <w:qFormat/>
    <w:uiPriority w:val="0"/>
    <w:pPr>
      <w:tabs>
        <w:tab w:val="left" w:pos="420"/>
      </w:tabs>
    </w:pPr>
    <w:rPr>
      <w:rFonts w:eastAsia="黑体"/>
      <w:bCs/>
      <w:spacing w:val="20"/>
      <w:sz w:val="56"/>
    </w:rPr>
  </w:style>
  <w:style w:type="paragraph" w:customStyle="1" w:styleId="67">
    <w:name w:val="正文首行缩进 211"/>
    <w:basedOn w:val="68"/>
    <w:qFormat/>
    <w:uiPriority w:val="99"/>
    <w:pPr>
      <w:spacing w:after="0" w:line="360" w:lineRule="auto"/>
      <w:ind w:left="0" w:firstLine="420"/>
    </w:pPr>
    <w:rPr>
      <w:rFonts w:ascii="宋体" w:hAnsi="宋体"/>
    </w:rPr>
  </w:style>
  <w:style w:type="paragraph" w:customStyle="1" w:styleId="68">
    <w:name w:val="正文文本缩进11"/>
    <w:basedOn w:val="51"/>
    <w:next w:val="69"/>
    <w:unhideWhenUsed/>
    <w:qFormat/>
    <w:uiPriority w:val="99"/>
    <w:pPr>
      <w:spacing w:line="360" w:lineRule="auto"/>
      <w:ind w:firstLine="425"/>
      <w:jc w:val="both"/>
    </w:pPr>
    <w:rPr>
      <w:lang w:val="en-US" w:eastAsia="zh-CN"/>
    </w:rPr>
  </w:style>
  <w:style w:type="paragraph" w:customStyle="1" w:styleId="69">
    <w:name w:val="寄信人地址11"/>
    <w:basedOn w:val="1"/>
    <w:unhideWhenUsed/>
    <w:qFormat/>
    <w:uiPriority w:val="99"/>
    <w:rPr>
      <w:rFonts w:ascii="Arial" w:hAnsi="Arial"/>
    </w:rPr>
  </w:style>
  <w:style w:type="paragraph" w:customStyle="1" w:styleId="70">
    <w:name w:val="标题 21"/>
    <w:basedOn w:val="51"/>
    <w:next w:val="55"/>
    <w:link w:val="230"/>
    <w:qFormat/>
    <w:uiPriority w:val="0"/>
    <w:pPr>
      <w:keepNext/>
      <w:keepLines/>
      <w:tabs>
        <w:tab w:val="left" w:pos="720"/>
      </w:tabs>
      <w:spacing w:before="260" w:after="260" w:line="415" w:lineRule="auto"/>
      <w:jc w:val="center"/>
      <w:outlineLvl w:val="1"/>
    </w:pPr>
    <w:rPr>
      <w:rFonts w:ascii="Cambria" w:hAnsi="Cambria"/>
      <w:b/>
      <w:bCs/>
      <w:sz w:val="28"/>
      <w:szCs w:val="32"/>
    </w:rPr>
  </w:style>
  <w:style w:type="paragraph" w:customStyle="1" w:styleId="71">
    <w:name w:val="无间隔1"/>
    <w:qFormat/>
    <w:uiPriority w:val="0"/>
    <w:rPr>
      <w:rFonts w:hint="default" w:ascii="Calibri" w:hAnsi="Calibri" w:eastAsia="宋体" w:cs="Times New Roman"/>
      <w:lang w:val="en-US" w:eastAsia="zh-CN" w:bidi="ar-SA"/>
    </w:rPr>
  </w:style>
  <w:style w:type="paragraph" w:customStyle="1" w:styleId="72">
    <w:name w:val="正文缩进1"/>
    <w:basedOn w:val="59"/>
    <w:next w:val="55"/>
    <w:qFormat/>
    <w:uiPriority w:val="0"/>
    <w:pPr>
      <w:ind w:firstLine="420"/>
    </w:pPr>
  </w:style>
  <w:style w:type="paragraph" w:customStyle="1" w:styleId="73">
    <w:name w:val="正文首行缩进 22"/>
    <w:basedOn w:val="74"/>
    <w:next w:val="59"/>
    <w:qFormat/>
    <w:uiPriority w:val="0"/>
    <w:pPr>
      <w:ind w:firstLine="420"/>
    </w:pPr>
  </w:style>
  <w:style w:type="paragraph" w:customStyle="1" w:styleId="74">
    <w:name w:val="正文文本缩进2"/>
    <w:basedOn w:val="49"/>
    <w:qFormat/>
    <w:uiPriority w:val="0"/>
    <w:pPr>
      <w:spacing w:after="120"/>
      <w:ind w:left="420"/>
    </w:pPr>
  </w:style>
  <w:style w:type="paragraph" w:customStyle="1" w:styleId="75">
    <w:name w:val="正文文本 21"/>
    <w:basedOn w:val="1"/>
    <w:qFormat/>
    <w:uiPriority w:val="0"/>
    <w:pPr>
      <w:spacing w:after="120" w:line="480" w:lineRule="auto"/>
    </w:pPr>
    <w:rPr>
      <w:rFonts w:ascii="Calibri" w:hAnsi="Calibri" w:eastAsia="宋体"/>
      <w:szCs w:val="22"/>
    </w:rPr>
  </w:style>
  <w:style w:type="character" w:customStyle="1" w:styleId="76">
    <w:name w:val="Heading 1 Char"/>
    <w:basedOn w:val="39"/>
    <w:qFormat/>
    <w:uiPriority w:val="9"/>
    <w:rPr>
      <w:rFonts w:ascii="Arial" w:hAnsi="Arial" w:eastAsia="Arial" w:cs="Arial"/>
      <w:sz w:val="40"/>
      <w:szCs w:val="40"/>
    </w:rPr>
  </w:style>
  <w:style w:type="paragraph" w:styleId="77">
    <w:name w:val="No Spacing"/>
    <w:qFormat/>
    <w:uiPriority w:val="1"/>
    <w:pPr>
      <w:spacing w:before="0" w:after="0" w:line="240" w:lineRule="auto"/>
    </w:pPr>
    <w:rPr>
      <w:rFonts w:hint="default" w:ascii="Times New Roman" w:hAnsi="Times New Roman" w:eastAsia="宋体" w:cs="Times New Roman"/>
    </w:rPr>
  </w:style>
  <w:style w:type="paragraph" w:styleId="78">
    <w:name w:val="Quote"/>
    <w:basedOn w:val="1"/>
    <w:next w:val="1"/>
    <w:qFormat/>
    <w:uiPriority w:val="29"/>
    <w:pPr>
      <w:ind w:left="720" w:right="720"/>
    </w:pPr>
    <w:rPr>
      <w:i/>
    </w:rPr>
  </w:style>
  <w:style w:type="paragraph" w:styleId="79">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table" w:customStyle="1" w:styleId="80">
    <w:name w:val="Table Grid Light"/>
    <w:basedOn w:val="3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81">
    <w:name w:val="Plain Table 1"/>
    <w:basedOn w:val="3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2">
    <w:name w:val="Plain Table 2"/>
    <w:basedOn w:val="3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3">
    <w:name w:val="Plain Table 3"/>
    <w:basedOn w:val="3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4">
    <w:name w:val="Plain Table 4"/>
    <w:basedOn w:val="3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5">
    <w:name w:val="Plain Table 5"/>
    <w:basedOn w:val="3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6">
    <w:name w:val="Grid Table 1 Light"/>
    <w:basedOn w:val="3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7">
    <w:name w:val="Grid Table 1 Light - Accent 1"/>
    <w:basedOn w:val="37"/>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8">
    <w:name w:val="Grid Table 1 Light - Accent 2"/>
    <w:basedOn w:val="37"/>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9">
    <w:name w:val="Grid Table 1 Light - Accent 3"/>
    <w:basedOn w:val="37"/>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90">
    <w:name w:val="Grid Table 1 Light - Accent 4"/>
    <w:basedOn w:val="37"/>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91">
    <w:name w:val="Grid Table 1 Light - Accent 5"/>
    <w:basedOn w:val="37"/>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92">
    <w:name w:val="Grid Table 1 Light - Accent 6"/>
    <w:basedOn w:val="37"/>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3">
    <w:name w:val="Grid Table 2"/>
    <w:basedOn w:val="3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Grid Table 2 - Accent 1"/>
    <w:basedOn w:val="37"/>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5">
    <w:name w:val="Grid Table 2 - Accent 2"/>
    <w:basedOn w:val="37"/>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6">
    <w:name w:val="Grid Table 2 - Accent 3"/>
    <w:basedOn w:val="37"/>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7">
    <w:name w:val="Grid Table 2 - Accent 4"/>
    <w:basedOn w:val="37"/>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8">
    <w:name w:val="Grid Table 2 - Accent 5"/>
    <w:basedOn w:val="37"/>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9">
    <w:name w:val="Grid Table 2 - Accent 6"/>
    <w:basedOn w:val="37"/>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0">
    <w:name w:val="Grid Table 3"/>
    <w:basedOn w:val="3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1">
    <w:name w:val="Grid Table 3 - Accent 1"/>
    <w:basedOn w:val="37"/>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2">
    <w:name w:val="Grid Table 3 - Accent 2"/>
    <w:basedOn w:val="37"/>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3">
    <w:name w:val="Grid Table 3 - Accent 3"/>
    <w:basedOn w:val="37"/>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4">
    <w:name w:val="Grid Table 3 - Accent 4"/>
    <w:basedOn w:val="37"/>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5">
    <w:name w:val="Grid Table 3 - Accent 5"/>
    <w:basedOn w:val="37"/>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6">
    <w:name w:val="Grid Table 3 - Accent 6"/>
    <w:basedOn w:val="37"/>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7">
    <w:name w:val="Grid Table 4"/>
    <w:basedOn w:val="3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8">
    <w:name w:val="Grid Table 4 - Accent 1"/>
    <w:basedOn w:val="37"/>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9">
    <w:name w:val="Grid Table 4 - Accent 2"/>
    <w:basedOn w:val="37"/>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0">
    <w:name w:val="Grid Table 4 - Accent 3"/>
    <w:basedOn w:val="37"/>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1">
    <w:name w:val="Grid Table 4 - Accent 4"/>
    <w:basedOn w:val="37"/>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2">
    <w:name w:val="Grid Table 4 - Accent 5"/>
    <w:basedOn w:val="37"/>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3">
    <w:name w:val="Grid Table 4 - Accent 6"/>
    <w:basedOn w:val="37"/>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4">
    <w:name w:val="Grid Table 5 Dark"/>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5">
    <w:name w:val="Grid Table 5 Dark- Accent 1"/>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6">
    <w:name w:val="Grid Table 5 Dark - Accent 2"/>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7">
    <w:name w:val="Grid Table 5 Dark - Accent 3"/>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8">
    <w:name w:val="Grid Table 5 Dark- Accent 4"/>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9">
    <w:name w:val="Grid Table 5 Dark - Accent 5"/>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20">
    <w:name w:val="Grid Table 5 Dark - Accent 6"/>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21">
    <w:name w:val="Grid Table 6 Colorful"/>
    <w:basedOn w:val="3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2">
    <w:name w:val="Grid Table 6 Colorful - Accent 1"/>
    <w:basedOn w:val="37"/>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3">
    <w:name w:val="Grid Table 6 Colorful - Accent 2"/>
    <w:basedOn w:val="37"/>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4">
    <w:name w:val="Grid Table 6 Colorful - Accent 3"/>
    <w:basedOn w:val="37"/>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5">
    <w:name w:val="Grid Table 6 Colorful - Accent 4"/>
    <w:basedOn w:val="37"/>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6">
    <w:name w:val="Grid Table 6 Colorful - Accent 5"/>
    <w:basedOn w:val="37"/>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7">
    <w:name w:val="Grid Table 6 Colorful - Accent 6"/>
    <w:basedOn w:val="37"/>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8">
    <w:name w:val="Grid Table 7 Colorful"/>
    <w:basedOn w:val="3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9">
    <w:name w:val="Grid Table 7 Colorful - Accent 1"/>
    <w:basedOn w:val="37"/>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0">
    <w:name w:val="Grid Table 7 Colorful - Accent 2"/>
    <w:basedOn w:val="37"/>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1">
    <w:name w:val="Grid Table 7 Colorful - Accent 3"/>
    <w:basedOn w:val="37"/>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32">
    <w:name w:val="Grid Table 7 Colorful - Accent 4"/>
    <w:basedOn w:val="37"/>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3">
    <w:name w:val="Grid Table 7 Colorful - Accent 5"/>
    <w:basedOn w:val="37"/>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4">
    <w:name w:val="Grid Table 7 Colorful - Accent 6"/>
    <w:basedOn w:val="37"/>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5">
    <w:name w:val="List Table 1 Light"/>
    <w:basedOn w:val="37"/>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6">
    <w:name w:val="List Table 1 Light - Accent 1"/>
    <w:basedOn w:val="37"/>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7">
    <w:name w:val="List Table 1 Light - Accent 2"/>
    <w:basedOn w:val="37"/>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8">
    <w:name w:val="List Table 1 Light - Accent 3"/>
    <w:basedOn w:val="37"/>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9">
    <w:name w:val="List Table 1 Light - Accent 4"/>
    <w:basedOn w:val="37"/>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40">
    <w:name w:val="List Table 1 Light - Accent 5"/>
    <w:basedOn w:val="37"/>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41">
    <w:name w:val="List Table 1 Light - Accent 6"/>
    <w:basedOn w:val="37"/>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42">
    <w:name w:val="List Table 2"/>
    <w:basedOn w:val="3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3">
    <w:name w:val="List Table 2 - Accent 1"/>
    <w:basedOn w:val="37"/>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4">
    <w:name w:val="List Table 2 - Accent 2"/>
    <w:basedOn w:val="37"/>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5">
    <w:name w:val="List Table 2 - Accent 3"/>
    <w:basedOn w:val="37"/>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6">
    <w:name w:val="List Table 2 - Accent 4"/>
    <w:basedOn w:val="37"/>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7">
    <w:name w:val="List Table 2 - Accent 5"/>
    <w:basedOn w:val="37"/>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8">
    <w:name w:val="List Table 2 - Accent 6"/>
    <w:basedOn w:val="37"/>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9">
    <w:name w:val="List Table 3"/>
    <w:basedOn w:val="3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0">
    <w:name w:val="List Table 3 - Accent 1"/>
    <w:basedOn w:val="37"/>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51">
    <w:name w:val="List Table 3 - Accent 2"/>
    <w:basedOn w:val="37"/>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52">
    <w:name w:val="List Table 3 - Accent 3"/>
    <w:basedOn w:val="37"/>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3">
    <w:name w:val="List Table 3 - Accent 4"/>
    <w:basedOn w:val="37"/>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4">
    <w:name w:val="List Table 3 - Accent 5"/>
    <w:basedOn w:val="37"/>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5">
    <w:name w:val="List Table 3 - Accent 6"/>
    <w:basedOn w:val="37"/>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6">
    <w:name w:val="List Table 4"/>
    <w:basedOn w:val="3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7">
    <w:name w:val="List Table 4 - Accent 1"/>
    <w:basedOn w:val="37"/>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8">
    <w:name w:val="List Table 4 - Accent 2"/>
    <w:basedOn w:val="37"/>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9">
    <w:name w:val="List Table 4 - Accent 3"/>
    <w:basedOn w:val="37"/>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0">
    <w:name w:val="List Table 4 - Accent 4"/>
    <w:basedOn w:val="37"/>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1">
    <w:name w:val="List Table 4 - Accent 5"/>
    <w:basedOn w:val="37"/>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2">
    <w:name w:val="List Table 4 - Accent 6"/>
    <w:basedOn w:val="37"/>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3">
    <w:name w:val="List Table 5 Dark"/>
    <w:basedOn w:val="3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4">
    <w:name w:val="List Table 5 Dark - Accent 1"/>
    <w:basedOn w:val="37"/>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5">
    <w:name w:val="List Table 5 Dark - Accent 2"/>
    <w:basedOn w:val="37"/>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6">
    <w:name w:val="List Table 5 Dark - Accent 3"/>
    <w:basedOn w:val="37"/>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7">
    <w:name w:val="List Table 5 Dark - Accent 4"/>
    <w:basedOn w:val="37"/>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8">
    <w:name w:val="List Table 5 Dark - Accent 5"/>
    <w:basedOn w:val="37"/>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9">
    <w:name w:val="List Table 5 Dark - Accent 6"/>
    <w:basedOn w:val="37"/>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0">
    <w:name w:val="List Table 6 Colorful"/>
    <w:basedOn w:val="37"/>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1">
    <w:name w:val="List Table 6 Colorful - Accent 1"/>
    <w:basedOn w:val="37"/>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2">
    <w:name w:val="List Table 6 Colorful - Accent 2"/>
    <w:basedOn w:val="37"/>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3">
    <w:name w:val="List Table 6 Colorful - Accent 3"/>
    <w:basedOn w:val="37"/>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4">
    <w:name w:val="List Table 6 Colorful - Accent 4"/>
    <w:basedOn w:val="37"/>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5">
    <w:name w:val="List Table 6 Colorful - Accent 5"/>
    <w:basedOn w:val="37"/>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6">
    <w:name w:val="List Table 6 Colorful - Accent 6"/>
    <w:basedOn w:val="37"/>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7">
    <w:name w:val="List Table 7 Colorful"/>
    <w:basedOn w:val="37"/>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8">
    <w:name w:val="List Table 7 Colorful - Accent 1"/>
    <w:basedOn w:val="37"/>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9">
    <w:name w:val="List Table 7 Colorful - Accent 2"/>
    <w:basedOn w:val="37"/>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0">
    <w:name w:val="List Table 7 Colorful - Accent 3"/>
    <w:basedOn w:val="37"/>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1">
    <w:name w:val="List Table 7 Colorful - Accent 4"/>
    <w:basedOn w:val="37"/>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2">
    <w:name w:val="List Table 7 Colorful - Accent 5"/>
    <w:basedOn w:val="37"/>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3">
    <w:name w:val="List Table 7 Colorful - Accent 6"/>
    <w:basedOn w:val="37"/>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4">
    <w:name w:val="Lined - Accent"/>
    <w:basedOn w:val="37"/>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5">
    <w:name w:val="Lined - Accent 1"/>
    <w:basedOn w:val="37"/>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6">
    <w:name w:val="Lined - Accent 2"/>
    <w:basedOn w:val="37"/>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7">
    <w:name w:val="Lined - Accent 3"/>
    <w:basedOn w:val="37"/>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8">
    <w:name w:val="Lined - Accent 4"/>
    <w:basedOn w:val="37"/>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9">
    <w:name w:val="Lined - Accent 5"/>
    <w:basedOn w:val="37"/>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0">
    <w:name w:val="Lined - Accent 6"/>
    <w:basedOn w:val="37"/>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1">
    <w:name w:val="Bordered &amp; Lined - Accent"/>
    <w:basedOn w:val="37"/>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2">
    <w:name w:val="Bordered &amp; Lined - Accent 1"/>
    <w:basedOn w:val="37"/>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3">
    <w:name w:val="Bordered &amp; Lined - Accent 2"/>
    <w:basedOn w:val="37"/>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4">
    <w:name w:val="Bordered &amp; Lined - Accent 3"/>
    <w:basedOn w:val="37"/>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5">
    <w:name w:val="Bordered &amp; Lined - Accent 4"/>
    <w:basedOn w:val="37"/>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6">
    <w:name w:val="Bordered &amp; Lined - Accent 5"/>
    <w:basedOn w:val="37"/>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7">
    <w:name w:val="Bordered &amp; Lined - Accent 6"/>
    <w:basedOn w:val="37"/>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8">
    <w:name w:val="Bordered"/>
    <w:basedOn w:val="37"/>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9">
    <w:name w:val="Bordered - Accent 1"/>
    <w:basedOn w:val="37"/>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0">
    <w:name w:val="Bordered - Accent 2"/>
    <w:basedOn w:val="37"/>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1">
    <w:name w:val="Bordered - Accent 3"/>
    <w:basedOn w:val="37"/>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2">
    <w:name w:val="Bordered - Accent 4"/>
    <w:basedOn w:val="37"/>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3">
    <w:name w:val="Bordered - Accent 5"/>
    <w:basedOn w:val="37"/>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4">
    <w:name w:val="Bordered - Accent 6"/>
    <w:basedOn w:val="37"/>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paragraph" w:customStyle="1" w:styleId="205">
    <w:name w:val="TOC Heading"/>
    <w:unhideWhenUsed/>
    <w:qFormat/>
    <w:uiPriority w:val="39"/>
    <w:rPr>
      <w:rFonts w:hint="default" w:ascii="Times New Roman" w:hAnsi="Times New Roman" w:eastAsia="宋体" w:cs="Times New Roman"/>
    </w:rPr>
  </w:style>
  <w:style w:type="paragraph" w:customStyle="1" w:styleId="206">
    <w:name w:val="样式 正文文本缩进 + 首行缩进:  2 字符 行距: 1.5 倍行距"/>
    <w:basedOn w:val="63"/>
    <w:qFormat/>
    <w:uiPriority w:val="0"/>
    <w:pPr>
      <w:spacing w:before="156"/>
      <w:ind w:firstLine="645"/>
    </w:pPr>
    <w:rPr>
      <w:rFonts w:ascii="Calibri" w:hAnsi="Calibri"/>
      <w:sz w:val="28"/>
    </w:rPr>
  </w:style>
  <w:style w:type="paragraph" w:customStyle="1" w:styleId="207">
    <w:name w:val="标题1"/>
    <w:basedOn w:val="51"/>
    <w:next w:val="208"/>
    <w:qFormat/>
    <w:uiPriority w:val="0"/>
    <w:pPr>
      <w:spacing w:before="240" w:after="60"/>
      <w:jc w:val="center"/>
      <w:outlineLvl w:val="0"/>
    </w:pPr>
    <w:rPr>
      <w:rFonts w:ascii="Cambria" w:hAnsi="Cambria"/>
      <w:b/>
      <w:bCs/>
      <w:sz w:val="32"/>
      <w:szCs w:val="32"/>
    </w:rPr>
  </w:style>
  <w:style w:type="paragraph" w:customStyle="1" w:styleId="208">
    <w:name w:val="纯文本1"/>
    <w:basedOn w:val="55"/>
    <w:qFormat/>
    <w:uiPriority w:val="0"/>
    <w:rPr>
      <w:rFonts w:ascii="宋体"/>
      <w:szCs w:val="21"/>
    </w:rPr>
  </w:style>
  <w:style w:type="character" w:customStyle="1" w:styleId="209">
    <w:name w:val="正文11 Char"/>
    <w:basedOn w:val="39"/>
    <w:link w:val="55"/>
    <w:qFormat/>
    <w:uiPriority w:val="0"/>
    <w:rPr>
      <w:rFonts w:ascii="Calibri" w:hAnsi="Calibri" w:eastAsia="宋体" w:cs="Times New Roman"/>
      <w:sz w:val="21"/>
      <w:szCs w:val="24"/>
      <w:lang w:val="en-US" w:eastAsia="zh-CN" w:bidi="ar-SA"/>
    </w:rPr>
  </w:style>
  <w:style w:type="character" w:customStyle="1" w:styleId="210">
    <w:name w:val="Heading 2 Char"/>
    <w:basedOn w:val="39"/>
    <w:qFormat/>
    <w:uiPriority w:val="0"/>
    <w:rPr>
      <w:rFonts w:ascii="Arial" w:hAnsi="Arial" w:eastAsia="Arial" w:cs="Arial"/>
      <w:sz w:val="34"/>
    </w:rPr>
  </w:style>
  <w:style w:type="character" w:customStyle="1" w:styleId="211">
    <w:name w:val="Heading 3 Char"/>
    <w:basedOn w:val="39"/>
    <w:qFormat/>
    <w:uiPriority w:val="0"/>
    <w:rPr>
      <w:rFonts w:ascii="Arial" w:hAnsi="Arial" w:eastAsia="Arial" w:cs="Arial"/>
      <w:sz w:val="30"/>
      <w:szCs w:val="30"/>
    </w:rPr>
  </w:style>
  <w:style w:type="character" w:customStyle="1" w:styleId="212">
    <w:name w:val="Heading 4 Char"/>
    <w:basedOn w:val="39"/>
    <w:qFormat/>
    <w:uiPriority w:val="0"/>
    <w:rPr>
      <w:rFonts w:ascii="Arial" w:hAnsi="Arial" w:eastAsia="Arial" w:cs="Arial"/>
      <w:b/>
      <w:bCs/>
      <w:sz w:val="26"/>
      <w:szCs w:val="26"/>
    </w:rPr>
  </w:style>
  <w:style w:type="character" w:customStyle="1" w:styleId="213">
    <w:name w:val="Heading 5 Char"/>
    <w:basedOn w:val="39"/>
    <w:qFormat/>
    <w:uiPriority w:val="0"/>
    <w:rPr>
      <w:rFonts w:ascii="Arial" w:hAnsi="Arial" w:eastAsia="Arial" w:cs="Arial"/>
      <w:b/>
      <w:bCs/>
      <w:sz w:val="24"/>
      <w:szCs w:val="24"/>
    </w:rPr>
  </w:style>
  <w:style w:type="character" w:customStyle="1" w:styleId="214">
    <w:name w:val="Heading 6 Char"/>
    <w:basedOn w:val="39"/>
    <w:qFormat/>
    <w:uiPriority w:val="0"/>
    <w:rPr>
      <w:rFonts w:ascii="Arial" w:hAnsi="Arial" w:eastAsia="Arial" w:cs="Arial"/>
      <w:b/>
      <w:bCs/>
      <w:sz w:val="22"/>
      <w:szCs w:val="22"/>
    </w:rPr>
  </w:style>
  <w:style w:type="character" w:customStyle="1" w:styleId="215">
    <w:name w:val="Heading 7 Char"/>
    <w:basedOn w:val="39"/>
    <w:qFormat/>
    <w:uiPriority w:val="0"/>
    <w:rPr>
      <w:rFonts w:ascii="Arial" w:hAnsi="Arial" w:eastAsia="Arial" w:cs="Arial"/>
      <w:b/>
      <w:bCs/>
      <w:i/>
      <w:iCs/>
      <w:sz w:val="22"/>
      <w:szCs w:val="22"/>
    </w:rPr>
  </w:style>
  <w:style w:type="character" w:customStyle="1" w:styleId="216">
    <w:name w:val="Heading 8 Char"/>
    <w:basedOn w:val="39"/>
    <w:qFormat/>
    <w:uiPriority w:val="0"/>
    <w:rPr>
      <w:rFonts w:ascii="Arial" w:hAnsi="Arial" w:eastAsia="Arial" w:cs="Arial"/>
      <w:i/>
      <w:iCs/>
      <w:sz w:val="22"/>
      <w:szCs w:val="22"/>
    </w:rPr>
  </w:style>
  <w:style w:type="character" w:customStyle="1" w:styleId="217">
    <w:name w:val="Heading 9 Char"/>
    <w:basedOn w:val="39"/>
    <w:qFormat/>
    <w:uiPriority w:val="0"/>
    <w:rPr>
      <w:rFonts w:ascii="Arial" w:hAnsi="Arial" w:eastAsia="Arial" w:cs="Arial"/>
      <w:i/>
      <w:iCs/>
      <w:sz w:val="21"/>
      <w:szCs w:val="21"/>
    </w:rPr>
  </w:style>
  <w:style w:type="character" w:customStyle="1" w:styleId="218">
    <w:name w:val="Title Char"/>
    <w:basedOn w:val="39"/>
    <w:qFormat/>
    <w:uiPriority w:val="0"/>
    <w:rPr>
      <w:sz w:val="48"/>
      <w:szCs w:val="48"/>
    </w:rPr>
  </w:style>
  <w:style w:type="character" w:customStyle="1" w:styleId="219">
    <w:name w:val="Subtitle Char"/>
    <w:basedOn w:val="39"/>
    <w:qFormat/>
    <w:uiPriority w:val="0"/>
    <w:rPr>
      <w:sz w:val="24"/>
      <w:szCs w:val="24"/>
    </w:rPr>
  </w:style>
  <w:style w:type="character" w:customStyle="1" w:styleId="220">
    <w:name w:val="Quote Char"/>
    <w:qFormat/>
    <w:uiPriority w:val="0"/>
    <w:rPr>
      <w:i/>
    </w:rPr>
  </w:style>
  <w:style w:type="character" w:customStyle="1" w:styleId="221">
    <w:name w:val="Intense Quote Char"/>
    <w:qFormat/>
    <w:uiPriority w:val="0"/>
    <w:rPr>
      <w:i/>
    </w:rPr>
  </w:style>
  <w:style w:type="character" w:customStyle="1" w:styleId="222">
    <w:name w:val="Header Char"/>
    <w:basedOn w:val="39"/>
    <w:qFormat/>
    <w:uiPriority w:val="0"/>
  </w:style>
  <w:style w:type="character" w:customStyle="1" w:styleId="223">
    <w:name w:val="Caption Char"/>
    <w:qFormat/>
    <w:uiPriority w:val="0"/>
  </w:style>
  <w:style w:type="character" w:customStyle="1" w:styleId="224">
    <w:name w:val="Footnote Text Char"/>
    <w:qFormat/>
    <w:uiPriority w:val="0"/>
    <w:rPr>
      <w:sz w:val="18"/>
    </w:rPr>
  </w:style>
  <w:style w:type="character" w:customStyle="1" w:styleId="225">
    <w:name w:val="Endnote Text Char"/>
    <w:qFormat/>
    <w:uiPriority w:val="0"/>
    <w:rPr>
      <w:sz w:val="20"/>
    </w:rPr>
  </w:style>
  <w:style w:type="paragraph" w:customStyle="1" w:styleId="226">
    <w:name w:val="TOC 标题1"/>
    <w:qFormat/>
    <w:uiPriority w:val="0"/>
    <w:rPr>
      <w:rFonts w:hint="default" w:ascii="Times New Roman" w:hAnsi="Times New Roman" w:eastAsia="宋体" w:cs="Times New Roman"/>
      <w:lang w:val="en-US" w:eastAsia="zh-CN" w:bidi="ar-SA"/>
    </w:rPr>
  </w:style>
  <w:style w:type="paragraph" w:customStyle="1" w:styleId="227">
    <w:name w:val="列出段落1"/>
    <w:next w:val="1"/>
    <w:qFormat/>
    <w:uiPriority w:val="0"/>
    <w:pPr>
      <w:ind w:left="720"/>
      <w:contextualSpacing/>
    </w:pPr>
    <w:rPr>
      <w:rFonts w:hint="default" w:ascii="Calibri" w:hAnsi="Calibri" w:eastAsia="宋体" w:cs="Times New Roman"/>
      <w:lang w:val="en-US" w:eastAsia="zh-CN" w:bidi="ar-SA"/>
    </w:rPr>
  </w:style>
  <w:style w:type="paragraph" w:customStyle="1" w:styleId="228">
    <w:name w:val="引用1"/>
    <w:qFormat/>
    <w:uiPriority w:val="0"/>
    <w:pPr>
      <w:ind w:left="720" w:right="720"/>
    </w:pPr>
    <w:rPr>
      <w:rFonts w:hint="default" w:ascii="Calibri" w:hAnsi="Calibri" w:eastAsia="宋体" w:cs="Times New Roman"/>
      <w:i/>
      <w:lang w:val="en-US" w:eastAsia="zh-CN" w:bidi="ar-SA"/>
    </w:rPr>
  </w:style>
  <w:style w:type="paragraph" w:customStyle="1" w:styleId="229">
    <w:name w:val="明显引用1"/>
    <w:qFormat/>
    <w:uiPriority w:val="0"/>
    <w:pPr>
      <w:pBdr>
        <w:top w:val="single" w:color="FFFFFF" w:sz="4" w:space="5"/>
        <w:left w:val="single" w:color="FFFFFF" w:sz="4" w:space="10"/>
        <w:bottom w:val="single" w:color="FFFFFF" w:sz="4" w:space="5"/>
        <w:right w:val="single" w:color="FFFFFF" w:sz="4" w:space="10"/>
      </w:pBdr>
      <w:shd w:val="clear" w:color="auto" w:fill="F2F2F2"/>
      <w:ind w:left="720" w:right="720"/>
    </w:pPr>
    <w:rPr>
      <w:rFonts w:hint="default" w:ascii="Calibri" w:hAnsi="Calibri" w:eastAsia="宋体" w:cs="Times New Roman"/>
      <w:i/>
      <w:lang w:val="en-US" w:eastAsia="zh-CN" w:bidi="ar-SA"/>
    </w:rPr>
  </w:style>
  <w:style w:type="character" w:customStyle="1" w:styleId="230">
    <w:name w:val="标题 21 Char"/>
    <w:basedOn w:val="209"/>
    <w:link w:val="70"/>
    <w:qFormat/>
    <w:uiPriority w:val="0"/>
    <w:rPr>
      <w:rFonts w:ascii="Cambria" w:hAnsi="Cambria" w:eastAsia="宋体" w:cs="Times New Roman"/>
      <w:b/>
      <w:bCs/>
      <w:sz w:val="28"/>
      <w:szCs w:val="32"/>
      <w:lang w:val="en-US" w:eastAsia="zh-CN" w:bidi="ar-SA"/>
    </w:rPr>
  </w:style>
  <w:style w:type="paragraph" w:customStyle="1" w:styleId="231">
    <w:name w:val="正文122"/>
    <w:next w:val="232"/>
    <w:qFormat/>
    <w:uiPriority w:val="0"/>
    <w:rPr>
      <w:rFonts w:hint="default" w:ascii="Times New Roman" w:hAnsi="Times New Roman" w:eastAsia="宋体" w:cs="Times New Roman"/>
      <w:lang w:val="en-US" w:eastAsia="zh-CN" w:bidi="ar-SA"/>
    </w:rPr>
  </w:style>
  <w:style w:type="paragraph" w:customStyle="1" w:styleId="232">
    <w:name w:val="目录 21"/>
    <w:basedOn w:val="49"/>
    <w:next w:val="231"/>
    <w:qFormat/>
    <w:uiPriority w:val="0"/>
    <w:pPr>
      <w:spacing w:after="57"/>
      <w:ind w:left="283"/>
    </w:pPr>
    <w:rPr>
      <w:rFonts w:ascii="Times New Roman" w:hAnsi="Times New Roman"/>
    </w:rPr>
  </w:style>
  <w:style w:type="paragraph" w:customStyle="1" w:styleId="233">
    <w:name w:val="列表 211"/>
    <w:basedOn w:val="231"/>
    <w:qFormat/>
    <w:uiPriority w:val="0"/>
    <w:pPr>
      <w:ind w:left="100" w:hanging="200"/>
    </w:pPr>
  </w:style>
  <w:style w:type="paragraph" w:customStyle="1" w:styleId="234">
    <w:name w:val="标题 111"/>
    <w:basedOn w:val="55"/>
    <w:next w:val="49"/>
    <w:qFormat/>
    <w:uiPriority w:val="0"/>
    <w:pPr>
      <w:spacing w:before="59"/>
      <w:ind w:left="1373"/>
      <w:jc w:val="left"/>
      <w:outlineLvl w:val="1"/>
    </w:pPr>
    <w:rPr>
      <w:rFonts w:ascii="仿宋" w:eastAsia="仿宋"/>
      <w:b/>
      <w:bCs/>
      <w:sz w:val="30"/>
      <w:szCs w:val="30"/>
      <w:lang w:val="zh-CN" w:bidi="zh-CN"/>
    </w:rPr>
  </w:style>
  <w:style w:type="paragraph" w:customStyle="1" w:styleId="235">
    <w:name w:val="标题 311"/>
    <w:next w:val="49"/>
    <w:qFormat/>
    <w:uiPriority w:val="0"/>
    <w:pPr>
      <w:keepNext/>
      <w:keepLines/>
      <w:spacing w:before="320" w:after="200"/>
      <w:outlineLvl w:val="2"/>
    </w:pPr>
    <w:rPr>
      <w:rFonts w:hint="default" w:ascii="Arial" w:hAnsi="Arial" w:eastAsia="Arial" w:cs="Times New Roman"/>
      <w:sz w:val="30"/>
      <w:szCs w:val="30"/>
      <w:lang w:val="en-US" w:eastAsia="zh-CN" w:bidi="ar-SA"/>
    </w:rPr>
  </w:style>
  <w:style w:type="paragraph" w:customStyle="1" w:styleId="236">
    <w:name w:val="标题 411"/>
    <w:basedOn w:val="51"/>
    <w:next w:val="1"/>
    <w:qFormat/>
    <w:uiPriority w:val="0"/>
    <w:pPr>
      <w:keepNext/>
      <w:keepLines/>
      <w:spacing w:before="320" w:after="200"/>
      <w:outlineLvl w:val="3"/>
    </w:pPr>
    <w:rPr>
      <w:rFonts w:ascii="Arial" w:hAnsi="Arial" w:eastAsia="Arial"/>
      <w:b/>
      <w:bCs/>
      <w:sz w:val="26"/>
      <w:szCs w:val="26"/>
    </w:rPr>
  </w:style>
  <w:style w:type="paragraph" w:customStyle="1" w:styleId="237">
    <w:name w:val="标题 51"/>
    <w:next w:val="49"/>
    <w:qFormat/>
    <w:uiPriority w:val="0"/>
    <w:pPr>
      <w:keepNext/>
      <w:keepLines/>
      <w:spacing w:before="320" w:after="200"/>
      <w:outlineLvl w:val="4"/>
    </w:pPr>
    <w:rPr>
      <w:rFonts w:hint="default" w:ascii="Arial" w:hAnsi="Arial" w:eastAsia="Arial" w:cs="Times New Roman"/>
      <w:b/>
      <w:bCs/>
      <w:sz w:val="24"/>
      <w:szCs w:val="24"/>
      <w:lang w:val="en-US" w:eastAsia="zh-CN" w:bidi="ar-SA"/>
    </w:rPr>
  </w:style>
  <w:style w:type="paragraph" w:customStyle="1" w:styleId="238">
    <w:name w:val="标题 61"/>
    <w:next w:val="49"/>
    <w:qFormat/>
    <w:uiPriority w:val="0"/>
    <w:pPr>
      <w:keepNext/>
      <w:keepLines/>
      <w:spacing w:before="320" w:after="200"/>
      <w:outlineLvl w:val="5"/>
    </w:pPr>
    <w:rPr>
      <w:rFonts w:hint="default" w:ascii="Arial" w:hAnsi="Arial" w:eastAsia="Arial" w:cs="Times New Roman"/>
      <w:b/>
      <w:bCs/>
      <w:sz w:val="22"/>
      <w:szCs w:val="22"/>
      <w:lang w:val="en-US" w:eastAsia="zh-CN" w:bidi="ar-SA"/>
    </w:rPr>
  </w:style>
  <w:style w:type="paragraph" w:customStyle="1" w:styleId="239">
    <w:name w:val="标题 71"/>
    <w:next w:val="49"/>
    <w:qFormat/>
    <w:uiPriority w:val="0"/>
    <w:pPr>
      <w:keepNext/>
      <w:keepLines/>
      <w:spacing w:before="320" w:after="200"/>
      <w:outlineLvl w:val="6"/>
    </w:pPr>
    <w:rPr>
      <w:rFonts w:hint="default" w:ascii="Arial" w:hAnsi="Arial" w:eastAsia="Arial" w:cs="Times New Roman"/>
      <w:b/>
      <w:bCs/>
      <w:i/>
      <w:iCs/>
      <w:sz w:val="22"/>
      <w:szCs w:val="22"/>
      <w:lang w:val="en-US" w:eastAsia="zh-CN" w:bidi="ar-SA"/>
    </w:rPr>
  </w:style>
  <w:style w:type="paragraph" w:customStyle="1" w:styleId="240">
    <w:name w:val="标题 81"/>
    <w:next w:val="49"/>
    <w:qFormat/>
    <w:uiPriority w:val="0"/>
    <w:pPr>
      <w:keepNext/>
      <w:keepLines/>
      <w:spacing w:before="320" w:after="200"/>
      <w:outlineLvl w:val="7"/>
    </w:pPr>
    <w:rPr>
      <w:rFonts w:hint="default" w:ascii="Arial" w:hAnsi="Arial" w:eastAsia="Arial" w:cs="Times New Roman"/>
      <w:i/>
      <w:iCs/>
      <w:sz w:val="22"/>
      <w:szCs w:val="22"/>
      <w:lang w:val="en-US" w:eastAsia="zh-CN" w:bidi="ar-SA"/>
    </w:rPr>
  </w:style>
  <w:style w:type="paragraph" w:customStyle="1" w:styleId="241">
    <w:name w:val="标题 91"/>
    <w:next w:val="49"/>
    <w:qFormat/>
    <w:uiPriority w:val="0"/>
    <w:pPr>
      <w:keepNext/>
      <w:keepLines/>
      <w:spacing w:before="320" w:after="200"/>
      <w:outlineLvl w:val="8"/>
    </w:pPr>
    <w:rPr>
      <w:rFonts w:hint="default" w:ascii="Arial" w:hAnsi="Arial" w:eastAsia="Arial" w:cs="Times New Roman"/>
      <w:i/>
      <w:iCs/>
      <w:sz w:val="21"/>
      <w:szCs w:val="21"/>
      <w:lang w:val="en-US" w:eastAsia="zh-CN" w:bidi="ar-SA"/>
    </w:rPr>
  </w:style>
  <w:style w:type="character" w:customStyle="1" w:styleId="242">
    <w:name w:val="默认段落字体11"/>
    <w:qFormat/>
    <w:uiPriority w:val="0"/>
  </w:style>
  <w:style w:type="character" w:customStyle="1" w:styleId="243">
    <w:name w:val="脚注引用1"/>
    <w:qFormat/>
    <w:uiPriority w:val="0"/>
    <w:rPr>
      <w:vertAlign w:val="superscript"/>
    </w:rPr>
  </w:style>
  <w:style w:type="character" w:customStyle="1" w:styleId="244">
    <w:name w:val="强调11"/>
    <w:qFormat/>
    <w:uiPriority w:val="0"/>
    <w:rPr>
      <w:i/>
    </w:rPr>
  </w:style>
  <w:style w:type="character" w:customStyle="1" w:styleId="245">
    <w:name w:val="页码1"/>
    <w:qFormat/>
    <w:uiPriority w:val="0"/>
    <w:rPr>
      <w:rFonts w:ascii="Times New Roman" w:hAnsi="Times New Roman" w:eastAsia="宋体"/>
    </w:rPr>
  </w:style>
  <w:style w:type="character" w:customStyle="1" w:styleId="246">
    <w:name w:val="默认段落字体1"/>
    <w:qFormat/>
    <w:uiPriority w:val="0"/>
    <w:rPr>
      <w:rFonts w:ascii="Times New Roman" w:hAnsi="Times New Roman" w:eastAsia="宋体"/>
    </w:rPr>
  </w:style>
  <w:style w:type="paragraph" w:customStyle="1" w:styleId="247">
    <w:name w:val="标题 11"/>
    <w:basedOn w:val="55"/>
    <w:next w:val="55"/>
    <w:qFormat/>
    <w:uiPriority w:val="0"/>
    <w:pPr>
      <w:keepNext/>
      <w:keepLines/>
      <w:spacing w:before="340" w:after="330" w:line="576" w:lineRule="auto"/>
      <w:outlineLvl w:val="0"/>
    </w:pPr>
    <w:rPr>
      <w:b/>
      <w:sz w:val="44"/>
      <w:szCs w:val="20"/>
    </w:rPr>
  </w:style>
  <w:style w:type="character" w:customStyle="1" w:styleId="248">
    <w:name w:val="HTML 引文1"/>
    <w:qFormat/>
    <w:uiPriority w:val="0"/>
    <w:rPr>
      <w:color w:val="008000"/>
    </w:rPr>
  </w:style>
  <w:style w:type="character" w:customStyle="1" w:styleId="249">
    <w:name w:val="已访问的超链接1"/>
    <w:qFormat/>
    <w:uiPriority w:val="0"/>
    <w:rPr>
      <w:color w:val="771CAA"/>
      <w:u w:val="none"/>
    </w:rPr>
  </w:style>
  <w:style w:type="paragraph" w:customStyle="1" w:styleId="250">
    <w:name w:val="批注框文本1"/>
    <w:basedOn w:val="55"/>
    <w:qFormat/>
    <w:uiPriority w:val="0"/>
    <w:rPr>
      <w:sz w:val="18"/>
      <w:szCs w:val="18"/>
    </w:rPr>
  </w:style>
  <w:style w:type="character" w:customStyle="1" w:styleId="251">
    <w:name w:val="font11"/>
    <w:qFormat/>
    <w:uiPriority w:val="0"/>
    <w:rPr>
      <w:rFonts w:ascii="宋体" w:eastAsia="宋体"/>
      <w:color w:val="000000"/>
      <w:sz w:val="28"/>
      <w:szCs w:val="28"/>
      <w:u w:val="none"/>
      <w:vertAlign w:val="superscript"/>
    </w:rPr>
  </w:style>
  <w:style w:type="paragraph" w:customStyle="1" w:styleId="252">
    <w:name w:val="页眉1"/>
    <w:basedOn w:val="55"/>
    <w:qFormat/>
    <w:uiPriority w:val="0"/>
    <w:pPr>
      <w:pBdr>
        <w:bottom w:val="single" w:color="000000" w:sz="6" w:space="1"/>
      </w:pBdr>
      <w:tabs>
        <w:tab w:val="center" w:pos="4153"/>
        <w:tab w:val="right" w:pos="8306"/>
      </w:tabs>
      <w:jc w:val="center"/>
    </w:pPr>
    <w:rPr>
      <w:sz w:val="18"/>
      <w:szCs w:val="18"/>
    </w:rPr>
  </w:style>
  <w:style w:type="paragraph" w:customStyle="1" w:styleId="253">
    <w:name w:val="无间隔11"/>
    <w:qFormat/>
    <w:uiPriority w:val="0"/>
    <w:rPr>
      <w:rFonts w:hint="default" w:ascii="Calibri" w:hAnsi="Calibri" w:eastAsia="宋体" w:cs="Times New Roman"/>
      <w:sz w:val="22"/>
      <w:szCs w:val="22"/>
      <w:lang w:val="en-US" w:eastAsia="zh-CN" w:bidi="ar-SA"/>
    </w:rPr>
  </w:style>
  <w:style w:type="paragraph" w:customStyle="1" w:styleId="254">
    <w:name w:val="批注文字1"/>
    <w:basedOn w:val="55"/>
    <w:qFormat/>
    <w:uiPriority w:val="0"/>
    <w:pPr>
      <w:jc w:val="left"/>
    </w:pPr>
  </w:style>
  <w:style w:type="character" w:customStyle="1" w:styleId="255">
    <w:name w:val="chewduserlogo"/>
    <w:qFormat/>
    <w:uiPriority w:val="0"/>
  </w:style>
  <w:style w:type="character" w:customStyle="1" w:styleId="256">
    <w:name w:val="HTML 定义1"/>
    <w:qFormat/>
    <w:uiPriority w:val="0"/>
  </w:style>
  <w:style w:type="paragraph" w:customStyle="1" w:styleId="257">
    <w:name w:val="批注主题1"/>
    <w:basedOn w:val="254"/>
    <w:next w:val="254"/>
    <w:qFormat/>
    <w:uiPriority w:val="0"/>
    <w:rPr>
      <w:b/>
      <w:bCs/>
    </w:rPr>
  </w:style>
  <w:style w:type="paragraph" w:customStyle="1" w:styleId="258">
    <w:name w:val="副标题1"/>
    <w:qFormat/>
    <w:uiPriority w:val="0"/>
    <w:pPr>
      <w:spacing w:before="200" w:after="200"/>
    </w:pPr>
    <w:rPr>
      <w:rFonts w:hint="default" w:ascii="Calibri" w:hAnsi="Calibri" w:eastAsia="宋体" w:cs="Times New Roman"/>
      <w:sz w:val="24"/>
      <w:szCs w:val="24"/>
      <w:lang w:val="en-US" w:eastAsia="zh-CN" w:bidi="ar-SA"/>
    </w:rPr>
  </w:style>
  <w:style w:type="character" w:customStyle="1" w:styleId="259">
    <w:name w:val="超链接11"/>
    <w:qFormat/>
    <w:uiPriority w:val="0"/>
    <w:rPr>
      <w:color w:val="0000FF"/>
      <w:u w:val="single"/>
    </w:rPr>
  </w:style>
  <w:style w:type="character" w:customStyle="1" w:styleId="260">
    <w:name w:val="尾注引用1"/>
    <w:qFormat/>
    <w:uiPriority w:val="0"/>
    <w:rPr>
      <w:vertAlign w:val="superscript"/>
    </w:rPr>
  </w:style>
  <w:style w:type="character" w:customStyle="1" w:styleId="261">
    <w:name w:val="hover27"/>
    <w:qFormat/>
    <w:uiPriority w:val="0"/>
    <w:rPr>
      <w:color w:val="315EFB"/>
    </w:rPr>
  </w:style>
  <w:style w:type="paragraph" w:customStyle="1" w:styleId="262">
    <w:name w:val="页脚11"/>
    <w:basedOn w:val="49"/>
    <w:qFormat/>
    <w:uiPriority w:val="0"/>
    <w:pPr>
      <w:tabs>
        <w:tab w:val="center" w:pos="7143"/>
        <w:tab w:val="right" w:pos="14287"/>
      </w:tabs>
    </w:pPr>
  </w:style>
  <w:style w:type="character" w:customStyle="1" w:styleId="263">
    <w:name w:val="hover26"/>
    <w:qFormat/>
    <w:uiPriority w:val="0"/>
  </w:style>
  <w:style w:type="paragraph" w:customStyle="1" w:styleId="264">
    <w:name w:val="页脚1"/>
    <w:basedOn w:val="55"/>
    <w:qFormat/>
    <w:uiPriority w:val="0"/>
    <w:pPr>
      <w:tabs>
        <w:tab w:val="center" w:pos="4153"/>
        <w:tab w:val="right" w:pos="8306"/>
      </w:tabs>
      <w:jc w:val="left"/>
    </w:pPr>
    <w:rPr>
      <w:sz w:val="18"/>
      <w:szCs w:val="18"/>
    </w:rPr>
  </w:style>
  <w:style w:type="character" w:customStyle="1" w:styleId="265">
    <w:name w:val="hover25"/>
    <w:qFormat/>
    <w:uiPriority w:val="0"/>
  </w:style>
  <w:style w:type="character" w:customStyle="1" w:styleId="266">
    <w:name w:val="awspan"/>
    <w:qFormat/>
    <w:uiPriority w:val="0"/>
  </w:style>
  <w:style w:type="character" w:customStyle="1" w:styleId="267">
    <w:name w:val="批注引用1"/>
    <w:qFormat/>
    <w:uiPriority w:val="0"/>
    <w:rPr>
      <w:rFonts w:ascii="Times New Roman" w:hAnsi="Times New Roman" w:eastAsia="宋体"/>
      <w:sz w:val="21"/>
      <w:szCs w:val="21"/>
    </w:rPr>
  </w:style>
  <w:style w:type="character" w:customStyle="1" w:styleId="268">
    <w:name w:val="Footer Char"/>
    <w:qFormat/>
    <w:uiPriority w:val="0"/>
  </w:style>
  <w:style w:type="paragraph" w:customStyle="1" w:styleId="269">
    <w:name w:val="引用11"/>
    <w:qFormat/>
    <w:uiPriority w:val="0"/>
    <w:pPr>
      <w:ind w:left="720" w:right="720"/>
    </w:pPr>
    <w:rPr>
      <w:rFonts w:hint="default" w:ascii="Calibri" w:hAnsi="Calibri" w:eastAsia="宋体" w:cs="Times New Roman"/>
      <w:i/>
      <w:lang w:val="en-US" w:eastAsia="zh-CN" w:bidi="ar-SA"/>
    </w:rPr>
  </w:style>
  <w:style w:type="character" w:customStyle="1" w:styleId="270">
    <w:name w:val="page-start"/>
    <w:qFormat/>
    <w:uiPriority w:val="0"/>
    <w:rPr>
      <w:color w:val="999999"/>
      <w:u w:val="none"/>
      <w:shd w:val="clear" w:color="auto" w:fill="FAFAFA"/>
    </w:rPr>
  </w:style>
  <w:style w:type="paragraph" w:customStyle="1" w:styleId="271">
    <w:name w:val="明显引用11"/>
    <w:qFormat/>
    <w:uiPriority w:val="0"/>
    <w:pPr>
      <w:pBdr>
        <w:top w:val="single" w:color="FFFFFF" w:sz="4" w:space="5"/>
        <w:left w:val="single" w:color="FFFFFF" w:sz="4" w:space="10"/>
        <w:bottom w:val="single" w:color="FFFFFF" w:sz="4" w:space="5"/>
        <w:right w:val="single" w:color="FFFFFF" w:sz="4" w:space="10"/>
      </w:pBdr>
      <w:shd w:val="clear" w:color="auto" w:fill="F2F2F2"/>
      <w:ind w:left="720" w:right="720"/>
    </w:pPr>
    <w:rPr>
      <w:rFonts w:hint="default" w:ascii="Calibri" w:hAnsi="Calibri" w:eastAsia="宋体" w:cs="Times New Roman"/>
      <w:i/>
      <w:lang w:val="en-US" w:eastAsia="zh-CN" w:bidi="ar-SA"/>
    </w:rPr>
  </w:style>
  <w:style w:type="character" w:customStyle="1" w:styleId="272">
    <w:name w:val="c-icon"/>
    <w:qFormat/>
    <w:uiPriority w:val="0"/>
  </w:style>
  <w:style w:type="paragraph" w:customStyle="1" w:styleId="273">
    <w:name w:val="标题11"/>
    <w:qFormat/>
    <w:uiPriority w:val="0"/>
    <w:pPr>
      <w:spacing w:before="300" w:after="200"/>
      <w:contextualSpacing/>
    </w:pPr>
    <w:rPr>
      <w:rFonts w:hint="default" w:ascii="Calibri" w:hAnsi="Calibri" w:eastAsia="宋体" w:cs="Times New Roman"/>
      <w:sz w:val="48"/>
      <w:szCs w:val="48"/>
      <w:lang w:val="en-US" w:eastAsia="zh-CN" w:bidi="ar-SA"/>
    </w:rPr>
  </w:style>
  <w:style w:type="paragraph" w:customStyle="1" w:styleId="274">
    <w:name w:val="尾注文本1"/>
    <w:qFormat/>
    <w:uiPriority w:val="0"/>
    <w:rPr>
      <w:rFonts w:hint="default" w:ascii="Calibri" w:hAnsi="Calibri" w:eastAsia="宋体" w:cs="Times New Roman"/>
      <w:lang w:val="en-US" w:eastAsia="zh-CN" w:bidi="ar-SA"/>
    </w:rPr>
  </w:style>
  <w:style w:type="character" w:customStyle="1" w:styleId="275">
    <w:name w:val="强调1"/>
    <w:qFormat/>
    <w:uiPriority w:val="0"/>
    <w:rPr>
      <w:color w:val="F73131"/>
    </w:rPr>
  </w:style>
  <w:style w:type="character" w:customStyle="1" w:styleId="276">
    <w:name w:val="hover24"/>
    <w:qFormat/>
    <w:uiPriority w:val="0"/>
    <w:rPr>
      <w:color w:val="315EFB"/>
    </w:rPr>
  </w:style>
  <w:style w:type="paragraph" w:customStyle="1" w:styleId="277">
    <w:name w:val="页眉11"/>
    <w:basedOn w:val="49"/>
    <w:qFormat/>
    <w:uiPriority w:val="0"/>
    <w:pPr>
      <w:tabs>
        <w:tab w:val="center" w:pos="7143"/>
        <w:tab w:val="right" w:pos="14287"/>
      </w:tabs>
    </w:pPr>
  </w:style>
  <w:style w:type="character" w:customStyle="1" w:styleId="278">
    <w:name w:val="超链接1"/>
    <w:qFormat/>
    <w:uiPriority w:val="0"/>
    <w:rPr>
      <w:color w:val="2440B3"/>
      <w:u w:val="none"/>
    </w:rPr>
  </w:style>
  <w:style w:type="character" w:customStyle="1" w:styleId="279">
    <w:name w:val="c-icon30"/>
    <w:qFormat/>
    <w:uiPriority w:val="0"/>
  </w:style>
  <w:style w:type="character" w:customStyle="1" w:styleId="280">
    <w:name w:val="page-cur"/>
    <w:qFormat/>
    <w:uiPriority w:val="0"/>
    <w:rPr>
      <w:color w:val="999999"/>
      <w:u w:val="none"/>
      <w:shd w:val="clear" w:color="auto" w:fill="FAFAFA"/>
    </w:rPr>
  </w:style>
  <w:style w:type="character" w:customStyle="1" w:styleId="281">
    <w:name w:val="awspan1"/>
    <w:qFormat/>
    <w:uiPriority w:val="0"/>
    <w:rPr>
      <w:color w:val="000000"/>
      <w:sz w:val="24"/>
      <w:szCs w:val="24"/>
    </w:rPr>
  </w:style>
  <w:style w:type="paragraph" w:customStyle="1" w:styleId="282">
    <w:name w:val="目录 11"/>
    <w:next w:val="49"/>
    <w:qFormat/>
    <w:uiPriority w:val="0"/>
    <w:pPr>
      <w:spacing w:after="57"/>
    </w:pPr>
    <w:rPr>
      <w:rFonts w:hint="default" w:ascii="Calibri" w:hAnsi="Calibri" w:eastAsia="宋体" w:cs="Times New Roman"/>
      <w:lang w:val="en-US" w:eastAsia="zh-CN" w:bidi="ar-SA"/>
    </w:rPr>
  </w:style>
  <w:style w:type="paragraph" w:customStyle="1" w:styleId="283">
    <w:name w:val="目录 31"/>
    <w:next w:val="49"/>
    <w:qFormat/>
    <w:uiPriority w:val="0"/>
    <w:pPr>
      <w:spacing w:after="57"/>
      <w:ind w:left="567"/>
    </w:pPr>
    <w:rPr>
      <w:rFonts w:hint="default" w:ascii="Calibri" w:hAnsi="Calibri" w:eastAsia="宋体" w:cs="Times New Roman"/>
      <w:lang w:val="en-US" w:eastAsia="zh-CN" w:bidi="ar-SA"/>
    </w:rPr>
  </w:style>
  <w:style w:type="paragraph" w:customStyle="1" w:styleId="284">
    <w:name w:val="文本块11"/>
    <w:basedOn w:val="49"/>
    <w:qFormat/>
    <w:uiPriority w:val="0"/>
    <w:pPr>
      <w:ind w:left="268" w:right="-24" w:firstLine="473"/>
    </w:pPr>
    <w:rPr>
      <w:bCs/>
    </w:rPr>
  </w:style>
  <w:style w:type="paragraph" w:customStyle="1" w:styleId="285">
    <w:name w:val="目录 61"/>
    <w:next w:val="49"/>
    <w:qFormat/>
    <w:uiPriority w:val="0"/>
    <w:pPr>
      <w:spacing w:after="57"/>
      <w:ind w:left="1417"/>
    </w:pPr>
    <w:rPr>
      <w:rFonts w:hint="default" w:ascii="Calibri" w:hAnsi="Calibri" w:eastAsia="宋体" w:cs="Times New Roman"/>
      <w:lang w:val="en-US" w:eastAsia="zh-CN" w:bidi="ar-SA"/>
    </w:rPr>
  </w:style>
  <w:style w:type="paragraph" w:customStyle="1" w:styleId="286">
    <w:name w:val="目录 71"/>
    <w:next w:val="49"/>
    <w:qFormat/>
    <w:uiPriority w:val="0"/>
    <w:pPr>
      <w:spacing w:after="57"/>
      <w:ind w:left="1701"/>
    </w:pPr>
    <w:rPr>
      <w:rFonts w:hint="default" w:ascii="Calibri" w:hAnsi="Calibri" w:eastAsia="宋体" w:cs="Times New Roman"/>
      <w:lang w:val="en-US" w:eastAsia="zh-CN" w:bidi="ar-SA"/>
    </w:rPr>
  </w:style>
  <w:style w:type="paragraph" w:customStyle="1" w:styleId="287">
    <w:name w:val="纯文本11"/>
    <w:basedOn w:val="51"/>
    <w:qFormat/>
    <w:uiPriority w:val="0"/>
    <w:rPr>
      <w:rFonts w:ascii="宋体" w:hAnsi="宋体" w:eastAsia="仿宋_GB2312"/>
      <w:sz w:val="30"/>
    </w:rPr>
  </w:style>
  <w:style w:type="paragraph" w:customStyle="1" w:styleId="288">
    <w:name w:val="正文文本111"/>
    <w:basedOn w:val="49"/>
    <w:next w:val="46"/>
    <w:qFormat/>
    <w:uiPriority w:val="0"/>
    <w:rPr>
      <w:rFonts w:ascii="金山简黑体" w:eastAsia="金山简黑体"/>
      <w:b/>
      <w:spacing w:val="-8"/>
      <w:sz w:val="44"/>
    </w:rPr>
  </w:style>
  <w:style w:type="paragraph" w:customStyle="1" w:styleId="289">
    <w:name w:val="批注文字11"/>
    <w:basedOn w:val="49"/>
    <w:qFormat/>
    <w:uiPriority w:val="0"/>
    <w:rPr>
      <w:sz w:val="22"/>
      <w:szCs w:val="22"/>
    </w:rPr>
  </w:style>
  <w:style w:type="paragraph" w:customStyle="1" w:styleId="290">
    <w:name w:val="首行缩进"/>
    <w:basedOn w:val="55"/>
    <w:next w:val="55"/>
    <w:qFormat/>
    <w:uiPriority w:val="0"/>
    <w:pPr>
      <w:spacing w:line="360" w:lineRule="auto"/>
      <w:ind w:firstLine="480"/>
    </w:pPr>
    <w:rPr>
      <w:rFonts w:ascii="宋体"/>
      <w:sz w:val="24"/>
    </w:rPr>
  </w:style>
  <w:style w:type="paragraph" w:customStyle="1" w:styleId="291">
    <w:name w:val="+正文"/>
    <w:basedOn w:val="55"/>
    <w:qFormat/>
    <w:uiPriority w:val="0"/>
    <w:pPr>
      <w:spacing w:line="500" w:lineRule="exact"/>
      <w:ind w:firstLine="200"/>
      <w:jc w:val="left"/>
    </w:pPr>
    <w:rPr>
      <w:rFonts w:ascii="Times New Roman" w:hAnsi="Times New Roman"/>
      <w:sz w:val="24"/>
      <w:szCs w:val="28"/>
    </w:rPr>
  </w:style>
  <w:style w:type="paragraph" w:customStyle="1" w:styleId="292">
    <w:name w:val="Default"/>
    <w:qFormat/>
    <w:uiPriority w:val="0"/>
    <w:pPr>
      <w:widowControl w:val="0"/>
    </w:pPr>
    <w:rPr>
      <w:rFonts w:hint="default" w:ascii="Arial" w:hAnsi="Arial" w:eastAsia="宋体" w:cs="Times New Roman"/>
      <w:color w:val="000000"/>
      <w:sz w:val="24"/>
      <w:szCs w:val="24"/>
      <w:lang w:val="en-US" w:eastAsia="zh-CN" w:bidi="ar-SA"/>
    </w:rPr>
  </w:style>
  <w:style w:type="paragraph" w:customStyle="1" w:styleId="293">
    <w:name w:val="正文文本缩进 21"/>
    <w:basedOn w:val="55"/>
    <w:qFormat/>
    <w:uiPriority w:val="0"/>
    <w:pPr>
      <w:ind w:left="630" w:firstLine="645"/>
    </w:pPr>
    <w:rPr>
      <w:rFonts w:ascii="Arial" w:hAnsi="Arial" w:eastAsia="仿宋_GB2312"/>
      <w:sz w:val="32"/>
      <w:szCs w:val="32"/>
    </w:rPr>
  </w:style>
  <w:style w:type="paragraph" w:customStyle="1" w:styleId="294">
    <w:name w:val="列出段落11"/>
    <w:basedOn w:val="55"/>
    <w:qFormat/>
    <w:uiPriority w:val="0"/>
    <w:pPr>
      <w:spacing w:line="360" w:lineRule="atLeast"/>
      <w:ind w:firstLine="420"/>
      <w:jc w:val="left"/>
    </w:pPr>
    <w:rPr>
      <w:sz w:val="24"/>
    </w:rPr>
  </w:style>
  <w:style w:type="paragraph" w:customStyle="1" w:styleId="295">
    <w:name w:val="无间隔121"/>
    <w:qFormat/>
    <w:uiPriority w:val="0"/>
    <w:rPr>
      <w:rFonts w:hint="default" w:ascii="Calibri" w:hAnsi="Calibri" w:eastAsia="宋体" w:cs="Times New Roman"/>
      <w:lang w:val="en-US" w:eastAsia="zh-CN" w:bidi="ar-SA"/>
    </w:rPr>
  </w:style>
  <w:style w:type="paragraph" w:customStyle="1" w:styleId="296">
    <w:name w:val="表格文本"/>
    <w:basedOn w:val="55"/>
    <w:qFormat/>
    <w:uiPriority w:val="0"/>
    <w:pPr>
      <w:jc w:val="center"/>
    </w:pPr>
    <w:rPr>
      <w:rFonts w:ascii="宋体"/>
      <w:bCs/>
      <w:szCs w:val="21"/>
    </w:rPr>
  </w:style>
  <w:style w:type="paragraph" w:customStyle="1" w:styleId="297">
    <w:name w:val="表格文字"/>
    <w:basedOn w:val="55"/>
    <w:next w:val="60"/>
    <w:qFormat/>
    <w:uiPriority w:val="0"/>
    <w:pPr>
      <w:jc w:val="left"/>
    </w:pPr>
    <w:rPr>
      <w:bCs/>
      <w:spacing w:val="10"/>
      <w:sz w:val="20"/>
      <w:szCs w:val="20"/>
    </w:rPr>
  </w:style>
  <w:style w:type="paragraph" w:customStyle="1" w:styleId="298">
    <w:name w:val="题注1"/>
    <w:next w:val="49"/>
    <w:qFormat/>
    <w:uiPriority w:val="0"/>
    <w:pPr>
      <w:spacing w:line="276" w:lineRule="auto"/>
    </w:pPr>
    <w:rPr>
      <w:rFonts w:hint="default" w:ascii="Calibri" w:hAnsi="Calibri" w:eastAsia="宋体" w:cs="Times New Roman"/>
      <w:b/>
      <w:bCs/>
      <w:color w:val="4F81BD"/>
      <w:sz w:val="18"/>
      <w:szCs w:val="18"/>
      <w:lang w:val="en-US" w:eastAsia="zh-CN" w:bidi="ar-SA"/>
    </w:rPr>
  </w:style>
  <w:style w:type="paragraph" w:customStyle="1" w:styleId="299">
    <w:name w:val="正文121"/>
    <w:next w:val="232"/>
    <w:qFormat/>
    <w:uiPriority w:val="0"/>
    <w:rPr>
      <w:rFonts w:hint="default" w:ascii="Times New Roman" w:hAnsi="Times New Roman" w:eastAsia="宋体" w:cs="Times New Roman"/>
      <w:lang w:val="en-US" w:eastAsia="zh-CN" w:bidi="ar-SA"/>
    </w:rPr>
  </w:style>
  <w:style w:type="paragraph" w:customStyle="1" w:styleId="300">
    <w:name w:val="普通(网站)11"/>
    <w:basedOn w:val="49"/>
    <w:qFormat/>
    <w:uiPriority w:val="0"/>
    <w:rPr>
      <w:sz w:val="24"/>
    </w:rPr>
  </w:style>
  <w:style w:type="paragraph" w:customStyle="1" w:styleId="301">
    <w:name w:val="目录 41"/>
    <w:next w:val="49"/>
    <w:qFormat/>
    <w:uiPriority w:val="0"/>
    <w:pPr>
      <w:spacing w:after="57"/>
      <w:ind w:left="850"/>
    </w:pPr>
    <w:rPr>
      <w:rFonts w:hint="default" w:ascii="Calibri" w:hAnsi="Calibri" w:eastAsia="宋体" w:cs="Times New Roman"/>
      <w:lang w:val="en-US" w:eastAsia="zh-CN" w:bidi="ar-SA"/>
    </w:rPr>
  </w:style>
  <w:style w:type="paragraph" w:customStyle="1" w:styleId="302">
    <w:name w:val="目录 81"/>
    <w:next w:val="49"/>
    <w:qFormat/>
    <w:uiPriority w:val="0"/>
    <w:pPr>
      <w:spacing w:after="57"/>
      <w:ind w:left="1984"/>
    </w:pPr>
    <w:rPr>
      <w:rFonts w:hint="default" w:ascii="Calibri" w:hAnsi="Calibri" w:eastAsia="宋体" w:cs="Times New Roman"/>
      <w:lang w:val="en-US" w:eastAsia="zh-CN" w:bidi="ar-SA"/>
    </w:rPr>
  </w:style>
  <w:style w:type="paragraph" w:customStyle="1" w:styleId="303">
    <w:name w:val="图表目录1"/>
    <w:next w:val="49"/>
    <w:qFormat/>
    <w:uiPriority w:val="0"/>
    <w:rPr>
      <w:rFonts w:hint="default" w:ascii="Calibri" w:hAnsi="Calibri" w:eastAsia="宋体" w:cs="Times New Roman"/>
      <w:lang w:val="en-US" w:eastAsia="zh-CN" w:bidi="ar-SA"/>
    </w:rPr>
  </w:style>
  <w:style w:type="paragraph" w:customStyle="1" w:styleId="304">
    <w:name w:val="寄信人地址2"/>
    <w:basedOn w:val="49"/>
    <w:qFormat/>
    <w:uiPriority w:val="0"/>
    <w:rPr>
      <w:rFonts w:ascii="Arial" w:hAnsi="Arial"/>
    </w:rPr>
  </w:style>
  <w:style w:type="paragraph" w:customStyle="1" w:styleId="305">
    <w:name w:val="目录 91"/>
    <w:basedOn w:val="49"/>
    <w:next w:val="49"/>
    <w:qFormat/>
    <w:uiPriority w:val="0"/>
    <w:pPr>
      <w:spacing w:after="57"/>
      <w:ind w:left="2268"/>
    </w:pPr>
    <w:rPr>
      <w:rFonts w:ascii="Times New Roman" w:hAnsi="Times New Roman"/>
    </w:rPr>
  </w:style>
  <w:style w:type="paragraph" w:customStyle="1" w:styleId="306">
    <w:name w:val="目录 51"/>
    <w:next w:val="49"/>
    <w:qFormat/>
    <w:uiPriority w:val="0"/>
    <w:pPr>
      <w:spacing w:after="57"/>
      <w:ind w:left="1134"/>
    </w:pPr>
    <w:rPr>
      <w:rFonts w:hint="default" w:ascii="Calibri" w:hAnsi="Calibri" w:eastAsia="宋体" w:cs="Times New Roman"/>
      <w:lang w:val="en-US" w:eastAsia="zh-CN" w:bidi="ar-SA"/>
    </w:rPr>
  </w:style>
  <w:style w:type="paragraph" w:customStyle="1" w:styleId="307">
    <w:name w:val="正文文本缩进 22"/>
    <w:basedOn w:val="49"/>
    <w:qFormat/>
    <w:uiPriority w:val="0"/>
    <w:pPr>
      <w:spacing w:after="120" w:line="480" w:lineRule="auto"/>
      <w:ind w:left="420"/>
    </w:pPr>
  </w:style>
  <w:style w:type="paragraph" w:customStyle="1" w:styleId="308">
    <w:name w:val="表格3"/>
    <w:basedOn w:val="55"/>
    <w:qFormat/>
    <w:uiPriority w:val="0"/>
    <w:pPr>
      <w:jc w:val="center"/>
    </w:pPr>
    <w:rPr>
      <w:rFonts w:ascii="Times New Roman" w:hAnsi="Times New Roman"/>
    </w:rPr>
  </w:style>
  <w:style w:type="paragraph" w:customStyle="1" w:styleId="309">
    <w:name w:val="Char"/>
    <w:basedOn w:val="55"/>
    <w:qFormat/>
    <w:uiPriority w:val="0"/>
    <w:pPr>
      <w:tabs>
        <w:tab w:val="left" w:pos="360"/>
      </w:tabs>
    </w:pPr>
    <w:rPr>
      <w:rFonts w:ascii="Times New Roman" w:hAnsi="Times New Roman"/>
      <w:sz w:val="24"/>
    </w:rPr>
  </w:style>
  <w:style w:type="paragraph" w:customStyle="1" w:styleId="310">
    <w:name w:val="样式"/>
    <w:basedOn w:val="55"/>
    <w:qFormat/>
    <w:uiPriority w:val="0"/>
    <w:pPr>
      <w:jc w:val="left"/>
    </w:pPr>
    <w:rPr>
      <w:rFonts w:ascii="宋体"/>
      <w:sz w:val="24"/>
    </w:rPr>
  </w:style>
  <w:style w:type="paragraph" w:customStyle="1" w:styleId="311">
    <w:name w:val="_Style 49"/>
    <w:basedOn w:val="49"/>
    <w:next w:val="287"/>
    <w:qFormat/>
    <w:uiPriority w:val="0"/>
    <w:rPr>
      <w:rFonts w:ascii="宋体"/>
      <w:sz w:val="24"/>
    </w:rPr>
  </w:style>
  <w:style w:type="paragraph" w:customStyle="1" w:styleId="312">
    <w:name w:val="默认段落字体 Para Char Char Char Char Char Char Char"/>
    <w:basedOn w:val="55"/>
    <w:qFormat/>
    <w:uiPriority w:val="0"/>
    <w:rPr>
      <w:rFonts w:ascii="Tahoma" w:hAnsi="Tahoma"/>
      <w:sz w:val="24"/>
      <w:szCs w:val="20"/>
    </w:rPr>
  </w:style>
  <w:style w:type="paragraph" w:customStyle="1" w:styleId="313">
    <w:name w:val="[基本段落]"/>
    <w:basedOn w:val="55"/>
    <w:qFormat/>
    <w:uiPriority w:val="0"/>
    <w:pPr>
      <w:spacing w:line="288" w:lineRule="auto"/>
    </w:pPr>
    <w:rPr>
      <w:rFonts w:ascii="宋体"/>
      <w:color w:val="000000"/>
      <w:sz w:val="24"/>
      <w:lang w:val="zh-CN"/>
    </w:rPr>
  </w:style>
  <w:style w:type="paragraph" w:customStyle="1" w:styleId="314">
    <w:name w:val="普通(网站)1"/>
    <w:basedOn w:val="55"/>
    <w:qFormat/>
    <w:uiPriority w:val="0"/>
    <w:pPr>
      <w:widowControl/>
      <w:spacing w:before="100" w:beforeAutospacing="1" w:after="100" w:afterAutospacing="1"/>
      <w:jc w:val="left"/>
    </w:pPr>
    <w:rPr>
      <w:rFonts w:ascii="宋体"/>
      <w:sz w:val="24"/>
    </w:rPr>
  </w:style>
  <w:style w:type="paragraph" w:customStyle="1" w:styleId="315">
    <w:name w:val="TOC 标题11"/>
    <w:qFormat/>
    <w:uiPriority w:val="0"/>
    <w:rPr>
      <w:rFonts w:hint="default" w:ascii="Calibri" w:hAnsi="Calibri" w:eastAsia="宋体" w:cs="Times New Roman"/>
      <w:lang w:val="en-US" w:eastAsia="zh-CN" w:bidi="ar-SA"/>
    </w:rPr>
  </w:style>
  <w:style w:type="paragraph" w:customStyle="1" w:styleId="316">
    <w:name w:val="样式 首行缩进:  2 字符"/>
    <w:basedOn w:val="55"/>
    <w:qFormat/>
    <w:uiPriority w:val="0"/>
    <w:pPr>
      <w:spacing w:line="400" w:lineRule="exact"/>
      <w:ind w:firstLine="200"/>
    </w:pPr>
    <w:rPr>
      <w:sz w:val="24"/>
    </w:rPr>
  </w:style>
  <w:style w:type="paragraph" w:customStyle="1" w:styleId="317">
    <w:name w:val="Table Paragraph"/>
    <w:basedOn w:val="55"/>
    <w:qFormat/>
    <w:uiPriority w:val="0"/>
    <w:pPr>
      <w:jc w:val="left"/>
    </w:pPr>
    <w:rPr>
      <w:rFonts w:ascii="仿宋" w:eastAsia="仿宋"/>
      <w:sz w:val="22"/>
      <w:szCs w:val="22"/>
      <w:lang w:val="zh-CN" w:bidi="zh-CN"/>
    </w:rPr>
  </w:style>
  <w:style w:type="paragraph" w:customStyle="1" w:styleId="318">
    <w:name w:val="Style1"/>
    <w:basedOn w:val="49"/>
    <w:qFormat/>
    <w:uiPriority w:val="0"/>
    <w:pPr>
      <w:tabs>
        <w:tab w:val="left" w:pos="-720"/>
      </w:tabs>
      <w:spacing w:after="120"/>
    </w:pPr>
    <w:rPr>
      <w:spacing w:val="-3"/>
      <w:sz w:val="24"/>
      <w:lang w:val="en-AU"/>
    </w:rPr>
  </w:style>
  <w:style w:type="paragraph" w:customStyle="1" w:styleId="319">
    <w:name w:val="列表 21"/>
    <w:basedOn w:val="55"/>
    <w:qFormat/>
    <w:uiPriority w:val="0"/>
    <w:pPr>
      <w:ind w:left="100" w:hanging="200"/>
    </w:pPr>
  </w:style>
  <w:style w:type="paragraph" w:customStyle="1" w:styleId="320">
    <w:name w:val="标题 31"/>
    <w:basedOn w:val="55"/>
    <w:next w:val="55"/>
    <w:qFormat/>
    <w:uiPriority w:val="0"/>
    <w:pPr>
      <w:spacing w:before="39"/>
      <w:ind w:left="50" w:right="31"/>
      <w:jc w:val="center"/>
      <w:outlineLvl w:val="2"/>
    </w:pPr>
    <w:rPr>
      <w:sz w:val="30"/>
      <w:szCs w:val="30"/>
    </w:rPr>
  </w:style>
  <w:style w:type="paragraph" w:customStyle="1" w:styleId="321">
    <w:name w:val="列表段落1"/>
    <w:basedOn w:val="55"/>
    <w:next w:val="1"/>
    <w:qFormat/>
    <w:uiPriority w:val="0"/>
    <w:pPr>
      <w:ind w:firstLine="420"/>
    </w:pPr>
    <w:rPr>
      <w:sz w:val="22"/>
      <w:szCs w:val="22"/>
    </w:rPr>
  </w:style>
  <w:style w:type="paragraph" w:customStyle="1" w:styleId="322">
    <w:name w:val="列出段落2"/>
    <w:basedOn w:val="49"/>
    <w:qFormat/>
    <w:uiPriority w:val="0"/>
    <w:pPr>
      <w:ind w:left="720"/>
      <w:contextualSpacing/>
    </w:pPr>
    <w:rPr>
      <w:rFonts w:ascii="Times New Roman" w:hAnsi="Times New Roman"/>
    </w:rPr>
  </w:style>
  <w:style w:type="paragraph" w:customStyle="1" w:styleId="323">
    <w:name w:val="WPSOffice手动目录 1"/>
    <w:qFormat/>
    <w:uiPriority w:val="0"/>
    <w:rPr>
      <w:rFonts w:hint="default" w:ascii="Calibri" w:hAnsi="Calibri" w:eastAsia="宋体" w:cs="Times New Roman"/>
      <w:lang w:val="en-US" w:eastAsia="zh-CN" w:bidi="ar-SA"/>
    </w:rPr>
  </w:style>
  <w:style w:type="paragraph" w:customStyle="1" w:styleId="324">
    <w:name w:val="无间隔1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25">
    <w:name w:val="footer1"/>
    <w:basedOn w:val="1"/>
    <w:qFormat/>
    <w:uiPriority w:val="0"/>
    <w:pPr>
      <w:tabs>
        <w:tab w:val="center" w:pos="4153"/>
        <w:tab w:val="right" w:pos="8306"/>
      </w:tabs>
      <w:spacing w:line="856" w:lineRule="atLeast"/>
    </w:pPr>
    <w:rPr>
      <w:rFonts w:ascii="Times New Roman" w:hAnsi="Times New Roman"/>
      <w:color w:val="000000"/>
      <w:sz w:val="18"/>
    </w:rPr>
  </w:style>
  <w:style w:type="paragraph" w:customStyle="1" w:styleId="326">
    <w:name w:val="段落文字"/>
    <w:basedOn w:val="1"/>
    <w:qFormat/>
    <w:uiPriority w:val="0"/>
    <w:pPr>
      <w:spacing w:line="360" w:lineRule="auto"/>
      <w:ind w:firstLine="200"/>
    </w:pPr>
    <w:rPr>
      <w:rFonts w:ascii="仿宋" w:eastAsia="仿宋"/>
      <w:sz w:val="28"/>
      <w:szCs w:val="28"/>
    </w:rPr>
  </w:style>
  <w:style w:type="character" w:customStyle="1" w:styleId="327">
    <w:name w:val="NormalCharacter1"/>
    <w:link w:val="55"/>
    <w:semiHidden/>
    <w:qFormat/>
    <w:uiPriority w:val="0"/>
    <w:rPr>
      <w:rFonts w:ascii="Times New Roman" w:hAnsi="Times New Roman" w:eastAsia="宋体" w:cs="Times New Roman"/>
      <w:sz w:val="21"/>
      <w:szCs w:val="24"/>
      <w:lang w:val="en-US" w:eastAsia="zh-CN" w:bidi="ar-SA"/>
    </w:rPr>
  </w:style>
  <w:style w:type="paragraph" w:styleId="328">
    <w:name w:val="List Paragraph"/>
    <w:basedOn w:val="1"/>
    <w:qFormat/>
    <w:uiPriority w:val="0"/>
    <w:pPr>
      <w:ind w:firstLine="420"/>
    </w:pPr>
    <w:rPr>
      <w:rFonts w:ascii="Calibri" w:hAnsi="Calibri" w:cstheme="minorBidi"/>
      <w:szCs w:val="22"/>
    </w:rPr>
  </w:style>
  <w:style w:type="paragraph" w:customStyle="1" w:styleId="329">
    <w:name w:val="Normal_0_3"/>
    <w:qFormat/>
    <w:uiPriority w:val="0"/>
    <w:rPr>
      <w:rFonts w:hint="default" w:ascii="Times New Roman" w:hAnsi="Times New Roman" w:eastAsia="Times New Roman" w:cs="Times New Roman"/>
      <w:sz w:val="24"/>
      <w:szCs w:val="24"/>
      <w:lang w:val="en-US" w:eastAsia="zh-CN" w:bidi="ar-SA"/>
    </w:rPr>
  </w:style>
  <w:style w:type="character" w:customStyle="1" w:styleId="330">
    <w:name w:val="font31"/>
    <w:basedOn w:val="39"/>
    <w:qFormat/>
    <w:uiPriority w:val="0"/>
    <w:rPr>
      <w:rFonts w:hint="eastAsia" w:ascii="宋体" w:hAnsi="宋体" w:eastAsia="宋体" w:cs="宋体"/>
      <w:color w:val="000000"/>
      <w:sz w:val="20"/>
      <w:szCs w:val="20"/>
      <w:u w:val="none"/>
    </w:rPr>
  </w:style>
  <w:style w:type="character" w:customStyle="1" w:styleId="331">
    <w:name w:val="font61"/>
    <w:basedOn w:val="39"/>
    <w:qFormat/>
    <w:uiPriority w:val="0"/>
    <w:rPr>
      <w:rFonts w:hint="default" w:ascii="Times New Roman" w:hAnsi="Times New Roman" w:cs="Times New Roman"/>
      <w:color w:val="000000"/>
      <w:sz w:val="20"/>
      <w:szCs w:val="20"/>
      <w:u w:val="none"/>
    </w:rPr>
  </w:style>
  <w:style w:type="paragraph" w:customStyle="1" w:styleId="332">
    <w:name w:val="文本块12"/>
    <w:basedOn w:val="1"/>
    <w:qFormat/>
    <w:uiPriority w:val="0"/>
    <w:pPr>
      <w:ind w:left="256" w:right="6" w:firstLine="624"/>
    </w:pPr>
    <w:rPr>
      <w:rFonts w:ascii="Times New Roman" w:hAnsi="Times New Roman" w:eastAsia="仿宋" w:cs="Times New Roman"/>
      <w:sz w:val="28"/>
      <w:szCs w:val="20"/>
    </w:rPr>
  </w:style>
  <w:style w:type="paragraph" w:customStyle="1" w:styleId="333">
    <w:name w:val="Heading 3"/>
    <w:basedOn w:val="1"/>
    <w:next w:val="1"/>
    <w:unhideWhenUsed/>
    <w:qFormat/>
    <w:uiPriority w:val="0"/>
    <w:pPr>
      <w:keepNext/>
      <w:keepLines/>
      <w:spacing w:line="415" w:lineRule="auto"/>
      <w:outlineLvl w:val="2"/>
    </w:pPr>
    <w:rPr>
      <w:b/>
      <w:sz w:val="32"/>
      <w:szCs w:val="32"/>
    </w:rPr>
  </w:style>
  <w:style w:type="paragraph" w:customStyle="1" w:styleId="334">
    <w:name w:val="Heading 4"/>
    <w:basedOn w:val="1"/>
    <w:next w:val="1"/>
    <w:unhideWhenUsed/>
    <w:qFormat/>
    <w:uiPriority w:val="0"/>
    <w:pPr>
      <w:keepNext/>
      <w:keepLines/>
      <w:spacing w:before="120" w:after="120"/>
      <w:outlineLvl w:val="3"/>
    </w:pPr>
    <w:rPr>
      <w:rFonts w:ascii="Arial" w:hAnsi="Arial" w:eastAsia="黑体"/>
      <w:b/>
      <w:sz w:val="20"/>
      <w:szCs w:val="20"/>
    </w:rPr>
  </w:style>
  <w:style w:type="paragraph" w:customStyle="1" w:styleId="335">
    <w:name w:val="TOC 标题2"/>
    <w:basedOn w:val="336"/>
    <w:next w:val="1"/>
    <w:unhideWhenUsed/>
    <w:qFormat/>
    <w:uiPriority w:val="0"/>
    <w:pPr>
      <w:spacing w:before="260" w:after="260" w:line="413" w:lineRule="auto"/>
      <w:jc w:val="center"/>
    </w:pPr>
    <w:rPr>
      <w:rFonts w:hint="eastAsia" w:ascii="宋体" w:hAnsi="宋体"/>
      <w:sz w:val="36"/>
      <w:lang w:val="zh-CN"/>
    </w:rPr>
  </w:style>
  <w:style w:type="paragraph" w:customStyle="1" w:styleId="336">
    <w:name w:val="Heading 1"/>
    <w:basedOn w:val="1"/>
    <w:next w:val="1"/>
    <w:unhideWhenUsed/>
    <w:qFormat/>
    <w:uiPriority w:val="0"/>
    <w:pPr>
      <w:keepNext/>
      <w:keepLines/>
      <w:spacing w:before="340" w:after="330" w:line="578" w:lineRule="auto"/>
      <w:outlineLvl w:val="0"/>
    </w:pPr>
    <w:rPr>
      <w:b/>
      <w:sz w:val="44"/>
      <w:szCs w:val="44"/>
    </w:rPr>
  </w:style>
  <w:style w:type="paragraph" w:customStyle="1" w:styleId="337">
    <w:name w:val="附件标题"/>
    <w:basedOn w:val="338"/>
    <w:next w:val="1"/>
    <w:unhideWhenUsed/>
    <w:qFormat/>
    <w:uiPriority w:val="0"/>
    <w:pPr>
      <w:widowControl/>
      <w:tabs>
        <w:tab w:val="left" w:pos="312"/>
        <w:tab w:val="left" w:pos="1134"/>
      </w:tabs>
      <w:spacing w:line="360" w:lineRule="auto"/>
      <w:jc w:val="center"/>
    </w:pPr>
    <w:rPr>
      <w:rFonts w:hint="eastAsia" w:ascii="黑体" w:hAnsi="黑体"/>
      <w:sz w:val="30"/>
      <w:szCs w:val="30"/>
    </w:rPr>
  </w:style>
  <w:style w:type="paragraph" w:customStyle="1" w:styleId="338">
    <w:name w:val="Heading 2"/>
    <w:basedOn w:val="1"/>
    <w:next w:val="1"/>
    <w:unhideWhenUsed/>
    <w:qFormat/>
    <w:uiPriority w:val="0"/>
    <w:pPr>
      <w:keepNext/>
      <w:keepLines/>
      <w:spacing w:line="415" w:lineRule="auto"/>
      <w:outlineLvl w:val="1"/>
    </w:pPr>
    <w:rPr>
      <w:rFonts w:ascii="Arial" w:hAnsi="Arial" w:eastAsia="黑体"/>
      <w:b/>
      <w:sz w:val="32"/>
      <w:szCs w:val="32"/>
    </w:rPr>
  </w:style>
  <w:style w:type="paragraph" w:customStyle="1" w:styleId="339">
    <w:name w:val="脚注文本11"/>
    <w:basedOn w:val="1"/>
    <w:next w:val="340"/>
    <w:unhideWhenUsed/>
    <w:qFormat/>
    <w:uiPriority w:val="0"/>
    <w:pPr>
      <w:spacing w:after="40"/>
    </w:pPr>
    <w:rPr>
      <w:sz w:val="18"/>
    </w:rPr>
  </w:style>
  <w:style w:type="paragraph" w:customStyle="1" w:styleId="340">
    <w:name w:val="索引 511"/>
    <w:basedOn w:val="1"/>
    <w:next w:val="51"/>
    <w:qFormat/>
    <w:uiPriority w:val="0"/>
    <w:pPr>
      <w:ind w:left="798"/>
      <w:jc w:val="left"/>
    </w:pPr>
    <w:rPr>
      <w:rFonts w:ascii="Calibri" w:hAnsi="Calibri"/>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23263</Words>
  <Characters>24834</Characters>
  <TotalTime>0</TotalTime>
  <ScaleCrop>false</ScaleCrop>
  <LinksUpToDate>false</LinksUpToDate>
  <CharactersWithSpaces>26903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2023-07-07T04:13:00Z</dcterms:created>
  <dc:creator>无羡。</dc:creator>
  <cp:lastModifiedBy>Gascwx</cp:lastModifiedBy>
  <dcterms:modified xsi:type="dcterms:W3CDTF">2024-12-19T03:11:45Z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1A1D17BEBDDC48D3BBD5FF753F87F095_13</vt:lpwstr>
  </property>
</Properties>
</file>