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527CCB">
      <w:pPr>
        <w:pStyle w:val="276"/>
        <w:ind w:firstLine="0"/>
        <w:jc w:val="both"/>
        <w:rPr>
          <w:rFonts w:hint="eastAsia" w:eastAsia="黑体"/>
          <w:b/>
          <w:bCs/>
          <w:color w:val="auto"/>
          <w:sz w:val="84"/>
          <w:highlight w:val="none"/>
        </w:rPr>
      </w:pPr>
    </w:p>
    <w:p w14:paraId="1F83F693">
      <w:pPr>
        <w:pStyle w:val="276"/>
        <w:ind w:firstLine="0"/>
        <w:jc w:val="center"/>
        <w:rPr>
          <w:rFonts w:hint="eastAsia" w:eastAsia="黑体"/>
          <w:b/>
          <w:bCs/>
          <w:color w:val="auto"/>
          <w:sz w:val="84"/>
          <w:highlight w:val="none"/>
        </w:rPr>
      </w:pPr>
      <w:r>
        <w:rPr>
          <w:rFonts w:hint="eastAsia" w:eastAsia="黑体"/>
          <w:b/>
          <w:bCs/>
          <w:color w:val="auto"/>
          <w:sz w:val="84"/>
          <w:highlight w:val="none"/>
        </w:rPr>
        <w:t>招　标　文　件</w:t>
      </w:r>
    </w:p>
    <w:p w14:paraId="76E7D7CA">
      <w:pPr>
        <w:pStyle w:val="276"/>
        <w:ind w:left="0" w:firstLine="0"/>
        <w:jc w:val="center"/>
        <w:rPr>
          <w:rFonts w:hint="eastAsia"/>
          <w:b/>
          <w:bCs/>
          <w:color w:val="auto"/>
          <w:sz w:val="32"/>
          <w:highlight w:val="none"/>
        </w:rPr>
      </w:pPr>
    </w:p>
    <w:p w14:paraId="1ED20A87">
      <w:pPr>
        <w:pStyle w:val="276"/>
        <w:ind w:left="0" w:firstLine="0"/>
        <w:jc w:val="center"/>
        <w:rPr>
          <w:rFonts w:hint="eastAsia"/>
          <w:b/>
          <w:bCs/>
          <w:color w:val="auto"/>
          <w:sz w:val="32"/>
          <w:highlight w:val="none"/>
        </w:rPr>
      </w:pPr>
    </w:p>
    <w:p w14:paraId="5075DE96">
      <w:pPr>
        <w:pStyle w:val="276"/>
        <w:ind w:left="0" w:firstLine="0"/>
        <w:jc w:val="center"/>
        <w:rPr>
          <w:rFonts w:hint="eastAsia"/>
          <w:b/>
          <w:bCs/>
          <w:color w:val="auto"/>
          <w:sz w:val="32"/>
          <w:highlight w:val="none"/>
        </w:rPr>
      </w:pPr>
    </w:p>
    <w:p w14:paraId="0B1E616A">
      <w:pPr>
        <w:pStyle w:val="276"/>
        <w:ind w:left="638" w:leftChars="304" w:firstLine="0" w:firstLineChars="0"/>
        <w:jc w:val="both"/>
        <w:rPr>
          <w:rFonts w:hint="eastAsia" w:cs="Times New Roman"/>
          <w:b/>
          <w:bCs/>
          <w:color w:val="auto"/>
          <w:sz w:val="32"/>
          <w:highlight w:val="none"/>
          <w:lang w:eastAsia="zh-CN"/>
        </w:rPr>
      </w:pPr>
      <w:r>
        <w:rPr>
          <w:rFonts w:hint="eastAsia"/>
          <w:b/>
          <w:bCs/>
          <w:color w:val="auto"/>
          <w:sz w:val="32"/>
          <w:highlight w:val="none"/>
        </w:rPr>
        <w:t>项目名称：</w:t>
      </w:r>
      <w:r>
        <w:rPr>
          <w:rFonts w:hint="eastAsia" w:cs="Times New Roman"/>
          <w:b/>
          <w:bCs/>
          <w:color w:val="auto"/>
          <w:sz w:val="32"/>
          <w:highlight w:val="none"/>
          <w:lang w:eastAsia="zh-CN"/>
        </w:rPr>
        <w:t>连云港鑫昌达新型建材有限公司环境事件涉事物料属性司法鉴定和阶段性环境损害评估</w:t>
      </w:r>
    </w:p>
    <w:p w14:paraId="71ED151F">
      <w:pPr>
        <w:pStyle w:val="276"/>
        <w:ind w:left="638" w:leftChars="304" w:firstLine="0" w:firstLineChars="0"/>
        <w:jc w:val="both"/>
        <w:rPr>
          <w:rFonts w:hint="default" w:ascii="Arial" w:hAnsi="Arial" w:eastAsia="宋体" w:cs="Times New Roman"/>
          <w:b/>
          <w:bCs/>
          <w:color w:val="auto"/>
          <w:sz w:val="32"/>
          <w:szCs w:val="24"/>
          <w:highlight w:val="yellow"/>
          <w:lang w:val="en-US" w:eastAsia="zh-CN" w:bidi="ar-SA"/>
        </w:rPr>
      </w:pPr>
      <w:r>
        <w:rPr>
          <w:rFonts w:hint="eastAsia"/>
          <w:b/>
          <w:bCs/>
          <w:color w:val="auto"/>
          <w:sz w:val="32"/>
          <w:highlight w:val="none"/>
        </w:rPr>
        <w:t>项目编号：</w:t>
      </w:r>
      <w:r>
        <w:rPr>
          <w:rFonts w:hint="eastAsia" w:cs="Times New Roman"/>
          <w:b/>
          <w:bCs/>
          <w:color w:val="auto"/>
          <w:sz w:val="32"/>
          <w:highlight w:val="none"/>
          <w:lang w:eastAsia="zh-CN"/>
        </w:rPr>
        <w:t>JSZC-320700-MKGC-G2024-0001</w:t>
      </w:r>
    </w:p>
    <w:p w14:paraId="0A3C9D65">
      <w:pPr>
        <w:ind w:firstLine="643"/>
        <w:rPr>
          <w:rFonts w:hint="eastAsia"/>
          <w:color w:val="auto"/>
          <w:highlight w:val="none"/>
        </w:rPr>
      </w:pPr>
    </w:p>
    <w:p w14:paraId="7BE5AEBD">
      <w:pPr>
        <w:ind w:firstLine="643"/>
        <w:rPr>
          <w:rFonts w:hint="eastAsia"/>
          <w:color w:val="auto"/>
          <w:highlight w:val="none"/>
        </w:rPr>
      </w:pPr>
    </w:p>
    <w:p w14:paraId="05252FCA">
      <w:pPr>
        <w:ind w:firstLine="643"/>
        <w:rPr>
          <w:b/>
          <w:color w:val="auto"/>
          <w:sz w:val="30"/>
          <w:szCs w:val="30"/>
          <w:highlight w:val="none"/>
        </w:rPr>
      </w:pPr>
      <w:r>
        <w:rPr>
          <w:rFonts w:hint="eastAsia"/>
          <w:color w:val="auto"/>
          <w:highlight w:val="none"/>
        </w:rPr>
        <w:t xml:space="preserve">         </w:t>
      </w:r>
      <w:r>
        <w:rPr>
          <w:rFonts w:hint="eastAsia"/>
          <w:b/>
          <w:color w:val="auto"/>
          <w:sz w:val="30"/>
          <w:szCs w:val="30"/>
          <w:highlight w:val="none"/>
        </w:rPr>
        <w:t xml:space="preserve">   </w:t>
      </w:r>
      <w:r>
        <w:rPr>
          <w:color w:val="auto"/>
          <w:highlight w:val="none"/>
        </w:rPr>
        <w:t xml:space="preserve">  </w:t>
      </w:r>
      <w:r>
        <w:rPr>
          <w:b/>
          <w:color w:val="auto"/>
          <w:sz w:val="30"/>
          <w:szCs w:val="30"/>
          <w:highlight w:val="none"/>
        </w:rPr>
        <w:t xml:space="preserve"> </w:t>
      </w:r>
    </w:p>
    <w:p w14:paraId="7514AEAD">
      <w:pPr>
        <w:pStyle w:val="276"/>
        <w:spacing w:before="0" w:after="0"/>
        <w:ind w:firstLine="0"/>
        <w:rPr>
          <w:rFonts w:hint="eastAsia" w:ascii="宋体" w:hAnsi="宋体"/>
          <w:color w:val="auto"/>
          <w:highlight w:val="none"/>
        </w:rPr>
      </w:pPr>
    </w:p>
    <w:p w14:paraId="44ECCE85">
      <w:pPr>
        <w:pStyle w:val="276"/>
        <w:spacing w:before="0" w:after="0"/>
        <w:ind w:firstLine="0"/>
        <w:rPr>
          <w:rFonts w:hint="eastAsia" w:ascii="宋体" w:hAnsi="宋体"/>
          <w:color w:val="auto"/>
          <w:highlight w:val="none"/>
        </w:rPr>
      </w:pPr>
    </w:p>
    <w:p w14:paraId="6ED28869">
      <w:pPr>
        <w:pStyle w:val="276"/>
        <w:spacing w:before="0" w:after="0"/>
        <w:ind w:firstLine="0"/>
        <w:rPr>
          <w:rFonts w:hint="eastAsia" w:ascii="宋体" w:hAnsi="宋体"/>
          <w:color w:val="auto"/>
          <w:highlight w:val="none"/>
        </w:rPr>
      </w:pPr>
    </w:p>
    <w:p w14:paraId="7027D4DD">
      <w:pPr>
        <w:pStyle w:val="276"/>
        <w:spacing w:before="0" w:after="0"/>
        <w:ind w:firstLine="0"/>
        <w:rPr>
          <w:rFonts w:hint="eastAsia" w:ascii="宋体" w:hAnsi="宋体"/>
          <w:color w:val="auto"/>
          <w:highlight w:val="none"/>
        </w:rPr>
      </w:pPr>
    </w:p>
    <w:p w14:paraId="7326BA9D">
      <w:pPr>
        <w:pStyle w:val="276"/>
        <w:spacing w:before="0" w:after="0"/>
        <w:ind w:firstLine="0"/>
        <w:rPr>
          <w:rFonts w:hint="eastAsia" w:ascii="宋体" w:hAnsi="宋体"/>
          <w:color w:val="auto"/>
          <w:highlight w:val="none"/>
        </w:rPr>
      </w:pPr>
    </w:p>
    <w:p w14:paraId="7B31E3E6">
      <w:pPr>
        <w:spacing w:line="600" w:lineRule="auto"/>
        <w:ind w:firstLine="912"/>
        <w:rPr>
          <w:rFonts w:hint="eastAsia" w:ascii="宋体" w:hAnsi="宋体" w:eastAsia="宋体"/>
          <w:bCs/>
          <w:color w:val="auto"/>
          <w:sz w:val="32"/>
          <w:szCs w:val="32"/>
          <w:highlight w:val="none"/>
          <w:lang w:eastAsia="zh-CN"/>
        </w:rPr>
      </w:pPr>
      <w:r>
        <w:rPr>
          <w:rFonts w:hint="eastAsia" w:ascii="宋体" w:hAnsi="宋体"/>
          <w:bCs/>
          <w:color w:val="auto"/>
          <w:sz w:val="32"/>
          <w:szCs w:val="32"/>
          <w:highlight w:val="none"/>
        </w:rPr>
        <w:t>采   购   人：</w:t>
      </w:r>
      <w:r>
        <w:rPr>
          <w:rFonts w:hint="eastAsia" w:ascii="宋体" w:hAnsi="宋体"/>
          <w:bCs/>
          <w:color w:val="auto"/>
          <w:sz w:val="32"/>
          <w:szCs w:val="32"/>
          <w:highlight w:val="none"/>
          <w:lang w:eastAsia="zh-CN"/>
        </w:rPr>
        <w:t>连云港市东海生态环境局</w:t>
      </w:r>
    </w:p>
    <w:p w14:paraId="0D2B608E">
      <w:pPr>
        <w:spacing w:line="600" w:lineRule="auto"/>
        <w:ind w:firstLine="912"/>
        <w:rPr>
          <w:rFonts w:hint="eastAsia" w:ascii="宋体" w:hAnsi="宋体" w:eastAsia="宋体"/>
          <w:bCs/>
          <w:color w:val="auto"/>
          <w:sz w:val="32"/>
          <w:szCs w:val="32"/>
          <w:highlight w:val="none"/>
          <w:lang w:eastAsia="zh-CN"/>
        </w:rPr>
      </w:pPr>
      <w:r>
        <w:rPr>
          <w:rFonts w:hint="eastAsia" w:ascii="宋体" w:hAnsi="宋体"/>
          <w:bCs/>
          <w:color w:val="auto"/>
          <w:sz w:val="32"/>
          <w:szCs w:val="32"/>
          <w:highlight w:val="none"/>
        </w:rPr>
        <w:t>采购代理机构：</w:t>
      </w:r>
      <w:r>
        <w:rPr>
          <w:rFonts w:hint="eastAsia" w:ascii="宋体" w:hAnsi="宋体"/>
          <w:bCs/>
          <w:color w:val="auto"/>
          <w:sz w:val="32"/>
          <w:szCs w:val="32"/>
          <w:highlight w:val="none"/>
          <w:lang w:eastAsia="zh-CN"/>
        </w:rPr>
        <w:t>连云港铭康工程咨询限公司</w:t>
      </w:r>
    </w:p>
    <w:p w14:paraId="1124CDAF">
      <w:pPr>
        <w:pStyle w:val="276"/>
        <w:spacing w:line="600" w:lineRule="auto"/>
        <w:ind w:firstLine="0"/>
        <w:jc w:val="center"/>
        <w:rPr>
          <w:rFonts w:hint="eastAsia"/>
          <w:b/>
          <w:bCs/>
          <w:color w:val="auto"/>
          <w:sz w:val="32"/>
          <w:highlight w:val="none"/>
        </w:rPr>
      </w:pPr>
      <w:r>
        <w:rPr>
          <w:rFonts w:hint="eastAsia" w:ascii="宋体" w:hAnsi="宋体" w:eastAsia="宋体" w:cs="宋体"/>
          <w:bCs/>
          <w:color w:val="auto"/>
          <w:sz w:val="32"/>
          <w:szCs w:val="32"/>
          <w:highlight w:val="none"/>
          <w:lang w:val="en-US" w:eastAsia="zh-CN"/>
        </w:rPr>
        <w:t>2024</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9</w:t>
      </w:r>
      <w:r>
        <w:rPr>
          <w:rFonts w:hint="eastAsia" w:ascii="宋体" w:hAnsi="宋体" w:eastAsia="宋体" w:cs="宋体"/>
          <w:bCs/>
          <w:color w:val="auto"/>
          <w:sz w:val="32"/>
          <w:szCs w:val="32"/>
          <w:highlight w:val="none"/>
        </w:rPr>
        <w:t>月</w:t>
      </w:r>
    </w:p>
    <w:p w14:paraId="499ED577">
      <w:pPr>
        <w:spacing w:before="120" w:after="120" w:line="480" w:lineRule="auto"/>
        <w:jc w:val="center"/>
        <w:rPr>
          <w:rFonts w:ascii="黑体" w:hAnsi="Arial" w:eastAsia="黑体"/>
          <w:b/>
          <w:sz w:val="44"/>
          <w:szCs w:val="21"/>
        </w:rPr>
      </w:pPr>
      <w:bookmarkStart w:id="0" w:name="_Toc120614210"/>
      <w:bookmarkStart w:id="1" w:name="_Toc16938516"/>
      <w:bookmarkStart w:id="2" w:name="_Toc20823272"/>
      <w:bookmarkStart w:id="3" w:name="_Toc523127445"/>
      <w:bookmarkStart w:id="4" w:name="_Toc479757206"/>
      <w:bookmarkStart w:id="5" w:name="_Toc513029200"/>
      <w:r>
        <w:rPr>
          <w:rFonts w:hint="eastAsia" w:ascii="黑体" w:hAnsi="Arial" w:eastAsia="黑体"/>
          <w:b/>
          <w:sz w:val="44"/>
          <w:szCs w:val="21"/>
        </w:rPr>
        <w:t>总  目  录</w:t>
      </w:r>
    </w:p>
    <w:p w14:paraId="6D700354">
      <w:pPr>
        <w:spacing w:line="480" w:lineRule="auto"/>
        <w:rPr>
          <w:rFonts w:ascii="仿宋_GB2312" w:hAnsi="Arial" w:eastAsia="仿宋_GB2312"/>
          <w:b/>
          <w:sz w:val="28"/>
          <w:szCs w:val="21"/>
        </w:rPr>
      </w:pPr>
    </w:p>
    <w:p w14:paraId="7D3CAA31">
      <w:pPr>
        <w:numPr>
          <w:ilvl w:val="0"/>
          <w:numId w:val="4"/>
        </w:numPr>
        <w:spacing w:line="480" w:lineRule="auto"/>
        <w:outlineLvl w:val="0"/>
        <w:rPr>
          <w:rFonts w:ascii="黑体" w:hAnsi="Showcard Gothic" w:eastAsia="黑体"/>
          <w:sz w:val="32"/>
          <w:szCs w:val="21"/>
        </w:rPr>
      </w:pPr>
      <w:r>
        <w:rPr>
          <w:rFonts w:hint="eastAsia" w:ascii="黑体" w:hAnsi="宋体" w:eastAsia="黑体"/>
          <w:sz w:val="36"/>
          <w:szCs w:val="21"/>
        </w:rPr>
        <w:t>招标公告</w:t>
      </w:r>
      <w:r>
        <w:rPr>
          <w:rFonts w:hint="eastAsia" w:ascii="黑体" w:hAnsi="Showcard Gothic" w:eastAsia="黑体"/>
          <w:sz w:val="36"/>
          <w:szCs w:val="21"/>
        </w:rPr>
        <w:t xml:space="preserve">…………………………………… </w:t>
      </w:r>
    </w:p>
    <w:p w14:paraId="1B5A2399">
      <w:pPr>
        <w:numPr>
          <w:ilvl w:val="0"/>
          <w:numId w:val="4"/>
        </w:numPr>
        <w:spacing w:line="480" w:lineRule="auto"/>
        <w:outlineLvl w:val="0"/>
        <w:rPr>
          <w:rFonts w:ascii="黑体" w:hAnsi="Showcard Gothic" w:eastAsia="黑体"/>
          <w:sz w:val="36"/>
          <w:szCs w:val="21"/>
        </w:rPr>
      </w:pPr>
      <w:r>
        <w:rPr>
          <w:rFonts w:hint="eastAsia" w:ascii="黑体" w:hAnsi="宋体" w:eastAsia="黑体"/>
          <w:bCs/>
          <w:sz w:val="36"/>
          <w:szCs w:val="36"/>
        </w:rPr>
        <w:t>供应商须知</w:t>
      </w:r>
      <w:r>
        <w:rPr>
          <w:rFonts w:hint="eastAsia" w:ascii="黑体" w:hAnsi="Showcard Gothic" w:eastAsia="黑体"/>
          <w:sz w:val="36"/>
          <w:szCs w:val="36"/>
        </w:rPr>
        <w:t>…</w:t>
      </w:r>
      <w:r>
        <w:rPr>
          <w:rFonts w:hint="eastAsia" w:ascii="黑体" w:hAnsi="Showcard Gothic" w:eastAsia="黑体"/>
          <w:sz w:val="36"/>
          <w:szCs w:val="21"/>
        </w:rPr>
        <w:t xml:space="preserve">………………………………  </w:t>
      </w:r>
    </w:p>
    <w:p w14:paraId="6C14598E">
      <w:pPr>
        <w:numPr>
          <w:ilvl w:val="0"/>
          <w:numId w:val="4"/>
        </w:numPr>
        <w:spacing w:line="480" w:lineRule="auto"/>
        <w:outlineLvl w:val="0"/>
        <w:rPr>
          <w:rFonts w:ascii="黑体" w:hAnsi="Showcard Gothic" w:eastAsia="黑体"/>
          <w:sz w:val="36"/>
          <w:szCs w:val="21"/>
        </w:rPr>
      </w:pPr>
      <w:r>
        <w:rPr>
          <w:rFonts w:hint="eastAsia" w:ascii="黑体" w:hAnsi="宋体" w:eastAsia="黑体"/>
          <w:sz w:val="36"/>
          <w:szCs w:val="21"/>
        </w:rPr>
        <w:t>合同文本</w:t>
      </w:r>
      <w:r>
        <w:rPr>
          <w:rFonts w:hint="eastAsia" w:ascii="黑体" w:hAnsi="Showcard Gothic" w:eastAsia="黑体"/>
          <w:sz w:val="36"/>
          <w:szCs w:val="21"/>
        </w:rPr>
        <w:t>……………………………………</w:t>
      </w:r>
    </w:p>
    <w:p w14:paraId="63BC8688">
      <w:pPr>
        <w:numPr>
          <w:ilvl w:val="0"/>
          <w:numId w:val="4"/>
        </w:numPr>
        <w:spacing w:line="480" w:lineRule="auto"/>
        <w:outlineLvl w:val="0"/>
        <w:rPr>
          <w:rFonts w:ascii="黑体" w:hAnsi="Showcard Gothic" w:eastAsia="黑体"/>
          <w:sz w:val="36"/>
          <w:szCs w:val="21"/>
        </w:rPr>
      </w:pPr>
      <w:r>
        <w:rPr>
          <w:rFonts w:hint="eastAsia" w:ascii="黑体" w:hAnsi="宋体" w:eastAsia="黑体"/>
          <w:sz w:val="36"/>
          <w:szCs w:val="21"/>
        </w:rPr>
        <w:t>采购需求</w:t>
      </w:r>
      <w:r>
        <w:rPr>
          <w:rFonts w:hint="eastAsia" w:ascii="黑体" w:hAnsi="Showcard Gothic" w:eastAsia="黑体"/>
          <w:sz w:val="36"/>
          <w:szCs w:val="21"/>
        </w:rPr>
        <w:t>……………………………………</w:t>
      </w:r>
    </w:p>
    <w:p w14:paraId="5282099D">
      <w:pPr>
        <w:numPr>
          <w:ilvl w:val="0"/>
          <w:numId w:val="4"/>
        </w:numPr>
        <w:spacing w:line="480" w:lineRule="auto"/>
        <w:outlineLvl w:val="0"/>
        <w:rPr>
          <w:rFonts w:ascii="黑体" w:hAnsi="Showcard Gothic" w:eastAsia="黑体"/>
          <w:sz w:val="36"/>
          <w:szCs w:val="21"/>
        </w:rPr>
      </w:pPr>
      <w:r>
        <w:rPr>
          <w:rFonts w:hint="eastAsia" w:ascii="黑体" w:hAnsi="宋体" w:eastAsia="黑体"/>
          <w:bCs/>
          <w:sz w:val="36"/>
          <w:szCs w:val="36"/>
        </w:rPr>
        <w:t>评审方法与评审标准</w:t>
      </w:r>
      <w:r>
        <w:rPr>
          <w:rFonts w:hint="eastAsia" w:ascii="黑体" w:hAnsi="Showcard Gothic" w:eastAsia="黑体"/>
          <w:sz w:val="36"/>
          <w:szCs w:val="21"/>
        </w:rPr>
        <w:t>………………………</w:t>
      </w:r>
    </w:p>
    <w:p w14:paraId="61B7AFB0">
      <w:pPr>
        <w:numPr>
          <w:ilvl w:val="0"/>
          <w:numId w:val="4"/>
        </w:numPr>
        <w:spacing w:line="480" w:lineRule="auto"/>
        <w:outlineLvl w:val="0"/>
        <w:rPr>
          <w:rFonts w:ascii="黑体" w:hAnsi="Showcard Gothic" w:eastAsia="黑体"/>
          <w:sz w:val="36"/>
          <w:szCs w:val="21"/>
        </w:rPr>
      </w:pPr>
      <w:r>
        <w:rPr>
          <w:rFonts w:hint="eastAsia" w:ascii="黑体" w:hAnsi="宋体" w:eastAsia="黑体"/>
          <w:sz w:val="36"/>
          <w:szCs w:val="21"/>
        </w:rPr>
        <w:t>响应文件格式</w:t>
      </w:r>
      <w:r>
        <w:rPr>
          <w:rFonts w:hint="eastAsia" w:ascii="黑体" w:hAnsi="Showcard Gothic" w:eastAsia="黑体"/>
          <w:sz w:val="36"/>
          <w:szCs w:val="21"/>
        </w:rPr>
        <w:t>………………………………</w:t>
      </w:r>
    </w:p>
    <w:p w14:paraId="2038CB67">
      <w:pPr>
        <w:rPr>
          <w:rFonts w:hint="eastAsia"/>
          <w:color w:val="auto"/>
          <w:highlight w:val="none"/>
        </w:rPr>
      </w:pPr>
    </w:p>
    <w:p w14:paraId="137F95E3">
      <w:pPr>
        <w:rPr>
          <w:rFonts w:hint="eastAsia"/>
          <w:color w:val="auto"/>
          <w:highlight w:val="none"/>
        </w:rPr>
      </w:pPr>
    </w:p>
    <w:p w14:paraId="38197B54">
      <w:pPr>
        <w:rPr>
          <w:rFonts w:hint="eastAsia"/>
          <w:color w:val="auto"/>
          <w:highlight w:val="none"/>
        </w:rPr>
      </w:pPr>
    </w:p>
    <w:p w14:paraId="175047D9">
      <w:pPr>
        <w:pStyle w:val="192"/>
        <w:rPr>
          <w:rFonts w:hint="eastAsia" w:ascii="黑体" w:eastAsia="黑体"/>
          <w:color w:val="auto"/>
          <w:sz w:val="44"/>
          <w:szCs w:val="44"/>
          <w:highlight w:val="none"/>
        </w:rPr>
        <w:sectPr>
          <w:footerReference r:id="rId5" w:type="first"/>
          <w:headerReference r:id="rId3" w:type="default"/>
          <w:footerReference r:id="rId4" w:type="default"/>
          <w:pgSz w:w="11906" w:h="16838"/>
          <w:pgMar w:top="1418" w:right="1588" w:bottom="1418" w:left="1365" w:header="851" w:footer="907" w:gutter="0"/>
          <w:pgBorders>
            <w:top w:val="none" w:sz="0" w:space="0"/>
            <w:left w:val="none" w:sz="0" w:space="0"/>
            <w:bottom w:val="none" w:sz="0" w:space="0"/>
            <w:right w:val="none" w:sz="0" w:space="0"/>
          </w:pgBorders>
          <w:cols w:space="1701" w:num="1"/>
          <w:titlePg/>
          <w:docGrid w:linePitch="360" w:charSpace="0"/>
        </w:sectPr>
      </w:pPr>
      <w:bookmarkStart w:id="6" w:name="_Toc1635"/>
      <w:bookmarkStart w:id="7" w:name="_Toc2933"/>
    </w:p>
    <w:p w14:paraId="5A34C9CA">
      <w:pPr>
        <w:pStyle w:val="192"/>
        <w:keepLines w:val="0"/>
        <w:pageBreakBefore w:val="0"/>
        <w:widowControl w:val="0"/>
        <w:numPr>
          <w:ilvl w:val="0"/>
          <w:numId w:val="5"/>
        </w:numPr>
        <w:spacing w:line="520" w:lineRule="exact"/>
        <w:rPr>
          <w:rFonts w:hint="eastAsia" w:ascii="宋体" w:hAnsi="宋体" w:eastAsia="宋体" w:cs="宋体"/>
          <w:b/>
          <w:bCs/>
          <w:color w:val="auto"/>
          <w:sz w:val="40"/>
          <w:szCs w:val="40"/>
          <w:highlight w:val="none"/>
        </w:rPr>
      </w:pPr>
      <w:r>
        <w:rPr>
          <w:rFonts w:hint="eastAsia" w:ascii="宋体" w:hAnsi="宋体" w:eastAsia="宋体" w:cs="宋体"/>
          <w:b/>
          <w:bCs/>
          <w:color w:val="auto"/>
          <w:sz w:val="40"/>
          <w:szCs w:val="40"/>
          <w:highlight w:val="none"/>
        </w:rPr>
        <w:t xml:space="preserve"> </w:t>
      </w:r>
      <w:bookmarkEnd w:id="0"/>
      <w:r>
        <w:rPr>
          <w:rFonts w:hint="eastAsia" w:ascii="宋体" w:hAnsi="宋体" w:eastAsia="宋体" w:cs="宋体"/>
          <w:b/>
          <w:bCs/>
          <w:color w:val="auto"/>
          <w:sz w:val="40"/>
          <w:szCs w:val="40"/>
          <w:highlight w:val="none"/>
        </w:rPr>
        <w:t>投标邀请</w:t>
      </w:r>
      <w:bookmarkEnd w:id="6"/>
      <w:bookmarkEnd w:id="7"/>
    </w:p>
    <w:p w14:paraId="2D88BFB8">
      <w:pPr>
        <w:numPr>
          <w:ilvl w:val="0"/>
          <w:numId w:val="0"/>
        </w:numPr>
        <w:rPr>
          <w:rFonts w:hint="eastAsia"/>
          <w:color w:val="auto"/>
          <w:highlight w:val="none"/>
        </w:rPr>
      </w:pPr>
    </w:p>
    <w:p w14:paraId="4F489088">
      <w:pPr>
        <w:keepNext w:val="0"/>
        <w:keepLines w:val="0"/>
        <w:pageBreakBefore w:val="0"/>
        <w:widowControl w:val="0"/>
        <w:spacing w:line="52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受</w:t>
      </w:r>
      <w:r>
        <w:rPr>
          <w:rFonts w:hint="eastAsia" w:ascii="宋体" w:hAnsi="宋体" w:cs="宋体"/>
          <w:color w:val="auto"/>
          <w:sz w:val="24"/>
          <w:szCs w:val="24"/>
          <w:highlight w:val="none"/>
          <w:u w:val="single"/>
          <w:lang w:eastAsia="zh-CN"/>
        </w:rPr>
        <w:t>连云港市东海生态环境局</w:t>
      </w:r>
      <w:r>
        <w:rPr>
          <w:rFonts w:hint="eastAsia" w:ascii="宋体" w:hAnsi="宋体" w:eastAsia="宋体" w:cs="宋体"/>
          <w:color w:val="auto"/>
          <w:sz w:val="24"/>
          <w:szCs w:val="24"/>
          <w:highlight w:val="none"/>
        </w:rPr>
        <w:t>的委托，</w:t>
      </w:r>
      <w:r>
        <w:rPr>
          <w:rFonts w:hint="eastAsia" w:ascii="宋体" w:hAnsi="宋体" w:cs="宋体"/>
          <w:color w:val="auto"/>
          <w:sz w:val="24"/>
          <w:szCs w:val="24"/>
          <w:highlight w:val="none"/>
          <w:u w:val="single"/>
          <w:lang w:eastAsia="zh-CN"/>
        </w:rPr>
        <w:t>连云港铭康工程咨询限公司</w:t>
      </w:r>
      <w:r>
        <w:rPr>
          <w:rFonts w:hint="eastAsia" w:ascii="宋体" w:hAnsi="宋体" w:eastAsia="宋体" w:cs="宋体"/>
          <w:color w:val="auto"/>
          <w:sz w:val="24"/>
          <w:szCs w:val="24"/>
          <w:highlight w:val="none"/>
        </w:rPr>
        <w:t>就</w:t>
      </w:r>
      <w:r>
        <w:rPr>
          <w:rFonts w:hint="eastAsia" w:ascii="宋体" w:hAnsi="宋体" w:cs="宋体"/>
          <w:color w:val="auto"/>
          <w:sz w:val="24"/>
          <w:szCs w:val="24"/>
          <w:highlight w:val="none"/>
          <w:u w:val="single"/>
          <w:lang w:eastAsia="zh-CN"/>
        </w:rPr>
        <w:t>连云港鑫昌达新型建材有限公司环境事件涉事物料属性司法鉴定和阶段性环境损害评估</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：JSZC-320700-MKGC-G2024-0001</w:t>
      </w:r>
      <w:r>
        <w:rPr>
          <w:rFonts w:hint="eastAsia" w:ascii="宋体" w:hAnsi="宋体" w:eastAsia="宋体" w:cs="宋体"/>
          <w:color w:val="auto"/>
          <w:sz w:val="24"/>
          <w:szCs w:val="24"/>
          <w:highlight w:val="none"/>
        </w:rPr>
        <w:t>)项目进行公开招标采购，欢迎符合条件的供应商投标。</w:t>
      </w:r>
    </w:p>
    <w:p w14:paraId="3B276B54">
      <w:pPr>
        <w:keepLines w:val="0"/>
        <w:pageBreakBefore w:val="0"/>
        <w:widowControl w:val="0"/>
        <w:pBdr>
          <w:top w:val="single" w:color="000000" w:sz="4" w:space="1"/>
          <w:left w:val="single" w:color="000000" w:sz="4" w:space="4"/>
          <w:bottom w:val="single" w:color="000000" w:sz="4" w:space="1"/>
          <w:right w:val="single" w:color="000000" w:sz="4" w:space="4"/>
        </w:pBdr>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4BAFFFB2">
      <w:pPr>
        <w:keepLines w:val="0"/>
        <w:pageBreakBefore w:val="0"/>
        <w:widowControl w:val="0"/>
        <w:pBdr>
          <w:top w:val="single" w:color="000000" w:sz="4" w:space="1"/>
          <w:left w:val="single" w:color="000000" w:sz="4" w:space="4"/>
          <w:bottom w:val="single" w:color="000000" w:sz="4" w:space="1"/>
          <w:right w:val="single" w:color="000000" w:sz="4" w:space="4"/>
        </w:pBdr>
        <w:spacing w:line="520" w:lineRule="exact"/>
        <w:ind w:firstLine="480"/>
        <w:rPr>
          <w:rFonts w:hint="eastAsia" w:ascii="宋体" w:hAnsi="宋体" w:eastAsia="宋体" w:cs="宋体"/>
          <w:color w:val="auto"/>
          <w:sz w:val="28"/>
          <w:szCs w:val="28"/>
          <w:highlight w:val="none"/>
        </w:rPr>
      </w:pPr>
      <w:r>
        <w:rPr>
          <w:rFonts w:hint="eastAsia" w:ascii="宋体" w:hAnsi="宋体" w:cs="宋体"/>
          <w:color w:val="auto"/>
          <w:sz w:val="24"/>
          <w:szCs w:val="24"/>
          <w:highlight w:val="none"/>
          <w:u w:val="single"/>
          <w:lang w:eastAsia="zh-CN"/>
        </w:rPr>
        <w:t>连云港鑫昌达新型建材有限公司环境事件涉事物料属性司法鉴定和阶段性环境损害评估</w:t>
      </w:r>
      <w:r>
        <w:rPr>
          <w:rFonts w:hint="eastAsia" w:ascii="宋体" w:hAnsi="宋体" w:eastAsia="宋体" w:cs="宋体"/>
          <w:color w:val="auto"/>
          <w:sz w:val="24"/>
          <w:szCs w:val="24"/>
          <w:highlight w:val="none"/>
        </w:rPr>
        <w:t>招标项目的潜在投标人可在</w:t>
      </w:r>
      <w:r>
        <w:rPr>
          <w:rFonts w:hint="eastAsia" w:ascii="宋体" w:hAnsi="宋体" w:eastAsia="宋体" w:cs="宋体"/>
          <w:color w:val="auto"/>
          <w:sz w:val="24"/>
          <w:szCs w:val="24"/>
          <w:highlight w:val="none"/>
          <w:u w:val="single"/>
        </w:rPr>
        <w:t>“江苏政府采购网”“苏采云系统”内自行免费下载</w:t>
      </w:r>
      <w:r>
        <w:rPr>
          <w:rFonts w:hint="eastAsia" w:ascii="宋体" w:hAnsi="宋体" w:eastAsia="宋体" w:cs="宋体"/>
          <w:color w:val="auto"/>
          <w:sz w:val="24"/>
          <w:szCs w:val="24"/>
          <w:highlight w:val="none"/>
        </w:rPr>
        <w:t>招标文件，并于</w:t>
      </w:r>
      <w:r>
        <w:rPr>
          <w:rFonts w:hint="eastAsia" w:ascii="宋体" w:hAnsi="宋体" w:eastAsia="宋体" w:cs="宋体"/>
          <w:color w:val="auto"/>
          <w:sz w:val="24"/>
          <w:szCs w:val="24"/>
          <w:highlight w:val="none"/>
          <w:u w:val="single"/>
          <w:lang w:val="en-US" w:eastAsia="zh-CN"/>
        </w:rPr>
        <w:t>2024</w:t>
      </w:r>
      <w:r>
        <w:rPr>
          <w:rFonts w:hint="eastAsia" w:ascii="宋体" w:hAnsi="宋体" w:eastAsia="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rPr>
        <w:t>日</w:t>
      </w:r>
      <w:r>
        <w:rPr>
          <w:rFonts w:hint="eastAsia" w:ascii="宋体" w:hAnsi="宋体" w:cs="宋体"/>
          <w:color w:val="auto"/>
          <w:sz w:val="24"/>
          <w:szCs w:val="24"/>
          <w:highlight w:val="none"/>
          <w:u w:val="single"/>
          <w:lang w:val="en-US" w:eastAsia="zh-CN"/>
        </w:rPr>
        <w:t>10</w:t>
      </w:r>
      <w:r>
        <w:rPr>
          <w:rFonts w:hint="eastAsia" w:ascii="宋体" w:hAnsi="宋体" w:eastAsia="宋体" w:cs="宋体"/>
          <w:bCs/>
          <w:color w:val="auto"/>
          <w:sz w:val="24"/>
          <w:szCs w:val="24"/>
          <w:highlight w:val="none"/>
          <w:u w:val="single"/>
        </w:rPr>
        <w:t>点</w:t>
      </w:r>
      <w:r>
        <w:rPr>
          <w:rFonts w:hint="eastAsia" w:ascii="宋体" w:hAnsi="宋体" w:cs="宋体"/>
          <w:bCs/>
          <w:color w:val="auto"/>
          <w:sz w:val="24"/>
          <w:szCs w:val="24"/>
          <w:highlight w:val="none"/>
          <w:u w:val="single"/>
          <w:lang w:val="en-US" w:eastAsia="zh-CN"/>
        </w:rPr>
        <w:t>3</w:t>
      </w:r>
      <w:r>
        <w:rPr>
          <w:rFonts w:hint="eastAsia" w:ascii="宋体" w:hAnsi="宋体" w:eastAsia="宋体" w:cs="宋体"/>
          <w:bCs/>
          <w:color w:val="auto"/>
          <w:sz w:val="24"/>
          <w:szCs w:val="24"/>
          <w:highlight w:val="none"/>
          <w:u w:val="single"/>
          <w:lang w:val="en-US" w:eastAsia="zh-CN"/>
        </w:rPr>
        <w:t>0</w:t>
      </w:r>
      <w:r>
        <w:rPr>
          <w:rFonts w:hint="eastAsia" w:ascii="宋体" w:hAnsi="宋体" w:eastAsia="宋体" w:cs="宋体"/>
          <w:bCs/>
          <w:color w:val="auto"/>
          <w:sz w:val="24"/>
          <w:szCs w:val="24"/>
          <w:highlight w:val="none"/>
          <w:u w:val="single"/>
        </w:rPr>
        <w:t>分（</w:t>
      </w:r>
      <w:r>
        <w:rPr>
          <w:rFonts w:hint="eastAsia" w:ascii="宋体" w:hAnsi="宋体" w:eastAsia="宋体" w:cs="宋体"/>
          <w:bCs/>
          <w:color w:val="auto"/>
          <w:sz w:val="24"/>
          <w:szCs w:val="24"/>
          <w:highlight w:val="none"/>
        </w:rPr>
        <w:t>北京时间）前</w:t>
      </w:r>
      <w:r>
        <w:rPr>
          <w:rFonts w:hint="eastAsia" w:ascii="宋体" w:hAnsi="宋体" w:eastAsia="宋体" w:cs="宋体"/>
          <w:color w:val="auto"/>
          <w:sz w:val="24"/>
          <w:szCs w:val="24"/>
          <w:highlight w:val="none"/>
          <w:u w:val="single"/>
        </w:rPr>
        <w:t>上传电子投标文件</w:t>
      </w:r>
      <w:r>
        <w:rPr>
          <w:rFonts w:hint="eastAsia" w:ascii="宋体" w:hAnsi="宋体" w:eastAsia="宋体" w:cs="宋体"/>
          <w:color w:val="auto"/>
          <w:sz w:val="24"/>
          <w:szCs w:val="24"/>
          <w:highlight w:val="none"/>
        </w:rPr>
        <w:t>。</w:t>
      </w:r>
    </w:p>
    <w:p w14:paraId="0F1F9C15">
      <w:pPr>
        <w:pStyle w:val="194"/>
        <w:pageBreakBefore w:val="0"/>
        <w:spacing w:before="145" w:after="145" w:line="520" w:lineRule="exact"/>
        <w:ind w:firstLine="498"/>
        <w:rPr>
          <w:color w:val="auto"/>
          <w:highlight w:val="none"/>
        </w:rPr>
      </w:pPr>
      <w:bookmarkStart w:id="8" w:name="_Toc35393621"/>
      <w:bookmarkStart w:id="9" w:name="_Toc28359079"/>
      <w:bookmarkStart w:id="10" w:name="_Toc35393790"/>
      <w:bookmarkStart w:id="11" w:name="_Toc28359002"/>
      <w:bookmarkStart w:id="12" w:name="_Toc21136"/>
      <w:bookmarkStart w:id="13" w:name="_Toc16002"/>
      <w:bookmarkStart w:id="14" w:name="_Toc38985263"/>
      <w:bookmarkStart w:id="15" w:name="_Hlk24379207"/>
      <w:r>
        <w:rPr>
          <w:rFonts w:hint="eastAsia"/>
          <w:color w:val="auto"/>
          <w:highlight w:val="none"/>
        </w:rPr>
        <w:t>一、项目基本情况</w:t>
      </w:r>
      <w:bookmarkEnd w:id="8"/>
      <w:bookmarkEnd w:id="9"/>
      <w:bookmarkEnd w:id="10"/>
      <w:bookmarkEnd w:id="11"/>
      <w:bookmarkEnd w:id="12"/>
      <w:bookmarkEnd w:id="13"/>
      <w:bookmarkEnd w:id="14"/>
    </w:p>
    <w:p w14:paraId="6062D3B8">
      <w:pPr>
        <w:keepNext w:val="0"/>
        <w:keepLines w:val="0"/>
        <w:pageBreakBefore w:val="0"/>
        <w:widowControl w:val="0"/>
        <w:spacing w:line="520" w:lineRule="exact"/>
        <w:ind w:firstLine="480"/>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rPr>
        <w:t>1.项目编号：</w:t>
      </w:r>
      <w:r>
        <w:rPr>
          <w:rFonts w:hint="eastAsia" w:ascii="宋体" w:hAnsi="宋体" w:eastAsia="宋体" w:cs="宋体"/>
          <w:color w:val="auto"/>
          <w:sz w:val="24"/>
          <w:szCs w:val="24"/>
          <w:highlight w:val="none"/>
          <w:lang w:eastAsia="zh-CN"/>
        </w:rPr>
        <w:t>JSZC-320700-MKGC-G2024-0001</w:t>
      </w:r>
    </w:p>
    <w:p w14:paraId="75F3EC8E">
      <w:pPr>
        <w:keepNext w:val="0"/>
        <w:keepLines w:val="0"/>
        <w:pageBreakBefore w:val="0"/>
        <w:widowControl w:val="0"/>
        <w:spacing w:line="520" w:lineRule="exact"/>
        <w:ind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2.项目名称：</w:t>
      </w:r>
      <w:bookmarkEnd w:id="15"/>
      <w:r>
        <w:rPr>
          <w:rFonts w:hint="eastAsia" w:ascii="宋体" w:hAnsi="宋体" w:eastAsia="宋体" w:cs="宋体"/>
          <w:color w:val="auto"/>
          <w:sz w:val="24"/>
          <w:szCs w:val="24"/>
          <w:highlight w:val="none"/>
          <w:lang w:eastAsia="zh-CN"/>
        </w:rPr>
        <w:t>连云港鑫昌达新型建材有限公司环境事件涉事物料属性司法鉴定和阶段性环境损害评估</w:t>
      </w:r>
    </w:p>
    <w:p w14:paraId="00D6AD31">
      <w:pPr>
        <w:keepNext w:val="0"/>
        <w:keepLines w:val="0"/>
        <w:pageBreakBefore w:val="0"/>
        <w:widowControl w:val="0"/>
        <w:spacing w:line="520" w:lineRule="exact"/>
        <w:ind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3.采购方式：</w:t>
      </w:r>
      <w:r>
        <w:rPr>
          <w:rFonts w:hint="eastAsia" w:ascii="宋体" w:hAnsi="宋体" w:eastAsia="宋体" w:cs="宋体"/>
          <w:color w:val="auto"/>
          <w:sz w:val="24"/>
          <w:szCs w:val="24"/>
          <w:highlight w:val="none"/>
        </w:rPr>
        <w:t>公开招标</w:t>
      </w:r>
    </w:p>
    <w:p w14:paraId="3D8F65B5">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4.预算金额：人民币</w:t>
      </w:r>
      <w:r>
        <w:rPr>
          <w:rFonts w:hint="eastAsia" w:ascii="宋体" w:hAnsi="宋体" w:cs="宋体"/>
          <w:color w:val="auto"/>
          <w:sz w:val="24"/>
          <w:szCs w:val="24"/>
          <w:highlight w:val="none"/>
          <w:lang w:val="en-US" w:eastAsia="zh-CN"/>
        </w:rPr>
        <w:t>89万</w:t>
      </w:r>
      <w:r>
        <w:rPr>
          <w:rFonts w:hint="eastAsia" w:ascii="宋体" w:hAnsi="宋体" w:eastAsia="宋体" w:cs="宋体"/>
          <w:color w:val="auto"/>
          <w:sz w:val="24"/>
          <w:szCs w:val="24"/>
          <w:highlight w:val="none"/>
        </w:rPr>
        <w:t>元</w:t>
      </w:r>
    </w:p>
    <w:p w14:paraId="22D82634">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5.最高限价：</w:t>
      </w:r>
      <w:r>
        <w:rPr>
          <w:rFonts w:hint="eastAsia" w:ascii="宋体" w:hAnsi="宋体" w:cs="宋体"/>
          <w:color w:val="auto"/>
          <w:sz w:val="24"/>
          <w:szCs w:val="24"/>
          <w:highlight w:val="none"/>
          <w:lang w:val="en-US" w:eastAsia="zh-CN"/>
        </w:rPr>
        <w:t>890000.00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元；投标报价不得高于最高限价，否则作废标处理；</w:t>
      </w:r>
    </w:p>
    <w:p w14:paraId="72D53CC5">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6.采购需求：连云港鑫昌达新型建材有限公司涉事物料性质初步认定、司法鉴定、危险特性鉴别、生态环境损害鉴定评估等工作，具体要求详见项目需求；</w:t>
      </w:r>
    </w:p>
    <w:p w14:paraId="798956DC">
      <w:pPr>
        <w:keepNext w:val="0"/>
        <w:keepLines w:val="0"/>
        <w:pageBreakBefore w:val="0"/>
        <w:widowControl w:val="0"/>
        <w:spacing w:line="520" w:lineRule="exact"/>
        <w:ind w:firstLine="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对项目需求、综合评分部分的询问、质疑请与采购人联系，由采购人负责答复。</w:t>
      </w:r>
    </w:p>
    <w:p w14:paraId="01B4CD68">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bookmarkStart w:id="16" w:name="_Toc35393622"/>
      <w:bookmarkStart w:id="17" w:name="_Toc38985264"/>
      <w:bookmarkStart w:id="18" w:name="_Toc35393791"/>
      <w:bookmarkStart w:id="19" w:name="_Toc3796"/>
      <w:bookmarkStart w:id="20" w:name="_Toc28359080"/>
      <w:bookmarkStart w:id="21" w:name="_Toc1258"/>
      <w:bookmarkStart w:id="22" w:name="_Toc28359003"/>
      <w:r>
        <w:rPr>
          <w:rFonts w:hint="eastAsia" w:ascii="宋体" w:hAnsi="宋体" w:eastAsia="宋体" w:cs="宋体"/>
          <w:color w:val="auto"/>
          <w:sz w:val="24"/>
          <w:szCs w:val="24"/>
          <w:highlight w:val="none"/>
        </w:rPr>
        <w:t>7.合同履行期限：合同签订后5个工作日内完成涉事污染物性质鉴定及环境损害确认调查工作方案编制，15个工作日完成内场地样品采集与检测，20个工作日内完成倾倒固体废物污染物性质鉴定及损害确认报告；30个工作日内完成场地内生态环境损害评估方案编制、样品采集与检测、环境损害评估报告编制及出版工作。在服务期内中标服务单位应按时按质完成招标人提出的司法鉴定意见及评估报告任务并提交相应成果报告。</w:t>
      </w:r>
    </w:p>
    <w:p w14:paraId="7A854F42">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8.本次招标不接受联合体投标</w:t>
      </w:r>
    </w:p>
    <w:bookmarkEnd w:id="16"/>
    <w:bookmarkEnd w:id="17"/>
    <w:bookmarkEnd w:id="18"/>
    <w:bookmarkEnd w:id="19"/>
    <w:bookmarkEnd w:id="20"/>
    <w:bookmarkEnd w:id="21"/>
    <w:bookmarkEnd w:id="22"/>
    <w:p w14:paraId="6DAB53FF">
      <w:pPr>
        <w:keepNext/>
        <w:keepLines/>
        <w:spacing w:before="145" w:after="145" w:line="480" w:lineRule="exact"/>
        <w:ind w:firstLine="498"/>
        <w:outlineLvl w:val="1"/>
        <w:rPr>
          <w:b/>
          <w:bCs/>
          <w:sz w:val="32"/>
          <w:szCs w:val="32"/>
        </w:rPr>
      </w:pPr>
      <w:bookmarkStart w:id="23" w:name="_Toc28359004"/>
      <w:bookmarkStart w:id="24" w:name="_Toc28359081"/>
      <w:bookmarkStart w:id="25" w:name="_Toc35393792"/>
      <w:bookmarkStart w:id="26" w:name="_Toc38985265"/>
      <w:bookmarkStart w:id="27" w:name="_Toc35393623"/>
      <w:bookmarkStart w:id="28" w:name="_Toc22630"/>
      <w:bookmarkStart w:id="29" w:name="_Toc21470"/>
      <w:r>
        <w:rPr>
          <w:rFonts w:hint="eastAsia"/>
          <w:b/>
          <w:bCs/>
          <w:sz w:val="32"/>
          <w:szCs w:val="32"/>
        </w:rPr>
        <w:t>二、申请人的资格要求：</w:t>
      </w:r>
    </w:p>
    <w:p w14:paraId="60C242B7">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（一）通用资格要求</w:t>
      </w:r>
    </w:p>
    <w:p w14:paraId="178641AC">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满足《中华人民共和国政府采购法》第二十二条规定，并提供下列材料：</w:t>
      </w:r>
    </w:p>
    <w:p w14:paraId="14921923">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bookmarkStart w:id="30" w:name="_Toc28359091"/>
      <w:bookmarkStart w:id="31" w:name="_Toc28359014"/>
      <w:r>
        <w:rPr>
          <w:rFonts w:hint="eastAsia" w:ascii="宋体" w:hAnsi="宋体" w:eastAsia="宋体" w:cs="宋体"/>
          <w:color w:val="auto"/>
          <w:sz w:val="24"/>
          <w:szCs w:val="24"/>
          <w:highlight w:val="none"/>
        </w:rPr>
        <w:t>（1）法人或者其他组织的营业执照等证明文件，自然人的身份证明；</w:t>
      </w:r>
    </w:p>
    <w:p w14:paraId="43DB094A">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（2）具有良好的商业信誉和健全的财务会计制度；（按连财购〔2023〕4号文件要求，符合要求的可提交《财务状况报告及税收、社会保障资金缴纳情况承诺函》，详见采购文件格式）；</w:t>
      </w:r>
    </w:p>
    <w:p w14:paraId="450030DA">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（3）有依法缴纳税收和社会保障资金的良好记录；（按连财购〔2023〕4号文件要求，符合要求的可提交《财务状况报告及税收、社会保障资金缴纳情况承诺函》，详见采购文件格式）；</w:t>
      </w:r>
    </w:p>
    <w:p w14:paraId="335EF449">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（4）具备履行合同所必需的设备和专业技术能力的书面声明；</w:t>
      </w:r>
    </w:p>
    <w:p w14:paraId="5CCE6D3C">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（5）参加政府采购活动前三年内在经营活动中没有重大违法记录的书面声明。</w:t>
      </w:r>
    </w:p>
    <w:bookmarkEnd w:id="30"/>
    <w:bookmarkEnd w:id="31"/>
    <w:p w14:paraId="76417308">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格审查现场查询信用中国、中国政府采购网，投标人被列入失信被执行人、税收违法黑名单、政府采购严重违法失信行为记录名单及具有其他不符合《中华人民共和国政府采购法》第二十二条规定情形的，拒绝其参与政府采购活动。（投标文件中无需提供证明材料）。</w:t>
      </w:r>
    </w:p>
    <w:p w14:paraId="47E6EAC0">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落实政府采购政策需满足的资格要求：执行财政部、工业和信息化部关于印发《政府采购促进中小企业发展管理办法》的通知（财库〔2020〕46号）、苏财购[2022]45号，本项目专门面向中小企业采购，符合文件要求的供应商应提交《中小微企业声明函》，并上传至电子投标文件中，详见投标文件格式。</w:t>
      </w:r>
    </w:p>
    <w:p w14:paraId="029801A2">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本项目的特定资格要求：具有省级及以上主管部门颁发的司法鉴定许可证。</w:t>
      </w:r>
    </w:p>
    <w:p w14:paraId="295C8D04">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.法律法规规定的其他条件。</w:t>
      </w:r>
    </w:p>
    <w:p w14:paraId="1E99B1AE">
      <w:pPr>
        <w:pStyle w:val="194"/>
        <w:pageBreakBefore w:val="0"/>
        <w:spacing w:before="145" w:after="145" w:line="520" w:lineRule="exact"/>
        <w:ind w:firstLine="498"/>
        <w:rPr>
          <w:color w:val="auto"/>
          <w:highlight w:val="none"/>
        </w:rPr>
      </w:pPr>
      <w:r>
        <w:rPr>
          <w:rFonts w:hint="eastAsia"/>
          <w:color w:val="auto"/>
          <w:highlight w:val="none"/>
        </w:rPr>
        <w:t>三、获取招标文件</w:t>
      </w:r>
      <w:bookmarkEnd w:id="23"/>
      <w:bookmarkEnd w:id="24"/>
      <w:bookmarkEnd w:id="25"/>
      <w:bookmarkEnd w:id="26"/>
      <w:bookmarkEnd w:id="27"/>
      <w:bookmarkEnd w:id="28"/>
      <w:bookmarkEnd w:id="29"/>
    </w:p>
    <w:p w14:paraId="46FDC5BD">
      <w:pPr>
        <w:pBdr>
          <w:top w:val="none" w:color="000000" w:sz="0" w:space="0"/>
          <w:left w:val="none" w:color="000000" w:sz="0" w:space="0"/>
          <w:bottom w:val="none" w:color="000000" w:sz="0" w:space="0"/>
          <w:right w:val="none" w:color="000000" w:sz="0" w:space="0"/>
        </w:pBdr>
        <w:spacing w:before="0" w:after="0" w:line="519" w:lineRule="atLeast"/>
        <w:ind w:left="0" w:right="0" w:firstLine="540"/>
        <w:jc w:val="both"/>
      </w:pPr>
      <w:bookmarkStart w:id="32" w:name="_Toc28359005"/>
      <w:bookmarkStart w:id="33" w:name="_Toc28359082"/>
      <w:bookmarkStart w:id="34" w:name="_Toc35393624"/>
      <w:bookmarkStart w:id="35" w:name="_Toc35393793"/>
      <w:bookmarkStart w:id="36" w:name="_Toc38985266"/>
      <w:r>
        <w:rPr>
          <w:rFonts w:hint="eastAsia" w:ascii="宋体" w:hAnsi="宋体" w:cs="宋体"/>
          <w:color w:val="auto"/>
          <w:sz w:val="24"/>
          <w:szCs w:val="24"/>
          <w:highlight w:val="none"/>
        </w:rPr>
        <w:t>1.时间：</w:t>
      </w:r>
      <w:r>
        <w:rPr>
          <w:rFonts w:ascii="宋体" w:hAnsi="宋体" w:eastAsia="宋体" w:cs="宋体"/>
          <w:color w:val="000000"/>
          <w:sz w:val="24"/>
          <w:highlight w:val="none"/>
        </w:rPr>
        <w:t>2024年</w:t>
      </w:r>
      <w:r>
        <w:rPr>
          <w:rFonts w:hint="eastAsia" w:ascii="宋体" w:hAnsi="宋体" w:cs="宋体"/>
          <w:color w:val="000000"/>
          <w:sz w:val="24"/>
          <w:highlight w:val="none"/>
          <w:lang w:val="en-US" w:eastAsia="zh-CN"/>
        </w:rPr>
        <w:t>9</w:t>
      </w:r>
      <w:r>
        <w:rPr>
          <w:rFonts w:ascii="宋体" w:hAnsi="宋体" w:eastAsia="宋体" w:cs="宋体"/>
          <w:color w:val="000000"/>
          <w:sz w:val="24"/>
          <w:highlight w:val="none"/>
        </w:rPr>
        <w:t>月</w:t>
      </w:r>
      <w:r>
        <w:rPr>
          <w:rFonts w:hint="eastAsia" w:ascii="宋体" w:hAnsi="宋体" w:cs="宋体"/>
          <w:color w:val="000000"/>
          <w:sz w:val="24"/>
          <w:highlight w:val="none"/>
          <w:lang w:val="en-US" w:eastAsia="zh-CN"/>
        </w:rPr>
        <w:t>6</w:t>
      </w:r>
      <w:r>
        <w:rPr>
          <w:rFonts w:ascii="宋体" w:hAnsi="宋体" w:eastAsia="宋体" w:cs="宋体"/>
          <w:color w:val="000000"/>
          <w:sz w:val="24"/>
          <w:highlight w:val="none"/>
        </w:rPr>
        <w:t>日至2024年</w:t>
      </w:r>
      <w:r>
        <w:rPr>
          <w:rFonts w:hint="eastAsia" w:ascii="宋体" w:hAnsi="宋体" w:cs="宋体"/>
          <w:color w:val="000000"/>
          <w:sz w:val="24"/>
          <w:highlight w:val="none"/>
          <w:lang w:val="en-US" w:eastAsia="zh-CN"/>
        </w:rPr>
        <w:t>9</w:t>
      </w:r>
      <w:r>
        <w:rPr>
          <w:rFonts w:ascii="宋体" w:hAnsi="宋体" w:eastAsia="宋体" w:cs="宋体"/>
          <w:color w:val="000000"/>
          <w:sz w:val="24"/>
          <w:highlight w:val="none"/>
        </w:rPr>
        <w:t>月</w:t>
      </w:r>
      <w:r>
        <w:rPr>
          <w:rFonts w:hint="eastAsia" w:ascii="宋体" w:hAnsi="宋体" w:cs="宋体"/>
          <w:color w:val="000000"/>
          <w:sz w:val="24"/>
          <w:highlight w:val="none"/>
          <w:lang w:val="en-US" w:eastAsia="zh-CN"/>
        </w:rPr>
        <w:t>13</w:t>
      </w:r>
      <w:r>
        <w:rPr>
          <w:rFonts w:ascii="宋体" w:hAnsi="宋体" w:eastAsia="宋体" w:cs="宋体"/>
          <w:color w:val="000000"/>
          <w:sz w:val="24"/>
        </w:rPr>
        <w:t>日每天上午</w:t>
      </w:r>
      <w:r>
        <w:rPr>
          <w:rFonts w:ascii="Arial" w:hAnsi="Arial" w:eastAsia="Arial" w:cs="Arial"/>
          <w:color w:val="000000"/>
          <w:sz w:val="24"/>
        </w:rPr>
        <w:t>0:00-12:00</w:t>
      </w:r>
      <w:r>
        <w:rPr>
          <w:rFonts w:ascii="宋体" w:hAnsi="宋体" w:eastAsia="宋体" w:cs="宋体"/>
          <w:color w:val="000000"/>
          <w:sz w:val="24"/>
        </w:rPr>
        <w:t>，</w:t>
      </w:r>
      <w:r>
        <w:rPr>
          <w:rFonts w:ascii="Arial" w:hAnsi="Arial" w:eastAsia="Arial" w:cs="Arial"/>
          <w:color w:val="000000"/>
          <w:sz w:val="24"/>
        </w:rPr>
        <w:t>12:00-23:59</w:t>
      </w:r>
      <w:r>
        <w:rPr>
          <w:rFonts w:ascii="宋体" w:hAnsi="宋体" w:eastAsia="宋体" w:cs="宋体"/>
          <w:color w:val="000000"/>
          <w:sz w:val="24"/>
        </w:rPr>
        <w:t>（北京时间，法定节假日除外）</w:t>
      </w:r>
    </w:p>
    <w:p w14:paraId="1567D901">
      <w:pPr>
        <w:pageBreakBefore w:val="0"/>
        <w:spacing w:line="520" w:lineRule="exact"/>
        <w:ind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2.方式：在“江苏政府采购网”自行免费下载招标文件。</w:t>
      </w:r>
    </w:p>
    <w:p w14:paraId="1E8BA634">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（1）潜在</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访问电子招标投标交易平台的网络地址和方法：</w:t>
      </w:r>
    </w:p>
    <w:p w14:paraId="71626049">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①登录http://jszfcg.jsczt.cn</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或进入</w:t>
      </w:r>
      <w:r>
        <w:rPr>
          <w:rFonts w:hint="eastAsia" w:ascii="宋体" w:hAnsi="宋体" w:cs="宋体"/>
          <w:color w:val="auto"/>
          <w:sz w:val="24"/>
          <w:szCs w:val="24"/>
          <w:highlight w:val="none"/>
          <w:lang w:val="en-US" w:eastAsia="zh-CN"/>
        </w:rPr>
        <w:t>江苏</w:t>
      </w:r>
      <w:r>
        <w:rPr>
          <w:rFonts w:hint="eastAsia" w:ascii="宋体" w:hAnsi="宋体" w:cs="宋体"/>
          <w:color w:val="auto"/>
          <w:sz w:val="24"/>
          <w:szCs w:val="24"/>
          <w:highlight w:val="none"/>
        </w:rPr>
        <w:t>政府采购网，点击“苏采云”进入系统。</w:t>
      </w:r>
    </w:p>
    <w:p w14:paraId="2CE6BE98">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②“苏采云”系统用户注册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获取“CA数字证书”-CA绑定与登录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网上报名</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下载招标文件(后缀名为“.kedt”)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将后缀名为“.kedt”的</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文件导入政府采购客户端工具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制作</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导出加密的</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文件(后缀名为zip)--通过“苏采云”系统上传</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文件。具体见《江苏省政府采购管理交易系统(苏采云)供应商操作手册》。</w:t>
      </w:r>
    </w:p>
    <w:p w14:paraId="5DDDC40E">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③潜在</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访问“苏采云”系统的网络地址和方法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“苏采云”系统的网址</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http://jszfcg.jsczt.cn</w:t>
      </w:r>
      <w:r>
        <w:rPr>
          <w:rFonts w:hint="eastAsia" w:ascii="宋体" w:hAnsi="宋体" w:cs="宋体"/>
          <w:color w:val="auto"/>
          <w:sz w:val="24"/>
          <w:szCs w:val="24"/>
          <w:highlight w:val="none"/>
          <w:lang w:eastAsia="zh-CN"/>
        </w:rPr>
        <w:t>/</w:t>
      </w:r>
    </w:p>
    <w:p w14:paraId="62F75D13">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④“CA数字证书”的获取</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需办理CA锁，“苏采云”系统目前仅支持政务CA、方正签章，省内各地区办理的用于“苏采云”平台的政务CA、方正签章全省通用。“CA数字证书”的办理方法详见《江苏省政府采购数字证书(供应商)CA及电子签章办理指南》。</w:t>
      </w:r>
    </w:p>
    <w:p w14:paraId="25487BDA">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⑤</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文件(后缀名为“.kedt”)、供应商操作手册及政府采购客户端工具可通过“苏采云”系统</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已报名项目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报名详情页面内相应链接进行下载。</w:t>
      </w:r>
    </w:p>
    <w:p w14:paraId="1862C1A6">
      <w:pPr>
        <w:pageBreakBefore w:val="0"/>
        <w:spacing w:line="520" w:lineRule="exact"/>
        <w:ind w:left="0" w:firstLine="540"/>
        <w:rPr>
          <w:rFonts w:hint="eastAsia" w:ascii="宋体" w:hAnsi="宋体" w:cs="宋体"/>
          <w:color w:val="auto"/>
          <w:sz w:val="24"/>
          <w:szCs w:val="24"/>
          <w:highlight w:val="none"/>
        </w:rPr>
      </w:pPr>
      <w:r>
        <w:rPr>
          <w:rFonts w:hint="eastAsia" w:ascii="宋体" w:hAnsi="宋体" w:cs="宋体"/>
          <w:color w:val="auto"/>
          <w:sz w:val="24"/>
          <w:szCs w:val="24"/>
          <w:highlight w:val="none"/>
        </w:rPr>
        <w:t>⑥招标代理机构(采购代理机构)将数据电文形式的</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文件加载至“苏采云”系统，供潜在</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下载或者查阅。</w:t>
      </w:r>
    </w:p>
    <w:p w14:paraId="1328CF95">
      <w:pPr>
        <w:pageBreakBefore w:val="0"/>
        <w:spacing w:line="520" w:lineRule="exact"/>
        <w:ind w:firstLine="54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⑦请潜在投标人提前安装相应的控件(详见《江苏省政府采购管理交易系统(苏采云)供应商操作手册》)并使用谷歌浏览器登录“苏采云”系统参与不见面开评标。</w:t>
      </w:r>
    </w:p>
    <w:p w14:paraId="51E111BC">
      <w:pPr>
        <w:pStyle w:val="194"/>
        <w:pageBreakBefore w:val="0"/>
        <w:spacing w:before="145" w:after="145" w:line="520" w:lineRule="exact"/>
        <w:ind w:firstLine="498"/>
        <w:rPr>
          <w:color w:val="auto"/>
          <w:highlight w:val="none"/>
        </w:rPr>
      </w:pPr>
      <w:bookmarkStart w:id="37" w:name="_Toc20677"/>
      <w:bookmarkStart w:id="38" w:name="_Toc19306"/>
      <w:r>
        <w:rPr>
          <w:rFonts w:hint="eastAsia"/>
          <w:color w:val="auto"/>
          <w:highlight w:val="none"/>
        </w:rPr>
        <w:t>四、提交投标文件</w:t>
      </w:r>
      <w:bookmarkEnd w:id="32"/>
      <w:bookmarkEnd w:id="33"/>
      <w:r>
        <w:rPr>
          <w:rFonts w:hint="eastAsia"/>
          <w:color w:val="auto"/>
          <w:highlight w:val="none"/>
        </w:rPr>
        <w:t>截止时间、开标时间和地点</w:t>
      </w:r>
      <w:bookmarkEnd w:id="34"/>
      <w:bookmarkEnd w:id="35"/>
      <w:bookmarkEnd w:id="36"/>
      <w:bookmarkEnd w:id="37"/>
      <w:bookmarkEnd w:id="38"/>
    </w:p>
    <w:p w14:paraId="2A2648F8">
      <w:pPr>
        <w:pageBreakBefore w:val="0"/>
        <w:spacing w:line="520" w:lineRule="exact"/>
        <w:ind w:firstLine="480"/>
        <w:rPr>
          <w:rFonts w:ascii="宋体" w:hAnsi="宋体"/>
          <w:bCs/>
          <w:color w:val="auto"/>
          <w:sz w:val="24"/>
          <w:szCs w:val="24"/>
          <w:highlight w:val="yellow"/>
          <w:u w:val="single"/>
        </w:rPr>
      </w:pPr>
      <w:r>
        <w:rPr>
          <w:rFonts w:hint="eastAsia" w:ascii="宋体" w:hAnsi="宋体"/>
          <w:bCs/>
          <w:color w:val="auto"/>
          <w:sz w:val="24"/>
          <w:szCs w:val="24"/>
          <w:highlight w:val="none"/>
          <w:u w:val="none"/>
        </w:rPr>
        <w:t>1.</w:t>
      </w:r>
      <w:r>
        <w:rPr>
          <w:rFonts w:hint="eastAsia" w:ascii="宋体" w:hAnsi="宋体"/>
          <w:bCs/>
          <w:color w:val="auto"/>
          <w:sz w:val="24"/>
          <w:szCs w:val="24"/>
          <w:highlight w:val="none"/>
          <w:u w:val="none"/>
          <w:lang w:val="en-US" w:eastAsia="zh-CN"/>
        </w:rPr>
        <w:t>2024</w:t>
      </w:r>
      <w:r>
        <w:rPr>
          <w:rFonts w:hint="eastAsia" w:ascii="宋体" w:hAnsi="宋体"/>
          <w:bCs/>
          <w:color w:val="auto"/>
          <w:sz w:val="24"/>
          <w:szCs w:val="24"/>
          <w:highlight w:val="none"/>
          <w:u w:val="none"/>
        </w:rPr>
        <w:t>年</w:t>
      </w:r>
      <w:r>
        <w:rPr>
          <w:rFonts w:hint="eastAsia" w:ascii="宋体" w:hAnsi="宋体"/>
          <w:bCs/>
          <w:color w:val="auto"/>
          <w:sz w:val="24"/>
          <w:szCs w:val="24"/>
          <w:highlight w:val="none"/>
          <w:u w:val="none"/>
          <w:lang w:val="en-US" w:eastAsia="zh-CN"/>
        </w:rPr>
        <w:t>9</w:t>
      </w:r>
      <w:r>
        <w:rPr>
          <w:rFonts w:hint="eastAsia" w:ascii="宋体" w:hAnsi="宋体"/>
          <w:bCs/>
          <w:color w:val="auto"/>
          <w:sz w:val="24"/>
          <w:szCs w:val="24"/>
          <w:highlight w:val="none"/>
          <w:u w:val="none"/>
        </w:rPr>
        <w:t>月</w:t>
      </w:r>
      <w:r>
        <w:rPr>
          <w:rFonts w:hint="eastAsia" w:ascii="宋体" w:hAnsi="宋体"/>
          <w:bCs/>
          <w:color w:val="auto"/>
          <w:sz w:val="24"/>
          <w:szCs w:val="24"/>
          <w:highlight w:val="none"/>
          <w:u w:val="none"/>
          <w:lang w:val="en-US" w:eastAsia="zh-CN"/>
        </w:rPr>
        <w:t>27</w:t>
      </w:r>
      <w:r>
        <w:rPr>
          <w:rFonts w:hint="eastAsia" w:ascii="宋体" w:hAnsi="宋体"/>
          <w:bCs/>
          <w:color w:val="auto"/>
          <w:sz w:val="24"/>
          <w:szCs w:val="24"/>
          <w:highlight w:val="none"/>
          <w:u w:val="none"/>
        </w:rPr>
        <w:t>日</w:t>
      </w:r>
      <w:r>
        <w:rPr>
          <w:rFonts w:hint="eastAsia" w:ascii="宋体" w:hAnsi="宋体"/>
          <w:bCs/>
          <w:color w:val="auto"/>
          <w:sz w:val="24"/>
          <w:szCs w:val="24"/>
          <w:highlight w:val="none"/>
          <w:u w:val="none"/>
          <w:lang w:val="en-US" w:eastAsia="zh-CN"/>
        </w:rPr>
        <w:t>10</w:t>
      </w:r>
      <w:r>
        <w:rPr>
          <w:rFonts w:hint="eastAsia" w:ascii="宋体" w:hAnsi="宋体"/>
          <w:bCs/>
          <w:color w:val="auto"/>
          <w:sz w:val="24"/>
          <w:szCs w:val="24"/>
          <w:highlight w:val="none"/>
          <w:u w:val="none"/>
        </w:rPr>
        <w:t>点</w:t>
      </w:r>
      <w:r>
        <w:rPr>
          <w:rFonts w:hint="eastAsia" w:ascii="宋体" w:hAnsi="宋体"/>
          <w:bCs/>
          <w:color w:val="auto"/>
          <w:sz w:val="24"/>
          <w:szCs w:val="24"/>
          <w:highlight w:val="none"/>
          <w:u w:val="none"/>
          <w:lang w:val="en-US" w:eastAsia="zh-CN"/>
        </w:rPr>
        <w:t>30</w:t>
      </w:r>
      <w:r>
        <w:rPr>
          <w:rFonts w:hint="eastAsia" w:ascii="宋体" w:hAnsi="宋体"/>
          <w:bCs/>
          <w:color w:val="auto"/>
          <w:sz w:val="24"/>
          <w:szCs w:val="24"/>
          <w:highlight w:val="none"/>
          <w:u w:val="none"/>
        </w:rPr>
        <w:t>分</w:t>
      </w:r>
      <w:r>
        <w:rPr>
          <w:rFonts w:hint="eastAsia" w:ascii="宋体" w:hAnsi="宋体"/>
          <w:bCs/>
          <w:color w:val="auto"/>
          <w:sz w:val="24"/>
          <w:szCs w:val="24"/>
          <w:highlight w:val="none"/>
        </w:rPr>
        <w:t>（北京时间）</w:t>
      </w:r>
    </w:p>
    <w:p w14:paraId="212F2A05">
      <w:pPr>
        <w:pageBreakBefore w:val="0"/>
        <w:spacing w:line="520" w:lineRule="exact"/>
        <w:ind w:firstLine="480"/>
        <w:rPr>
          <w:rFonts w:hint="eastAsia" w:ascii="宋体" w:hAnsi="宋体"/>
          <w:bCs/>
          <w:color w:val="auto"/>
          <w:sz w:val="24"/>
          <w:szCs w:val="24"/>
          <w:highlight w:val="none"/>
          <w:u w:val="single"/>
        </w:rPr>
      </w:pPr>
      <w:r>
        <w:rPr>
          <w:rFonts w:hint="eastAsia" w:ascii="宋体" w:hAnsi="宋体"/>
          <w:color w:val="auto"/>
          <w:sz w:val="24"/>
          <w:szCs w:val="24"/>
          <w:highlight w:val="none"/>
        </w:rPr>
        <w:t>2.地点：“苏采云”政府采购交易系统网上开标大厅。</w:t>
      </w:r>
    </w:p>
    <w:p w14:paraId="258734A9">
      <w:pPr>
        <w:pStyle w:val="194"/>
        <w:pageBreakBefore w:val="0"/>
        <w:spacing w:before="145" w:after="145" w:line="520" w:lineRule="exact"/>
        <w:ind w:firstLine="498"/>
        <w:rPr>
          <w:color w:val="auto"/>
          <w:highlight w:val="none"/>
        </w:rPr>
      </w:pPr>
      <w:bookmarkStart w:id="39" w:name="_Toc38985267"/>
      <w:bookmarkStart w:id="40" w:name="_Toc35393794"/>
      <w:bookmarkStart w:id="41" w:name="_Toc35393625"/>
      <w:bookmarkStart w:id="42" w:name="_Toc28359007"/>
      <w:bookmarkStart w:id="43" w:name="_Toc28359084"/>
      <w:bookmarkStart w:id="44" w:name="_Toc14305"/>
      <w:bookmarkStart w:id="45" w:name="_Toc5821"/>
      <w:r>
        <w:rPr>
          <w:rFonts w:hint="eastAsia"/>
          <w:color w:val="auto"/>
          <w:highlight w:val="none"/>
        </w:rPr>
        <w:t>五、公告期限</w:t>
      </w:r>
      <w:bookmarkEnd w:id="39"/>
      <w:bookmarkEnd w:id="40"/>
      <w:bookmarkEnd w:id="41"/>
      <w:bookmarkEnd w:id="42"/>
      <w:bookmarkEnd w:id="43"/>
      <w:bookmarkEnd w:id="44"/>
      <w:bookmarkEnd w:id="45"/>
    </w:p>
    <w:p w14:paraId="49AC2AE9">
      <w:pPr>
        <w:pageBreakBefore w:val="0"/>
        <w:spacing w:line="520" w:lineRule="exact"/>
        <w:ind w:firstLine="480"/>
        <w:rPr>
          <w:rFonts w:ascii="宋体" w:hAnsi="宋体" w:cs="宋体"/>
          <w:color w:val="auto"/>
          <w:sz w:val="24"/>
          <w:szCs w:val="24"/>
          <w:highlight w:val="none"/>
        </w:rPr>
      </w:pPr>
      <w:bookmarkStart w:id="46" w:name="_Toc38985268"/>
      <w:bookmarkStart w:id="47" w:name="_Toc35393795"/>
      <w:bookmarkStart w:id="48" w:name="_Toc35393626"/>
      <w:r>
        <w:rPr>
          <w:rFonts w:hint="eastAsia" w:ascii="宋体" w:hAnsi="宋体" w:cs="宋体"/>
          <w:color w:val="auto"/>
          <w:sz w:val="24"/>
          <w:szCs w:val="24"/>
          <w:highlight w:val="none"/>
        </w:rPr>
        <w:t>招标公告及招标文件公告期限为自本公告发布之日起5个工作日。</w:t>
      </w:r>
    </w:p>
    <w:p w14:paraId="680B5080">
      <w:pPr>
        <w:pStyle w:val="194"/>
        <w:pageBreakBefore w:val="0"/>
        <w:spacing w:before="145" w:after="145" w:line="520" w:lineRule="exact"/>
        <w:ind w:firstLine="498"/>
        <w:rPr>
          <w:color w:val="auto"/>
          <w:highlight w:val="none"/>
        </w:rPr>
      </w:pPr>
      <w:bookmarkStart w:id="49" w:name="_Toc19730"/>
      <w:bookmarkStart w:id="50" w:name="_Toc22483"/>
      <w:r>
        <w:rPr>
          <w:rFonts w:hint="eastAsia"/>
          <w:color w:val="auto"/>
          <w:highlight w:val="none"/>
        </w:rPr>
        <w:t>六、其他补充事宜</w:t>
      </w:r>
      <w:bookmarkEnd w:id="46"/>
      <w:bookmarkEnd w:id="47"/>
      <w:bookmarkEnd w:id="48"/>
      <w:bookmarkEnd w:id="49"/>
      <w:bookmarkEnd w:id="50"/>
    </w:p>
    <w:p w14:paraId="7037EA5D">
      <w:pPr>
        <w:pageBreakBefore w:val="0"/>
        <w:spacing w:line="520" w:lineRule="exact"/>
        <w:ind w:left="0"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b/>
          <w:bCs/>
          <w:i/>
          <w:iCs/>
          <w:color w:val="auto"/>
          <w:sz w:val="24"/>
          <w:szCs w:val="24"/>
          <w:highlight w:val="none"/>
          <w:u w:val="single"/>
        </w:rPr>
        <w:t>本招标文件中斜体且有下划线部分为实质性要求和条件</w:t>
      </w:r>
      <w:r>
        <w:rPr>
          <w:rFonts w:hint="eastAsia" w:ascii="宋体" w:hAnsi="宋体"/>
          <w:color w:val="auto"/>
          <w:spacing w:val="-6"/>
          <w:sz w:val="24"/>
          <w:highlight w:val="none"/>
        </w:rPr>
        <w:t>，如不满足将按无效响应处理</w:t>
      </w:r>
      <w:r>
        <w:rPr>
          <w:rFonts w:hint="eastAsia" w:ascii="宋体" w:hAnsi="宋体" w:cs="宋体"/>
          <w:color w:val="auto"/>
          <w:sz w:val="24"/>
          <w:szCs w:val="24"/>
          <w:highlight w:val="none"/>
        </w:rPr>
        <w:t>。</w:t>
      </w:r>
    </w:p>
    <w:p w14:paraId="128B1693">
      <w:pPr>
        <w:pageBreakBefore w:val="0"/>
        <w:spacing w:line="52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无论出于何种原因，采购人在采购活动开始前可对采购文件进行修改、补充或变更，其内容作为采购文件的重要组成部分，请各供应商关注江苏政府采购网。若因供应商自身原因未及时关注本项目有关修改、补充或变更信息，导致投标文件编制或提交失误，由此造成的一切损失由供应商自行承担。</w:t>
      </w:r>
    </w:p>
    <w:p w14:paraId="2FD395D6">
      <w:pPr>
        <w:pStyle w:val="194"/>
        <w:pageBreakBefore w:val="0"/>
        <w:spacing w:before="145" w:after="145" w:line="520" w:lineRule="exact"/>
        <w:ind w:firstLine="498"/>
        <w:rPr>
          <w:color w:val="auto"/>
          <w:highlight w:val="none"/>
        </w:rPr>
      </w:pPr>
      <w:bookmarkStart w:id="51" w:name="_Toc35393627"/>
      <w:bookmarkStart w:id="52" w:name="_Toc35393796"/>
      <w:bookmarkStart w:id="53" w:name="_Toc26205"/>
      <w:bookmarkStart w:id="54" w:name="_Toc5783"/>
      <w:bookmarkStart w:id="55" w:name="_Toc28359085"/>
      <w:bookmarkStart w:id="56" w:name="_Toc28359008"/>
      <w:bookmarkStart w:id="57" w:name="_Toc38985269"/>
      <w:r>
        <w:rPr>
          <w:rFonts w:hint="eastAsia"/>
          <w:color w:val="auto"/>
          <w:highlight w:val="none"/>
        </w:rPr>
        <w:t>七、本次招标联系方式</w:t>
      </w:r>
      <w:bookmarkEnd w:id="51"/>
      <w:bookmarkEnd w:id="52"/>
      <w:bookmarkEnd w:id="53"/>
      <w:bookmarkEnd w:id="54"/>
      <w:bookmarkEnd w:id="55"/>
      <w:bookmarkEnd w:id="56"/>
      <w:bookmarkEnd w:id="57"/>
    </w:p>
    <w:p w14:paraId="4E3E7AA8">
      <w:pPr>
        <w:spacing w:line="360" w:lineRule="auto"/>
        <w:ind w:firstLine="480"/>
        <w:jc w:val="left"/>
        <w:rPr>
          <w:rFonts w:hint="eastAsia" w:ascii="宋体" w:hAnsi="宋体"/>
          <w:sz w:val="24"/>
          <w:szCs w:val="24"/>
        </w:rPr>
      </w:pPr>
      <w:bookmarkStart w:id="58" w:name="OLE_LINK3"/>
      <w:bookmarkStart w:id="59" w:name="_Toc25874"/>
      <w:bookmarkStart w:id="60" w:name="_Toc5164"/>
      <w:r>
        <w:rPr>
          <w:rFonts w:hint="eastAsia" w:ascii="宋体" w:hAnsi="宋体"/>
          <w:sz w:val="24"/>
          <w:szCs w:val="24"/>
        </w:rPr>
        <w:t>1.采购人信息</w:t>
      </w:r>
    </w:p>
    <w:p w14:paraId="4DF44DA1">
      <w:pPr>
        <w:spacing w:line="360" w:lineRule="auto"/>
        <w:ind w:firstLine="480"/>
        <w:jc w:val="left"/>
        <w:rPr>
          <w:rFonts w:hint="eastAsia" w:ascii="宋体" w:hAnsi="宋体"/>
          <w:szCs w:val="24"/>
        </w:rPr>
      </w:pPr>
      <w:r>
        <w:rPr>
          <w:rFonts w:hint="eastAsia" w:ascii="宋体" w:hAnsi="宋体"/>
          <w:sz w:val="24"/>
          <w:szCs w:val="24"/>
        </w:rPr>
        <w:t>名    称：连云港市东海生态环境局</w:t>
      </w:r>
    </w:p>
    <w:p w14:paraId="30530815">
      <w:pPr>
        <w:spacing w:line="360" w:lineRule="auto"/>
        <w:ind w:firstLine="480"/>
        <w:jc w:val="left"/>
        <w:rPr>
          <w:rFonts w:hint="eastAsia" w:ascii="宋体" w:hAnsi="宋体"/>
          <w:sz w:val="24"/>
          <w:szCs w:val="24"/>
        </w:rPr>
      </w:pPr>
      <w:r>
        <w:rPr>
          <w:rFonts w:hint="eastAsia" w:ascii="宋体" w:hAnsi="宋体"/>
          <w:sz w:val="24"/>
          <w:szCs w:val="24"/>
        </w:rPr>
        <w:t>地    址：连云港市东海县牛山街道振兴北路</w:t>
      </w:r>
    </w:p>
    <w:p w14:paraId="7C69EB5C">
      <w:pPr>
        <w:spacing w:line="360" w:lineRule="auto"/>
        <w:ind w:firstLine="480"/>
        <w:jc w:val="left"/>
        <w:rPr>
          <w:rFonts w:hint="eastAsia" w:ascii="宋体" w:hAnsi="宋体"/>
          <w:sz w:val="24"/>
          <w:szCs w:val="24"/>
          <w:highlight w:val="none"/>
        </w:rPr>
      </w:pPr>
      <w:r>
        <w:rPr>
          <w:rFonts w:hint="eastAsia" w:ascii="宋体" w:hAnsi="宋体"/>
          <w:sz w:val="24"/>
          <w:szCs w:val="24"/>
        </w:rPr>
        <w:t>联系方式：</w:t>
      </w:r>
      <w:r>
        <w:rPr>
          <w:rFonts w:hint="eastAsia" w:ascii="宋体" w:hAnsi="宋体"/>
          <w:sz w:val="24"/>
          <w:szCs w:val="24"/>
          <w:highlight w:val="none"/>
        </w:rPr>
        <w:t>0518-87165576</w:t>
      </w:r>
    </w:p>
    <w:p w14:paraId="0677318B">
      <w:pPr>
        <w:spacing w:line="360" w:lineRule="auto"/>
        <w:ind w:firstLine="480"/>
        <w:jc w:val="left"/>
        <w:rPr>
          <w:rFonts w:hint="eastAsia" w:ascii="宋体" w:hAnsi="宋体"/>
          <w:sz w:val="24"/>
          <w:szCs w:val="24"/>
          <w:highlight w:val="none"/>
        </w:rPr>
      </w:pPr>
      <w:r>
        <w:rPr>
          <w:rFonts w:hint="eastAsia" w:ascii="宋体" w:hAnsi="宋体"/>
          <w:sz w:val="24"/>
          <w:szCs w:val="24"/>
          <w:highlight w:val="none"/>
        </w:rPr>
        <w:t>2.采购代理机构信息</w:t>
      </w:r>
    </w:p>
    <w:p w14:paraId="25B4648F">
      <w:pPr>
        <w:spacing w:line="360" w:lineRule="auto"/>
        <w:ind w:firstLine="480"/>
        <w:jc w:val="left"/>
        <w:rPr>
          <w:rFonts w:hint="eastAsia" w:ascii="宋体" w:hAnsi="宋体"/>
          <w:sz w:val="24"/>
          <w:szCs w:val="24"/>
          <w:highlight w:val="none"/>
        </w:rPr>
      </w:pPr>
      <w:r>
        <w:rPr>
          <w:rFonts w:hint="eastAsia" w:ascii="宋体" w:hAnsi="宋体"/>
          <w:sz w:val="24"/>
          <w:szCs w:val="24"/>
          <w:highlight w:val="none"/>
        </w:rPr>
        <w:t>名    称：连云港铭康工程咨询限公司</w:t>
      </w:r>
    </w:p>
    <w:p w14:paraId="14828B3B">
      <w:pPr>
        <w:spacing w:line="360" w:lineRule="auto"/>
        <w:ind w:firstLine="480"/>
        <w:jc w:val="left"/>
        <w:rPr>
          <w:rFonts w:hint="eastAsia" w:ascii="宋体" w:hAnsi="宋体"/>
          <w:sz w:val="24"/>
          <w:szCs w:val="24"/>
          <w:highlight w:val="none"/>
        </w:rPr>
      </w:pPr>
      <w:r>
        <w:rPr>
          <w:rFonts w:hint="eastAsia" w:ascii="宋体" w:hAnsi="宋体"/>
          <w:sz w:val="24"/>
          <w:szCs w:val="24"/>
          <w:highlight w:val="none"/>
        </w:rPr>
        <w:t>地    址：连云港市南极北路40号</w:t>
      </w:r>
    </w:p>
    <w:p w14:paraId="6F2422A2">
      <w:pPr>
        <w:spacing w:line="360" w:lineRule="auto"/>
        <w:ind w:firstLine="480"/>
        <w:jc w:val="left"/>
        <w:rPr>
          <w:rFonts w:hint="default" w:ascii="宋体" w:hAnsi="宋体" w:eastAsia="宋体"/>
          <w:sz w:val="24"/>
          <w:szCs w:val="24"/>
          <w:highlight w:val="none"/>
          <w:lang w:val="en-US" w:eastAsia="zh-CN"/>
        </w:rPr>
      </w:pPr>
      <w:r>
        <w:rPr>
          <w:rFonts w:hint="eastAsia" w:ascii="宋体" w:hAnsi="宋体"/>
          <w:sz w:val="24"/>
          <w:szCs w:val="24"/>
          <w:highlight w:val="none"/>
        </w:rPr>
        <w:t>联系方式：</w:t>
      </w:r>
      <w:r>
        <w:rPr>
          <w:rFonts w:hint="eastAsia" w:ascii="宋体" w:hAnsi="宋体"/>
          <w:sz w:val="24"/>
          <w:szCs w:val="24"/>
          <w:highlight w:val="none"/>
          <w:lang w:val="en-US" w:eastAsia="zh-CN"/>
        </w:rPr>
        <w:t>朱</w:t>
      </w:r>
      <w:r>
        <w:rPr>
          <w:rFonts w:hint="eastAsia" w:ascii="宋体" w:hAnsi="宋体"/>
          <w:sz w:val="24"/>
          <w:szCs w:val="24"/>
          <w:highlight w:val="none"/>
        </w:rPr>
        <w:t>工  1595072</w:t>
      </w:r>
      <w:r>
        <w:rPr>
          <w:rFonts w:hint="eastAsia" w:ascii="宋体" w:hAnsi="宋体"/>
          <w:sz w:val="24"/>
          <w:szCs w:val="24"/>
          <w:highlight w:val="none"/>
          <w:lang w:val="en-US" w:eastAsia="zh-CN"/>
        </w:rPr>
        <w:t>6369</w:t>
      </w:r>
    </w:p>
    <w:p w14:paraId="585196A3">
      <w:pPr>
        <w:spacing w:line="360" w:lineRule="auto"/>
        <w:ind w:firstLine="480"/>
        <w:jc w:val="left"/>
        <w:rPr>
          <w:rFonts w:hint="eastAsia" w:ascii="宋体" w:hAnsi="宋体"/>
          <w:sz w:val="24"/>
          <w:szCs w:val="24"/>
          <w:highlight w:val="none"/>
        </w:rPr>
      </w:pPr>
      <w:r>
        <w:rPr>
          <w:rFonts w:hint="eastAsia" w:ascii="宋体" w:hAnsi="宋体"/>
          <w:sz w:val="24"/>
          <w:szCs w:val="24"/>
          <w:highlight w:val="none"/>
        </w:rPr>
        <w:t>3.项目联系方式</w:t>
      </w:r>
    </w:p>
    <w:p w14:paraId="4D0CD9BC">
      <w:pPr>
        <w:spacing w:line="360" w:lineRule="auto"/>
        <w:ind w:firstLine="480"/>
        <w:jc w:val="left"/>
        <w:rPr>
          <w:rFonts w:hint="eastAsia" w:ascii="宋体" w:hAnsi="宋体"/>
          <w:sz w:val="24"/>
          <w:szCs w:val="24"/>
          <w:highlight w:val="none"/>
        </w:rPr>
      </w:pPr>
      <w:r>
        <w:rPr>
          <w:rFonts w:hint="eastAsia" w:ascii="宋体" w:hAnsi="宋体"/>
          <w:sz w:val="24"/>
          <w:szCs w:val="24"/>
          <w:highlight w:val="none"/>
        </w:rPr>
        <w:t>项目联系人：刘爱玲</w:t>
      </w:r>
    </w:p>
    <w:p w14:paraId="0109D811">
      <w:pPr>
        <w:spacing w:line="360" w:lineRule="auto"/>
        <w:ind w:firstLine="480"/>
        <w:jc w:val="left"/>
        <w:rPr>
          <w:b/>
          <w:bCs/>
          <w:sz w:val="32"/>
          <w:szCs w:val="32"/>
          <w:highlight w:val="none"/>
        </w:rPr>
      </w:pPr>
      <w:r>
        <w:rPr>
          <w:rFonts w:hint="eastAsia" w:ascii="宋体" w:hAnsi="宋体"/>
          <w:sz w:val="24"/>
          <w:szCs w:val="24"/>
          <w:highlight w:val="none"/>
        </w:rPr>
        <w:t>联系方式：</w:t>
      </w:r>
      <w:bookmarkEnd w:id="58"/>
      <w:r>
        <w:rPr>
          <w:rFonts w:hint="eastAsia" w:ascii="宋体" w:hAnsi="宋体"/>
          <w:sz w:val="24"/>
          <w:szCs w:val="24"/>
          <w:highlight w:val="none"/>
        </w:rPr>
        <w:t>0518-87165576</w:t>
      </w:r>
    </w:p>
    <w:p w14:paraId="65773749">
      <w:pPr>
        <w:pStyle w:val="194"/>
        <w:pageBreakBefore w:val="0"/>
        <w:spacing w:before="145" w:after="145" w:line="520" w:lineRule="exact"/>
        <w:ind w:firstLine="498"/>
        <w:rPr>
          <w:color w:val="auto"/>
          <w:highlight w:val="none"/>
        </w:rPr>
      </w:pPr>
      <w:r>
        <w:rPr>
          <w:rFonts w:hint="eastAsia"/>
          <w:color w:val="auto"/>
          <w:highlight w:val="none"/>
        </w:rPr>
        <w:t>八、其他</w:t>
      </w:r>
      <w:bookmarkEnd w:id="59"/>
      <w:bookmarkEnd w:id="60"/>
    </w:p>
    <w:p w14:paraId="7E71F2D5">
      <w:pPr>
        <w:keepNext w:val="0"/>
        <w:keepLines w:val="0"/>
        <w:pageBreakBefore w:val="0"/>
        <w:widowControl w:val="0"/>
        <w:tabs>
          <w:tab w:val="left" w:pos="900"/>
        </w:tabs>
        <w:spacing w:line="520" w:lineRule="exact"/>
        <w:ind w:firstLine="480"/>
        <w:jc w:val="both"/>
        <w:rPr>
          <w:rFonts w:hint="eastAsia" w:ascii="宋体" w:hAnsi="宋体"/>
          <w:bCs/>
          <w:color w:val="auto"/>
          <w:sz w:val="24"/>
          <w:szCs w:val="24"/>
          <w:highlight w:val="none"/>
        </w:rPr>
      </w:pPr>
      <w:r>
        <w:rPr>
          <w:rFonts w:ascii="宋体" w:hAnsi="宋体"/>
          <w:color w:val="auto"/>
          <w:sz w:val="24"/>
          <w:highlight w:val="none"/>
        </w:rPr>
        <w:t>1</w:t>
      </w:r>
      <w:r>
        <w:rPr>
          <w:rFonts w:hint="eastAsia" w:ascii="宋体" w:hAnsi="宋体"/>
          <w:color w:val="auto"/>
          <w:sz w:val="24"/>
          <w:highlight w:val="none"/>
        </w:rPr>
        <w:t>.</w:t>
      </w:r>
      <w:r>
        <w:rPr>
          <w:rFonts w:hint="eastAsia" w:ascii="宋体" w:hAnsi="宋体"/>
          <w:bCs/>
          <w:color w:val="auto"/>
          <w:sz w:val="24"/>
          <w:szCs w:val="24"/>
          <w:highlight w:val="none"/>
        </w:rPr>
        <w:t>根据省财政厅《关于更换全省政府采购交易系统CA数字证书和电子签章的通知》（苏财购〔2023〕101号），</w:t>
      </w:r>
      <w:r>
        <w:rPr>
          <w:rFonts w:hint="eastAsia" w:ascii="宋体" w:hAnsi="宋体"/>
          <w:color w:val="auto"/>
          <w:sz w:val="24"/>
          <w:szCs w:val="24"/>
          <w:highlight w:val="none"/>
        </w:rPr>
        <w:t>“苏采云”政府采购交易系统（以下简称苏采云系统）</w:t>
      </w:r>
      <w:r>
        <w:rPr>
          <w:rFonts w:hint="eastAsia" w:ascii="宋体" w:hAnsi="宋体"/>
          <w:bCs/>
          <w:color w:val="auto"/>
          <w:sz w:val="24"/>
          <w:szCs w:val="24"/>
          <w:highlight w:val="none"/>
        </w:rPr>
        <w:t>的CA数字证书、电子签章已更换为江苏省电子政务证书认证中心CA和方正国际软件（北京）有限公司电子签章。如果投标人通过</w:t>
      </w:r>
      <w:r>
        <w:rPr>
          <w:rFonts w:hint="eastAsia" w:ascii="宋体" w:hAnsi="宋体"/>
          <w:color w:val="auto"/>
          <w:sz w:val="24"/>
          <w:szCs w:val="24"/>
          <w:highlight w:val="none"/>
        </w:rPr>
        <w:t>苏采云系统</w:t>
      </w:r>
      <w:r>
        <w:rPr>
          <w:rFonts w:hint="eastAsia" w:ascii="宋体" w:hAnsi="宋体"/>
          <w:bCs/>
          <w:color w:val="auto"/>
          <w:sz w:val="24"/>
          <w:szCs w:val="24"/>
          <w:highlight w:val="none"/>
        </w:rPr>
        <w:t>参与政府采购项目，需要更换CA数字证书和电子签章。具体办理指南和操作手册见链接：http://www.ccgp-jiangsu.gov.cn/jiangsu/zlxz/ee/ee3a4bc5a3454aa2b0d9312230633ce9.html。</w:t>
      </w:r>
    </w:p>
    <w:p w14:paraId="6C486A21">
      <w:pPr>
        <w:pageBreakBefore w:val="0"/>
        <w:tabs>
          <w:tab w:val="left" w:pos="900"/>
        </w:tabs>
        <w:spacing w:line="520" w:lineRule="exact"/>
        <w:ind w:firstLine="480"/>
        <w:rPr>
          <w:rFonts w:hint="eastAsia" w:ascii="宋体" w:hAnsi="宋体"/>
          <w:bCs/>
          <w:color w:val="auto"/>
          <w:sz w:val="24"/>
          <w:szCs w:val="24"/>
          <w:highlight w:val="none"/>
        </w:rPr>
      </w:pPr>
      <w:r>
        <w:rPr>
          <w:rFonts w:hint="eastAsia" w:ascii="宋体" w:hAnsi="宋体"/>
          <w:bCs/>
          <w:color w:val="auto"/>
          <w:sz w:val="24"/>
          <w:szCs w:val="24"/>
          <w:highlight w:val="none"/>
        </w:rPr>
        <w:t>2.有关本次招标的事项若存在变动或修改，敬请及时关</w:t>
      </w:r>
      <w:r>
        <w:rPr>
          <w:rFonts w:hint="eastAsia" w:ascii="宋体" w:hAnsi="宋体"/>
          <w:b w:val="0"/>
          <w:bCs/>
          <w:color w:val="auto"/>
          <w:sz w:val="24"/>
          <w:szCs w:val="24"/>
          <w:highlight w:val="none"/>
        </w:rPr>
        <w:t>注</w:t>
      </w:r>
      <w:r>
        <w:rPr>
          <w:rFonts w:hint="eastAsia" w:ascii="宋体" w:hAnsi="宋体"/>
          <w:b w:val="0"/>
          <w:bCs/>
          <w:color w:val="auto"/>
          <w:sz w:val="24"/>
          <w:szCs w:val="24"/>
          <w:highlight w:val="none"/>
          <w:lang w:eastAsia="zh-CN"/>
        </w:rPr>
        <w:t>连云港铭康工程咨询限公司</w:t>
      </w:r>
      <w:r>
        <w:rPr>
          <w:rFonts w:hint="eastAsia" w:ascii="宋体" w:hAnsi="宋体"/>
          <w:b w:val="0"/>
          <w:bCs/>
          <w:color w:val="auto"/>
          <w:sz w:val="24"/>
          <w:szCs w:val="24"/>
          <w:highlight w:val="none"/>
        </w:rPr>
        <w:t>在</w:t>
      </w:r>
      <w:r>
        <w:rPr>
          <w:rFonts w:hint="eastAsia" w:ascii="宋体" w:hAnsi="宋体"/>
          <w:bCs/>
          <w:color w:val="auto"/>
          <w:sz w:val="24"/>
          <w:szCs w:val="24"/>
          <w:highlight w:val="none"/>
        </w:rPr>
        <w:t>“</w:t>
      </w:r>
      <w:r>
        <w:rPr>
          <w:rFonts w:hint="eastAsia" w:ascii="宋体" w:hAnsi="宋体"/>
          <w:b/>
          <w:bCs w:val="0"/>
          <w:color w:val="auto"/>
          <w:sz w:val="24"/>
          <w:szCs w:val="24"/>
          <w:highlight w:val="none"/>
        </w:rPr>
        <w:t>江苏政府采购网</w:t>
      </w:r>
      <w:r>
        <w:rPr>
          <w:rFonts w:hint="eastAsia" w:ascii="宋体" w:hAnsi="宋体"/>
          <w:bCs/>
          <w:color w:val="auto"/>
          <w:sz w:val="24"/>
          <w:szCs w:val="24"/>
          <w:highlight w:val="none"/>
        </w:rPr>
        <w:t>”发布的更正公告。</w:t>
      </w:r>
    </w:p>
    <w:p w14:paraId="7576CA65">
      <w:pPr>
        <w:pageBreakBefore w:val="0"/>
        <w:tabs>
          <w:tab w:val="left" w:pos="900"/>
        </w:tabs>
        <w:spacing w:line="520" w:lineRule="exact"/>
        <w:ind w:firstLine="480"/>
        <w:rPr>
          <w:rFonts w:hint="eastAsia" w:ascii="宋体" w:hAnsi="宋体"/>
          <w:bCs/>
          <w:color w:val="auto"/>
          <w:sz w:val="24"/>
          <w:szCs w:val="24"/>
          <w:highlight w:val="none"/>
        </w:rPr>
      </w:pPr>
      <w:r>
        <w:rPr>
          <w:rFonts w:hint="eastAsia" w:ascii="宋体" w:hAnsi="宋体"/>
          <w:bCs/>
          <w:color w:val="auto"/>
          <w:sz w:val="24"/>
          <w:szCs w:val="24"/>
          <w:highlight w:val="none"/>
        </w:rPr>
        <w:t>3.本次招标不收取投标保证金。</w:t>
      </w:r>
    </w:p>
    <w:p w14:paraId="2FFF9614">
      <w:pPr>
        <w:pageBreakBefore w:val="0"/>
        <w:spacing w:line="520" w:lineRule="exact"/>
        <w:ind w:firstLine="480"/>
        <w:rPr>
          <w:rFonts w:hint="eastAsia" w:ascii="宋体" w:hAnsi="宋体"/>
          <w:color w:val="auto"/>
          <w:sz w:val="24"/>
          <w:highlight w:val="none"/>
        </w:rPr>
      </w:pPr>
    </w:p>
    <w:p w14:paraId="49D04A9B">
      <w:pPr>
        <w:pStyle w:val="193"/>
        <w:ind w:left="0" w:firstLine="0"/>
        <w:jc w:val="center"/>
        <w:rPr>
          <w:rFonts w:hint="eastAsia" w:ascii="黑体" w:eastAsia="黑体"/>
          <w:b w:val="0"/>
          <w:bCs w:val="0"/>
          <w:color w:val="auto"/>
          <w:highlight w:val="none"/>
        </w:rPr>
      </w:pPr>
      <w:r>
        <w:rPr>
          <w:rFonts w:ascii="宋体" w:hAnsi="宋体"/>
          <w:color w:val="auto"/>
          <w:sz w:val="24"/>
          <w:szCs w:val="24"/>
          <w:highlight w:val="none"/>
        </w:rPr>
        <w:br w:type="page" w:clear="all"/>
      </w:r>
      <w:bookmarkStart w:id="61" w:name="_Toc120614211"/>
      <w:bookmarkStart w:id="62" w:name="_Toc18854"/>
      <w:bookmarkStart w:id="63" w:name="_Toc28147"/>
      <w:r>
        <w:rPr>
          <w:rFonts w:hint="eastAsia" w:ascii="黑体" w:hAnsi="Times New Roman" w:eastAsia="黑体" w:cs="Times New Roman"/>
          <w:b w:val="0"/>
          <w:bCs w:val="0"/>
          <w:color w:val="auto"/>
          <w:sz w:val="44"/>
          <w:szCs w:val="44"/>
          <w:highlight w:val="none"/>
          <w:lang w:val="en-US" w:eastAsia="zh-CN" w:bidi="ar-SA"/>
        </w:rPr>
        <w:t xml:space="preserve">第二章  </w:t>
      </w:r>
      <w:bookmarkEnd w:id="1"/>
      <w:bookmarkEnd w:id="2"/>
      <w:bookmarkEnd w:id="3"/>
      <w:bookmarkEnd w:id="4"/>
      <w:bookmarkEnd w:id="5"/>
      <w:bookmarkEnd w:id="61"/>
      <w:bookmarkStart w:id="64" w:name="_Toc120614213"/>
      <w:bookmarkStart w:id="65" w:name="_Toc16938518"/>
      <w:bookmarkStart w:id="66" w:name="_Toc513029202"/>
      <w:bookmarkStart w:id="67" w:name="_Toc20823274"/>
      <w:r>
        <w:rPr>
          <w:rFonts w:hint="eastAsia" w:ascii="黑体" w:hAnsi="Times New Roman" w:eastAsia="黑体" w:cs="Times New Roman"/>
          <w:b w:val="0"/>
          <w:bCs w:val="0"/>
          <w:color w:val="auto"/>
          <w:sz w:val="44"/>
          <w:szCs w:val="44"/>
          <w:highlight w:val="none"/>
          <w:lang w:val="en-US" w:eastAsia="zh-CN" w:bidi="ar-SA"/>
        </w:rPr>
        <w:t>投标人须知</w:t>
      </w:r>
      <w:bookmarkEnd w:id="62"/>
      <w:bookmarkEnd w:id="63"/>
      <w:bookmarkEnd w:id="64"/>
      <w:bookmarkEnd w:id="65"/>
      <w:bookmarkEnd w:id="66"/>
      <w:bookmarkEnd w:id="67"/>
    </w:p>
    <w:p w14:paraId="42D7FDFF">
      <w:pPr>
        <w:pStyle w:val="194"/>
        <w:pageBreakBefore w:val="0"/>
        <w:widowControl w:val="0"/>
        <w:spacing w:before="145" w:after="145" w:line="520" w:lineRule="exact"/>
        <w:ind w:firstLine="498"/>
        <w:rPr>
          <w:rFonts w:hint="eastAsia" w:ascii="宋体" w:hAnsi="宋体" w:eastAsia="宋体" w:cs="宋体"/>
          <w:color w:val="auto"/>
          <w:highlight w:val="none"/>
        </w:rPr>
      </w:pPr>
      <w:bookmarkStart w:id="68" w:name="_Toc1598"/>
      <w:bookmarkStart w:id="69" w:name="_Toc513029203"/>
      <w:bookmarkStart w:id="70" w:name="_Toc6848"/>
      <w:bookmarkStart w:id="71" w:name="_Toc20823275"/>
      <w:bookmarkStart w:id="72" w:name="_Toc16938519"/>
      <w:bookmarkStart w:id="73" w:name="_Toc120614214"/>
      <w:r>
        <w:rPr>
          <w:rFonts w:hint="eastAsia" w:ascii="宋体" w:hAnsi="宋体" w:eastAsia="宋体" w:cs="宋体"/>
          <w:color w:val="auto"/>
          <w:highlight w:val="none"/>
        </w:rPr>
        <w:t>一、总则</w:t>
      </w:r>
      <w:bookmarkEnd w:id="68"/>
      <w:bookmarkEnd w:id="69"/>
      <w:bookmarkEnd w:id="70"/>
      <w:bookmarkEnd w:id="71"/>
      <w:bookmarkEnd w:id="72"/>
      <w:bookmarkEnd w:id="73"/>
    </w:p>
    <w:p w14:paraId="0B3DCA8A">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74" w:name="_Hlt16619475"/>
      <w:bookmarkEnd w:id="74"/>
      <w:bookmarkStart w:id="75" w:name="_Toc458694821"/>
      <w:bookmarkStart w:id="76" w:name="_Toc20823276"/>
      <w:bookmarkStart w:id="77" w:name="_Toc16938520"/>
      <w:bookmarkStart w:id="78" w:name="_Toc513029204"/>
      <w:r>
        <w:rPr>
          <w:rFonts w:hint="eastAsia" w:ascii="宋体" w:hAnsi="宋体" w:eastAsia="宋体" w:cs="宋体"/>
          <w:b w:val="0"/>
          <w:bCs w:val="0"/>
          <w:color w:val="auto"/>
          <w:highlight w:val="none"/>
        </w:rPr>
        <w:t>1</w:t>
      </w:r>
      <w:bookmarkEnd w:id="75"/>
      <w:r>
        <w:rPr>
          <w:rFonts w:hint="eastAsia" w:ascii="宋体" w:hAnsi="宋体" w:eastAsia="宋体" w:cs="宋体"/>
          <w:b w:val="0"/>
          <w:bCs w:val="0"/>
          <w:color w:val="auto"/>
          <w:highlight w:val="none"/>
        </w:rPr>
        <w:t>、招标方式</w:t>
      </w:r>
      <w:bookmarkEnd w:id="76"/>
      <w:bookmarkEnd w:id="77"/>
      <w:bookmarkEnd w:id="78"/>
    </w:p>
    <w:p w14:paraId="1068052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本次招标采取公开招标方式，本招标文件仅适用于招标公告中所述项目。</w:t>
      </w:r>
    </w:p>
    <w:p w14:paraId="6AC10D9D">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79" w:name="_Toc20823277"/>
      <w:bookmarkStart w:id="80" w:name="_Toc513029205"/>
      <w:bookmarkStart w:id="81" w:name="_Toc16938521"/>
      <w:r>
        <w:rPr>
          <w:rFonts w:hint="eastAsia" w:ascii="宋体" w:hAnsi="宋体" w:eastAsia="宋体" w:cs="宋体"/>
          <w:b w:val="0"/>
          <w:bCs w:val="0"/>
          <w:color w:val="auto"/>
          <w:highlight w:val="none"/>
        </w:rPr>
        <w:t>2、合格的投标人</w:t>
      </w:r>
      <w:bookmarkEnd w:id="79"/>
      <w:bookmarkEnd w:id="80"/>
      <w:bookmarkEnd w:id="81"/>
    </w:p>
    <w:p w14:paraId="79510E4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2.1满足招标公告中供应商的资格要求的规定。</w:t>
      </w:r>
    </w:p>
    <w:p w14:paraId="7761B57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 满足本文件实质性要求和条件的规定。</w:t>
      </w:r>
    </w:p>
    <w:p w14:paraId="113D9E24">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82" w:name="_Toc16938522"/>
      <w:bookmarkStart w:id="83" w:name="_Toc513029206"/>
      <w:bookmarkStart w:id="84" w:name="_Toc20823278"/>
      <w:r>
        <w:rPr>
          <w:rFonts w:hint="eastAsia" w:ascii="宋体" w:hAnsi="宋体" w:eastAsia="宋体" w:cs="宋体"/>
          <w:b w:val="0"/>
          <w:bCs w:val="0"/>
          <w:color w:val="auto"/>
          <w:highlight w:val="none"/>
        </w:rPr>
        <w:t>3、适用法律</w:t>
      </w:r>
      <w:bookmarkEnd w:id="82"/>
      <w:bookmarkEnd w:id="83"/>
      <w:bookmarkEnd w:id="84"/>
    </w:p>
    <w:p w14:paraId="0EE6FAC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本次招标及由此产生的合同受中华人民共和国有关的法律法规制约和保护。</w:t>
      </w:r>
    </w:p>
    <w:p w14:paraId="5BD1B66C">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85" w:name="_Toc462564067"/>
      <w:bookmarkStart w:id="86" w:name="_Toc513029207"/>
      <w:bookmarkStart w:id="87" w:name="_Toc20823279"/>
      <w:bookmarkStart w:id="88" w:name="_Toc16938523"/>
      <w:r>
        <w:rPr>
          <w:rFonts w:hint="eastAsia" w:ascii="宋体" w:hAnsi="宋体" w:eastAsia="宋体" w:cs="宋体"/>
          <w:b w:val="0"/>
          <w:bCs w:val="0"/>
          <w:color w:val="auto"/>
          <w:highlight w:val="none"/>
        </w:rPr>
        <w:t>4、投标费用</w:t>
      </w:r>
      <w:bookmarkEnd w:id="85"/>
      <w:bookmarkEnd w:id="86"/>
      <w:bookmarkEnd w:id="87"/>
      <w:bookmarkEnd w:id="88"/>
    </w:p>
    <w:p w14:paraId="06AEDC43">
      <w:pPr>
        <w:keepNext w:val="0"/>
        <w:keepLines w:val="0"/>
        <w:pageBreakBefore w:val="0"/>
        <w:widowControl w:val="0"/>
        <w:spacing w:line="520" w:lineRule="exact"/>
        <w:ind w:firstLine="480"/>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4.1 投标人应自行承担所有与参加投标有关的费用，无论投标过程中的做法和结果如何，</w:t>
      </w:r>
      <w:r>
        <w:rPr>
          <w:rFonts w:hint="eastAsia" w:ascii="宋体" w:hAnsi="宋体" w:cs="宋体"/>
          <w:b w:val="0"/>
          <w:bCs w:val="0"/>
          <w:color w:val="auto"/>
          <w:sz w:val="24"/>
          <w:highlight w:val="none"/>
          <w:lang w:eastAsia="zh-CN"/>
        </w:rPr>
        <w:t>连云港铭康工程咨询限公司</w:t>
      </w:r>
      <w:r>
        <w:rPr>
          <w:rFonts w:hint="eastAsia" w:ascii="宋体" w:hAnsi="宋体" w:eastAsia="宋体" w:cs="宋体"/>
          <w:b w:val="0"/>
          <w:bCs w:val="0"/>
          <w:color w:val="auto"/>
          <w:sz w:val="24"/>
          <w:highlight w:val="none"/>
        </w:rPr>
        <w:t>（以下简称</w:t>
      </w:r>
      <w:r>
        <w:rPr>
          <w:rFonts w:hint="eastAsia" w:ascii="宋体" w:hAnsi="宋体" w:eastAsia="宋体" w:cs="宋体"/>
          <w:b w:val="0"/>
          <w:bCs w:val="0"/>
          <w:color w:val="auto"/>
          <w:sz w:val="24"/>
          <w:highlight w:val="none"/>
          <w:lang w:val="en-US" w:eastAsia="zh-CN"/>
        </w:rPr>
        <w:t>采购代理机构</w:t>
      </w:r>
      <w:r>
        <w:rPr>
          <w:rFonts w:hint="eastAsia" w:ascii="宋体" w:hAnsi="宋体" w:eastAsia="宋体" w:cs="宋体"/>
          <w:b w:val="0"/>
          <w:bCs w:val="0"/>
          <w:color w:val="auto"/>
          <w:sz w:val="24"/>
          <w:highlight w:val="none"/>
        </w:rPr>
        <w:t>）在任何情况下均无义务和责任承担这些费用。</w:t>
      </w:r>
    </w:p>
    <w:p w14:paraId="050B6C72">
      <w:pPr>
        <w:keepNext w:val="0"/>
        <w:keepLines w:val="0"/>
        <w:pageBreakBefore w:val="0"/>
        <w:widowControl w:val="0"/>
        <w:spacing w:line="520" w:lineRule="exact"/>
        <w:ind w:firstLine="480"/>
        <w:rPr>
          <w:rFonts w:hint="eastAsia" w:ascii="宋体" w:hAnsi="宋体" w:eastAsia="宋体" w:cs="宋体"/>
          <w:color w:val="auto"/>
          <w:sz w:val="24"/>
          <w:highlight w:val="none"/>
          <w:lang w:eastAsia="zh-CN"/>
        </w:rPr>
      </w:pPr>
      <w:r>
        <w:rPr>
          <w:rFonts w:hint="eastAsia" w:ascii="宋体" w:hAnsi="宋体" w:eastAsia="宋体" w:cs="宋体"/>
          <w:b w:val="0"/>
          <w:bCs w:val="0"/>
          <w:color w:val="auto"/>
          <w:sz w:val="24"/>
          <w:highlight w:val="none"/>
        </w:rPr>
        <w:t>4.2</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本次招标</w:t>
      </w:r>
      <w:r>
        <w:rPr>
          <w:rFonts w:hint="eastAsia" w:ascii="宋体" w:hAnsi="宋体" w:eastAsia="宋体" w:cs="宋体"/>
          <w:b w:val="0"/>
          <w:bCs w:val="0"/>
          <w:color w:val="auto"/>
          <w:sz w:val="24"/>
          <w:highlight w:val="none"/>
          <w:lang w:eastAsia="zh-CN"/>
        </w:rPr>
        <w:t>采购代理</w:t>
      </w:r>
      <w:r>
        <w:rPr>
          <w:rFonts w:hint="eastAsia" w:ascii="宋体" w:hAnsi="宋体" w:eastAsia="宋体" w:cs="宋体"/>
          <w:b w:val="0"/>
          <w:bCs w:val="0"/>
          <w:color w:val="auto"/>
          <w:sz w:val="24"/>
          <w:highlight w:val="none"/>
        </w:rPr>
        <w:t>服务费</w:t>
      </w:r>
      <w:r>
        <w:rPr>
          <w:rFonts w:hint="eastAsia" w:ascii="宋体" w:hAnsi="宋体" w:eastAsia="宋体" w:cs="宋体"/>
          <w:b w:val="0"/>
          <w:bCs w:val="0"/>
          <w:color w:val="auto"/>
          <w:sz w:val="24"/>
          <w:highlight w:val="none"/>
          <w:lang w:eastAsia="zh-CN"/>
        </w:rPr>
        <w:t>：苏招协[2022]2号文标准计取；以上费用最终由</w:t>
      </w:r>
      <w:r>
        <w:rPr>
          <w:rFonts w:hint="eastAsia" w:ascii="宋体" w:hAnsi="宋体" w:eastAsia="宋体" w:cs="宋体"/>
          <w:b w:val="0"/>
          <w:bCs w:val="0"/>
          <w:color w:val="auto"/>
          <w:sz w:val="24"/>
          <w:highlight w:val="none"/>
          <w:lang w:val="en-US" w:eastAsia="zh-CN"/>
        </w:rPr>
        <w:t>中标人</w:t>
      </w:r>
      <w:r>
        <w:rPr>
          <w:rFonts w:hint="eastAsia" w:ascii="宋体" w:hAnsi="宋体" w:eastAsia="宋体" w:cs="宋体"/>
          <w:b w:val="0"/>
          <w:bCs w:val="0"/>
          <w:color w:val="auto"/>
          <w:sz w:val="24"/>
          <w:highlight w:val="none"/>
          <w:lang w:eastAsia="zh-CN"/>
        </w:rPr>
        <w:t>在领取</w:t>
      </w:r>
      <w:r>
        <w:rPr>
          <w:rFonts w:hint="eastAsia" w:ascii="宋体" w:hAnsi="宋体" w:eastAsia="宋体" w:cs="宋体"/>
          <w:b w:val="0"/>
          <w:bCs w:val="0"/>
          <w:color w:val="auto"/>
          <w:sz w:val="24"/>
          <w:highlight w:val="none"/>
          <w:lang w:val="en-US" w:eastAsia="zh-CN"/>
        </w:rPr>
        <w:t>中标</w:t>
      </w:r>
      <w:r>
        <w:rPr>
          <w:rFonts w:hint="eastAsia" w:ascii="宋体" w:hAnsi="宋体" w:eastAsia="宋体" w:cs="宋体"/>
          <w:b w:val="0"/>
          <w:bCs w:val="0"/>
          <w:color w:val="auto"/>
          <w:sz w:val="24"/>
          <w:highlight w:val="none"/>
          <w:lang w:eastAsia="zh-CN"/>
        </w:rPr>
        <w:t>通知书时一次性支付，投标人须将此部分费用综合</w:t>
      </w:r>
      <w:r>
        <w:rPr>
          <w:rFonts w:hint="eastAsia" w:ascii="宋体" w:hAnsi="宋体" w:eastAsia="宋体" w:cs="宋体"/>
          <w:color w:val="auto"/>
          <w:sz w:val="24"/>
          <w:highlight w:val="none"/>
          <w:lang w:eastAsia="zh-CN"/>
        </w:rPr>
        <w:t>考虑在报价中，不得单列。</w:t>
      </w:r>
    </w:p>
    <w:p w14:paraId="5DAB91C8">
      <w:pPr>
        <w:pStyle w:val="196"/>
        <w:pageBreakBefore w:val="0"/>
        <w:widowControl w:val="0"/>
        <w:spacing w:before="0" w:after="0" w:line="520" w:lineRule="exact"/>
        <w:ind w:firstLine="602"/>
        <w:rPr>
          <w:rFonts w:hint="eastAsia" w:ascii="宋体" w:hAnsi="宋体" w:eastAsia="宋体" w:cs="宋体"/>
          <w:b w:val="0"/>
          <w:bCs w:val="0"/>
          <w:color w:val="auto"/>
          <w:highlight w:val="none"/>
        </w:rPr>
      </w:pPr>
      <w:r>
        <w:rPr>
          <w:rFonts w:hint="eastAsia" w:ascii="宋体" w:hAnsi="宋体" w:eastAsia="宋体" w:cs="宋体"/>
          <w:color w:val="auto"/>
          <w:sz w:val="30"/>
          <w:highlight w:val="none"/>
        </w:rPr>
        <w:t>5、</w:t>
      </w:r>
      <w:r>
        <w:rPr>
          <w:rFonts w:hint="eastAsia" w:ascii="宋体" w:hAnsi="宋体" w:eastAsia="宋体" w:cs="宋体"/>
          <w:b w:val="0"/>
          <w:bCs w:val="0"/>
          <w:color w:val="auto"/>
          <w:highlight w:val="none"/>
        </w:rPr>
        <w:t>招标文件的约束力</w:t>
      </w:r>
    </w:p>
    <w:p w14:paraId="6DF61E3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5.1 投标人一旦参加本项目采购活动，即被认为接受了本招标文件的规定和约束。</w:t>
      </w:r>
    </w:p>
    <w:p w14:paraId="1283B307">
      <w:pPr>
        <w:pStyle w:val="194"/>
        <w:pageBreakBefore w:val="0"/>
        <w:widowControl w:val="0"/>
        <w:spacing w:before="145" w:after="145" w:line="520" w:lineRule="exact"/>
        <w:ind w:firstLine="321"/>
        <w:rPr>
          <w:rFonts w:hint="eastAsia" w:ascii="宋体" w:hAnsi="宋体" w:eastAsia="宋体" w:cs="宋体"/>
          <w:color w:val="auto"/>
          <w:highlight w:val="none"/>
        </w:rPr>
      </w:pPr>
      <w:bookmarkStart w:id="89" w:name="_Toc16938525"/>
      <w:bookmarkStart w:id="90" w:name="_Toc13550"/>
      <w:bookmarkStart w:id="91" w:name="_Toc513029209"/>
      <w:bookmarkStart w:id="92" w:name="_Toc20823281"/>
      <w:bookmarkStart w:id="93" w:name="_Toc120614215"/>
      <w:bookmarkStart w:id="94" w:name="_Toc2081"/>
      <w:r>
        <w:rPr>
          <w:rFonts w:hint="eastAsia" w:ascii="宋体" w:hAnsi="宋体" w:eastAsia="宋体" w:cs="宋体"/>
          <w:color w:val="auto"/>
          <w:highlight w:val="none"/>
        </w:rPr>
        <w:t>二、招标文件</w:t>
      </w:r>
      <w:bookmarkEnd w:id="89"/>
      <w:bookmarkEnd w:id="90"/>
      <w:bookmarkEnd w:id="91"/>
      <w:bookmarkEnd w:id="92"/>
      <w:bookmarkEnd w:id="93"/>
      <w:bookmarkEnd w:id="94"/>
    </w:p>
    <w:p w14:paraId="7EC2D586">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95" w:name="_Toc16938526"/>
      <w:bookmarkStart w:id="96" w:name="_Toc20823282"/>
      <w:bookmarkStart w:id="97" w:name="_Toc513029210"/>
      <w:r>
        <w:rPr>
          <w:rFonts w:hint="eastAsia" w:ascii="宋体" w:hAnsi="宋体" w:eastAsia="宋体" w:cs="宋体"/>
          <w:b w:val="0"/>
          <w:bCs w:val="0"/>
          <w:color w:val="auto"/>
          <w:highlight w:val="none"/>
        </w:rPr>
        <w:t>6、招标文件构成</w:t>
      </w:r>
      <w:bookmarkEnd w:id="95"/>
      <w:bookmarkEnd w:id="96"/>
      <w:bookmarkEnd w:id="97"/>
    </w:p>
    <w:p w14:paraId="0F18A75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6.1 招标文件由以下部分组成：</w:t>
      </w:r>
    </w:p>
    <w:p w14:paraId="310FB65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（1）投标邀请</w:t>
      </w:r>
    </w:p>
    <w:p w14:paraId="4A531FF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（2）投标人须知</w:t>
      </w:r>
    </w:p>
    <w:p w14:paraId="4A3E6EA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（3）合同文本</w:t>
      </w:r>
    </w:p>
    <w:p w14:paraId="401E35A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（4）采购需求</w:t>
      </w:r>
    </w:p>
    <w:p w14:paraId="51ACEEB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（5）评标方法与评标标准</w:t>
      </w:r>
    </w:p>
    <w:p w14:paraId="7648E7F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（6）投标文件格式</w:t>
      </w:r>
    </w:p>
    <w:p w14:paraId="602A894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请仔细检查招标文件是否齐全，如有缺漏请立即与</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highlight w:val="none"/>
        </w:rPr>
        <w:t>联系解决。</w:t>
      </w:r>
    </w:p>
    <w:p w14:paraId="1C04947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53C0BD91">
      <w:pPr>
        <w:pStyle w:val="196"/>
        <w:pageBreakBefore w:val="0"/>
        <w:widowControl w:val="0"/>
        <w:spacing w:before="0" w:after="0" w:line="520" w:lineRule="exact"/>
        <w:ind w:firstLine="560"/>
        <w:rPr>
          <w:rFonts w:hint="eastAsia" w:ascii="宋体" w:hAnsi="宋体" w:eastAsia="宋体" w:cs="宋体"/>
          <w:b w:val="0"/>
          <w:bCs w:val="0"/>
          <w:color w:val="auto"/>
          <w:highlight w:val="none"/>
        </w:rPr>
      </w:pPr>
      <w:bookmarkStart w:id="98" w:name="_Toc513029211"/>
      <w:bookmarkStart w:id="99" w:name="_Toc16938527"/>
      <w:bookmarkStart w:id="100" w:name="_Toc20823283"/>
      <w:bookmarkStart w:id="101" w:name="_Toc462564070"/>
      <w:r>
        <w:rPr>
          <w:rFonts w:hint="eastAsia" w:ascii="宋体" w:hAnsi="宋体" w:eastAsia="宋体" w:cs="宋体"/>
          <w:b w:val="0"/>
          <w:bCs w:val="0"/>
          <w:color w:val="auto"/>
          <w:highlight w:val="none"/>
        </w:rPr>
        <w:t>7、招标文件的澄清</w:t>
      </w:r>
      <w:bookmarkEnd w:id="98"/>
      <w:bookmarkEnd w:id="99"/>
      <w:bookmarkEnd w:id="100"/>
      <w:bookmarkEnd w:id="101"/>
    </w:p>
    <w:p w14:paraId="713A7216">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rPr>
        <w:t>7.1</w:t>
      </w:r>
      <w:r>
        <w:rPr>
          <w:rFonts w:hint="eastAsia" w:ascii="宋体" w:hAnsi="宋体" w:eastAsia="宋体" w:cs="宋体"/>
          <w:color w:val="auto"/>
          <w:sz w:val="24"/>
          <w:highlight w:val="none"/>
        </w:rPr>
        <w:t xml:space="preserve"> 任何要求对招标文件进行澄清的投标人，应在投标截止期十日前按招标公告中的通讯地址，以书面形式通知</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lang w:val="en-US" w:eastAsia="zh-CN"/>
        </w:rPr>
        <w:t>或采购人</w:t>
      </w:r>
      <w:r>
        <w:rPr>
          <w:rFonts w:hint="eastAsia" w:ascii="宋体" w:hAnsi="宋体" w:eastAsia="宋体" w:cs="宋体"/>
          <w:color w:val="auto"/>
          <w:sz w:val="24"/>
          <w:highlight w:val="none"/>
        </w:rPr>
        <w:t>。</w:t>
      </w:r>
    </w:p>
    <w:p w14:paraId="69C7B6B5">
      <w:pPr>
        <w:pStyle w:val="196"/>
        <w:pageBreakBefore w:val="0"/>
        <w:widowControl w:val="0"/>
        <w:spacing w:before="0" w:after="0" w:line="520" w:lineRule="exact"/>
        <w:ind w:firstLine="560"/>
        <w:rPr>
          <w:rFonts w:hint="eastAsia" w:ascii="宋体" w:hAnsi="宋体" w:eastAsia="宋体" w:cs="宋体"/>
          <w:b w:val="0"/>
          <w:bCs w:val="0"/>
          <w:color w:val="auto"/>
          <w:highlight w:val="none"/>
        </w:rPr>
      </w:pPr>
      <w:bookmarkStart w:id="102" w:name="_Toc16938528"/>
      <w:bookmarkStart w:id="103" w:name="_Toc462564071"/>
      <w:bookmarkStart w:id="104" w:name="_Toc20823284"/>
      <w:bookmarkStart w:id="105" w:name="_Toc513029212"/>
      <w:r>
        <w:rPr>
          <w:rFonts w:hint="eastAsia" w:ascii="宋体" w:hAnsi="宋体" w:eastAsia="宋体" w:cs="宋体"/>
          <w:b w:val="0"/>
          <w:bCs w:val="0"/>
          <w:color w:val="auto"/>
          <w:highlight w:val="none"/>
        </w:rPr>
        <w:t>8、招标文件的修改</w:t>
      </w:r>
      <w:bookmarkEnd w:id="102"/>
      <w:bookmarkEnd w:id="103"/>
      <w:bookmarkEnd w:id="104"/>
      <w:bookmarkEnd w:id="105"/>
    </w:p>
    <w:p w14:paraId="6D33E6A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8.1 在投标截止时间前，</w:t>
      </w:r>
      <w:r>
        <w:rPr>
          <w:rFonts w:hint="eastAsia" w:ascii="宋体" w:hAnsi="宋体" w:eastAsia="宋体" w:cs="宋体"/>
          <w:color w:val="auto"/>
          <w:sz w:val="24"/>
          <w:szCs w:val="21"/>
          <w:highlight w:val="none"/>
          <w:lang w:val="en-US" w:eastAsia="zh-CN"/>
        </w:rPr>
        <w:t>采购人</w:t>
      </w:r>
      <w:r>
        <w:rPr>
          <w:rFonts w:hint="eastAsia" w:ascii="宋体" w:hAnsi="宋体" w:eastAsia="宋体" w:cs="宋体"/>
          <w:color w:val="auto"/>
          <w:sz w:val="24"/>
          <w:highlight w:val="none"/>
        </w:rPr>
        <w:t>可以对招标文件进行修改。</w:t>
      </w:r>
    </w:p>
    <w:p w14:paraId="07E4EE1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8.2 </w:t>
      </w:r>
      <w:r>
        <w:rPr>
          <w:rFonts w:hint="eastAsia" w:ascii="宋体" w:hAnsi="宋体" w:eastAsia="宋体" w:cs="宋体"/>
          <w:color w:val="auto"/>
          <w:sz w:val="24"/>
          <w:szCs w:val="21"/>
          <w:highlight w:val="none"/>
          <w:lang w:val="en-US" w:eastAsia="zh-CN"/>
        </w:rPr>
        <w:t>采购人</w:t>
      </w:r>
      <w:r>
        <w:rPr>
          <w:rFonts w:hint="eastAsia" w:ascii="宋体" w:hAnsi="宋体" w:eastAsia="宋体" w:cs="宋体"/>
          <w:color w:val="auto"/>
          <w:sz w:val="24"/>
          <w:highlight w:val="none"/>
        </w:rPr>
        <w:t>有权按照法定的要求推迟投标截止日期和开标日期。</w:t>
      </w:r>
    </w:p>
    <w:p w14:paraId="757C9B6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8.3 招标文件的修改将在江苏政府采购网公布，补充文件将作为招标文件的组成部分，并对投标人具有约束力。</w:t>
      </w:r>
    </w:p>
    <w:p w14:paraId="7C5C74E2">
      <w:pPr>
        <w:pStyle w:val="194"/>
        <w:pageBreakBefore w:val="0"/>
        <w:widowControl w:val="0"/>
        <w:spacing w:before="145" w:after="145" w:line="520" w:lineRule="exact"/>
        <w:ind w:firstLine="482"/>
        <w:rPr>
          <w:rFonts w:hint="eastAsia" w:ascii="宋体" w:hAnsi="宋体" w:eastAsia="宋体" w:cs="宋体"/>
          <w:color w:val="auto"/>
          <w:highlight w:val="none"/>
        </w:rPr>
      </w:pPr>
      <w:bookmarkStart w:id="106" w:name="_Toc120614216"/>
      <w:bookmarkStart w:id="107" w:name="_Toc16938529"/>
      <w:bookmarkStart w:id="108" w:name="_Toc18017"/>
      <w:bookmarkStart w:id="109" w:name="_Toc20823285"/>
      <w:bookmarkStart w:id="110" w:name="_Toc513029213"/>
      <w:bookmarkStart w:id="111" w:name="_Toc462564072"/>
      <w:bookmarkStart w:id="112" w:name="_Toc18646"/>
      <w:r>
        <w:rPr>
          <w:rFonts w:hint="eastAsia" w:ascii="宋体" w:hAnsi="宋体" w:eastAsia="宋体" w:cs="宋体"/>
          <w:color w:val="auto"/>
          <w:highlight w:val="none"/>
        </w:rPr>
        <w:t>三、投标文件的编制</w:t>
      </w:r>
      <w:bookmarkEnd w:id="106"/>
      <w:bookmarkEnd w:id="107"/>
      <w:bookmarkEnd w:id="108"/>
      <w:bookmarkEnd w:id="109"/>
      <w:bookmarkEnd w:id="110"/>
      <w:bookmarkEnd w:id="111"/>
      <w:bookmarkEnd w:id="112"/>
    </w:p>
    <w:p w14:paraId="303229FE">
      <w:pPr>
        <w:pStyle w:val="196"/>
        <w:pageBreakBefore w:val="0"/>
        <w:widowControl w:val="0"/>
        <w:spacing w:before="0" w:after="0" w:line="520" w:lineRule="exact"/>
        <w:ind w:firstLine="560"/>
        <w:rPr>
          <w:rFonts w:hint="eastAsia" w:ascii="宋体" w:hAnsi="宋体" w:eastAsia="宋体" w:cs="宋体"/>
          <w:bCs w:val="0"/>
          <w:color w:val="auto"/>
          <w:highlight w:val="none"/>
        </w:rPr>
      </w:pPr>
      <w:bookmarkStart w:id="113" w:name="_Toc462564073"/>
      <w:bookmarkStart w:id="114" w:name="_Toc16938530"/>
      <w:bookmarkStart w:id="115" w:name="_Toc513029214"/>
      <w:bookmarkStart w:id="116" w:name="_Toc20823286"/>
      <w:r>
        <w:rPr>
          <w:rFonts w:hint="eastAsia" w:ascii="宋体" w:hAnsi="宋体" w:eastAsia="宋体" w:cs="宋体"/>
          <w:b w:val="0"/>
          <w:bCs w:val="0"/>
          <w:color w:val="auto"/>
          <w:highlight w:val="none"/>
        </w:rPr>
        <w:t>9、投标文件的语言及度量衡单位</w:t>
      </w:r>
      <w:bookmarkEnd w:id="113"/>
      <w:bookmarkEnd w:id="114"/>
      <w:bookmarkEnd w:id="115"/>
      <w:bookmarkEnd w:id="116"/>
    </w:p>
    <w:p w14:paraId="001B6AA8">
      <w:pPr>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bCs/>
          <w:color w:val="auto"/>
          <w:sz w:val="24"/>
          <w:highlight w:val="none"/>
        </w:rPr>
        <w:t>9.1</w:t>
      </w:r>
      <w:r>
        <w:rPr>
          <w:rFonts w:hint="eastAsia" w:ascii="宋体" w:hAnsi="宋体" w:eastAsia="宋体" w:cs="宋体"/>
          <w:color w:val="auto"/>
          <w:sz w:val="24"/>
          <w:highlight w:val="none"/>
        </w:rPr>
        <w:t xml:space="preserve"> 投标人提交的投标文件以及投标人与</w:t>
      </w:r>
      <w:r>
        <w:rPr>
          <w:rFonts w:hint="eastAsia" w:ascii="宋体" w:hAnsi="宋体" w:eastAsia="宋体" w:cs="宋体"/>
          <w:color w:val="auto"/>
          <w:sz w:val="24"/>
          <w:szCs w:val="21"/>
          <w:highlight w:val="none"/>
          <w:lang w:val="en-US" w:eastAsia="zh-CN"/>
        </w:rPr>
        <w:t>采购人、采购代理机构</w:t>
      </w:r>
      <w:r>
        <w:rPr>
          <w:rFonts w:hint="eastAsia" w:ascii="宋体" w:hAnsi="宋体" w:eastAsia="宋体" w:cs="宋体"/>
          <w:color w:val="auto"/>
          <w:sz w:val="24"/>
          <w:highlight w:val="none"/>
        </w:rPr>
        <w:t>就有关投标的所有来往通知、函件和文件均应使用简体中文。</w:t>
      </w:r>
    </w:p>
    <w:p w14:paraId="59C8ED98">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9.2 除技术性能另有规定外，投标文件所使用的度量衡单位，均须采用国家法定计量单位。</w:t>
      </w:r>
    </w:p>
    <w:p w14:paraId="16405407">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17" w:name="_Toc513029215"/>
      <w:bookmarkStart w:id="118" w:name="_Toc462564074"/>
      <w:bookmarkStart w:id="119" w:name="_Toc16938531"/>
      <w:bookmarkStart w:id="120" w:name="_Toc20823287"/>
      <w:r>
        <w:rPr>
          <w:rFonts w:hint="eastAsia" w:ascii="宋体" w:hAnsi="宋体" w:eastAsia="宋体" w:cs="宋体"/>
          <w:b w:val="0"/>
          <w:bCs w:val="0"/>
          <w:color w:val="auto"/>
          <w:highlight w:val="none"/>
        </w:rPr>
        <w:t>10、投标文件构成</w:t>
      </w:r>
      <w:bookmarkEnd w:id="117"/>
      <w:bookmarkEnd w:id="118"/>
      <w:bookmarkEnd w:id="119"/>
      <w:bookmarkEnd w:id="120"/>
    </w:p>
    <w:p w14:paraId="4C95F629">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10.1 投标人编写的投标文件应包括资格证明文件、符合性证明文件、投标分项报价表、</w:t>
      </w:r>
      <w:r>
        <w:rPr>
          <w:rFonts w:hint="eastAsia" w:ascii="宋体" w:hAnsi="宋体" w:eastAsia="宋体" w:cs="宋体"/>
          <w:color w:val="auto"/>
          <w:sz w:val="24"/>
          <w:szCs w:val="21"/>
          <w:highlight w:val="none"/>
        </w:rPr>
        <w:t>技术要求响应及偏离表、</w:t>
      </w:r>
      <w:r>
        <w:rPr>
          <w:rFonts w:hint="eastAsia" w:ascii="宋体" w:hAnsi="宋体" w:eastAsia="宋体" w:cs="宋体"/>
          <w:color w:val="auto"/>
          <w:sz w:val="24"/>
          <w:highlight w:val="none"/>
        </w:rPr>
        <w:t>商务要求响应及偏离表、其他证明文件、投标函、开标一览表等部分。</w:t>
      </w:r>
    </w:p>
    <w:p w14:paraId="1F572E2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10.2 如标书制作工具中格式和内容与“江苏政府采购网”发布的招标文件不一致，请以“江苏政府采购网”发布的招标文件为准。</w:t>
      </w:r>
    </w:p>
    <w:p w14:paraId="76B78160">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21" w:name="_Hlt26670360"/>
      <w:bookmarkEnd w:id="121"/>
      <w:bookmarkStart w:id="122" w:name="_Hlt26668975"/>
      <w:bookmarkEnd w:id="122"/>
      <w:bookmarkStart w:id="123" w:name="_Hlt26954838"/>
      <w:bookmarkEnd w:id="123"/>
      <w:bookmarkStart w:id="124" w:name="_Toc14577354"/>
      <w:bookmarkStart w:id="125" w:name="_Toc49090507"/>
      <w:bookmarkStart w:id="126" w:name="_Toc14577357"/>
      <w:bookmarkStart w:id="127" w:name="_Toc513029216"/>
      <w:bookmarkStart w:id="128" w:name="_Toc513029219"/>
      <w:bookmarkStart w:id="129" w:name="_Toc49090509"/>
      <w:r>
        <w:rPr>
          <w:rFonts w:hint="eastAsia" w:ascii="宋体" w:hAnsi="宋体" w:eastAsia="宋体" w:cs="宋体"/>
          <w:b w:val="0"/>
          <w:bCs w:val="0"/>
          <w:color w:val="auto"/>
          <w:highlight w:val="none"/>
        </w:rPr>
        <w:t>11、证明投标人及投标标的符合招标文件规定的文件</w:t>
      </w:r>
      <w:bookmarkEnd w:id="124"/>
      <w:bookmarkEnd w:id="125"/>
      <w:bookmarkEnd w:id="126"/>
      <w:bookmarkEnd w:id="127"/>
      <w:bookmarkEnd w:id="128"/>
      <w:bookmarkEnd w:id="129"/>
    </w:p>
    <w:p w14:paraId="2C024C34">
      <w:pPr>
        <w:keepNext w:val="0"/>
        <w:keepLines w:val="0"/>
        <w:pageBreakBefore w:val="0"/>
        <w:widowControl w:val="0"/>
        <w:spacing w:line="520" w:lineRule="exact"/>
        <w:ind w:firstLine="480"/>
        <w:rPr>
          <w:rFonts w:hint="eastAsia" w:ascii="宋体" w:hAnsi="宋体" w:eastAsia="宋体" w:cs="宋体"/>
          <w:color w:val="auto"/>
          <w:sz w:val="24"/>
          <w:highlight w:val="none"/>
        </w:rPr>
      </w:pPr>
      <w:bookmarkStart w:id="130" w:name="_Toc14577355"/>
      <w:bookmarkStart w:id="131" w:name="_Toc49090508"/>
      <w:r>
        <w:rPr>
          <w:rFonts w:hint="eastAsia" w:ascii="宋体" w:hAnsi="宋体" w:eastAsia="宋体" w:cs="宋体"/>
          <w:color w:val="auto"/>
          <w:sz w:val="24"/>
          <w:highlight w:val="none"/>
        </w:rPr>
        <w:t>11.1 投标人应按照法律、法规、规章和规范性文件以及招标文件要求提交证明文件，证明其及投标标的符合招标文件规定。</w:t>
      </w:r>
    </w:p>
    <w:p w14:paraId="77C3627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11.2招标文件对证明文件无明确形式要求的，证明文件可以以文字资料、图纸和数据等形式提交。</w:t>
      </w:r>
    </w:p>
    <w:p w14:paraId="26E6302A">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12、投标分项报价</w:t>
      </w:r>
      <w:bookmarkEnd w:id="130"/>
      <w:bookmarkStart w:id="132" w:name="_Hlt26670373"/>
      <w:bookmarkEnd w:id="132"/>
      <w:r>
        <w:rPr>
          <w:rFonts w:hint="eastAsia" w:ascii="宋体" w:hAnsi="宋体" w:eastAsia="宋体" w:cs="宋体"/>
          <w:b w:val="0"/>
          <w:bCs w:val="0"/>
          <w:color w:val="auto"/>
          <w:highlight w:val="none"/>
        </w:rPr>
        <w:t>表</w:t>
      </w:r>
      <w:bookmarkEnd w:id="131"/>
    </w:p>
    <w:p w14:paraId="6ECF372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12.1 投</w:t>
      </w:r>
      <w:bookmarkStart w:id="133" w:name="_Hlt26954840"/>
      <w:bookmarkEnd w:id="133"/>
      <w:r>
        <w:rPr>
          <w:rFonts w:hint="eastAsia" w:ascii="宋体" w:hAnsi="宋体" w:eastAsia="宋体" w:cs="宋体"/>
          <w:color w:val="auto"/>
          <w:sz w:val="24"/>
          <w:highlight w:val="none"/>
        </w:rPr>
        <w:t>标人应按照招标文件规定格式填报投标分项报价表</w:t>
      </w:r>
      <w:bookmarkStart w:id="134" w:name="_Hlt26670399"/>
      <w:bookmarkEnd w:id="134"/>
      <w:r>
        <w:rPr>
          <w:rFonts w:hint="eastAsia" w:ascii="宋体" w:hAnsi="宋体" w:eastAsia="宋体" w:cs="宋体"/>
          <w:color w:val="auto"/>
          <w:sz w:val="24"/>
          <w:highlight w:val="none"/>
        </w:rPr>
        <w:t>。</w:t>
      </w:r>
    </w:p>
    <w:p w14:paraId="26C3E80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12.2投标货币。投标文件中的单价和总价无特殊规定的采用人民币报价，以元为单位标注。招标文件中另有规定的按规定执行。</w:t>
      </w:r>
    </w:p>
    <w:p w14:paraId="6B0E4791">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35" w:name="_Hlt26670403"/>
      <w:bookmarkEnd w:id="135"/>
      <w:bookmarkStart w:id="136" w:name="_Hlt26668983"/>
      <w:bookmarkEnd w:id="136"/>
      <w:bookmarkStart w:id="137" w:name="_Hlt26954846"/>
      <w:bookmarkEnd w:id="137"/>
      <w:bookmarkStart w:id="138" w:name="_Hlt26670425"/>
      <w:bookmarkEnd w:id="138"/>
      <w:bookmarkStart w:id="139" w:name="_Hlt26954844"/>
      <w:bookmarkEnd w:id="139"/>
      <w:bookmarkStart w:id="140" w:name="_Hlt26954731"/>
      <w:bookmarkEnd w:id="140"/>
      <w:bookmarkStart w:id="141" w:name="_Hlt26670486"/>
      <w:bookmarkEnd w:id="141"/>
      <w:bookmarkStart w:id="142" w:name="_Hlt26670482"/>
      <w:bookmarkEnd w:id="142"/>
      <w:bookmarkStart w:id="143" w:name="_Hlt26954848"/>
      <w:bookmarkEnd w:id="143"/>
      <w:bookmarkStart w:id="144" w:name="_Hlt26954842"/>
      <w:bookmarkEnd w:id="144"/>
      <w:r>
        <w:rPr>
          <w:rFonts w:hint="eastAsia" w:ascii="宋体" w:hAnsi="宋体" w:eastAsia="宋体" w:cs="宋体"/>
          <w:b w:val="0"/>
          <w:bCs w:val="0"/>
          <w:color w:val="auto"/>
          <w:highlight w:val="none"/>
        </w:rPr>
        <w:t>13、技术要求响应及偏离表、商务要求响应及偏离表</w:t>
      </w:r>
    </w:p>
    <w:p w14:paraId="080228FE">
      <w:pPr>
        <w:keepNext w:val="0"/>
        <w:keepLines w:val="0"/>
        <w:pageBreakBefore w:val="0"/>
        <w:widowControl w:val="0"/>
        <w:spacing w:line="520" w:lineRule="exact"/>
        <w:ind w:firstLine="48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13.1 投标人需对招标文件中的技术要求与商务要求逐项作出响应或偏离，并说明原因。</w:t>
      </w:r>
    </w:p>
    <w:p w14:paraId="457C5B6C">
      <w:pPr>
        <w:keepNext w:val="0"/>
        <w:keepLines w:val="0"/>
        <w:pageBreakBefore w:val="0"/>
        <w:widowControl w:val="0"/>
        <w:spacing w:line="520" w:lineRule="exact"/>
        <w:ind w:firstLine="48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13.2 投标人可在投标文件中提供认为需要的其他技术文件或说明。</w:t>
      </w:r>
    </w:p>
    <w:p w14:paraId="16509AEC">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45" w:name="_Toc14577359"/>
      <w:bookmarkStart w:id="146" w:name="_Toc49090510"/>
      <w:r>
        <w:rPr>
          <w:rFonts w:hint="eastAsia" w:ascii="宋体" w:hAnsi="宋体" w:eastAsia="宋体" w:cs="宋体"/>
          <w:b w:val="0"/>
          <w:bCs w:val="0"/>
          <w:color w:val="auto"/>
          <w:highlight w:val="none"/>
        </w:rPr>
        <w:t>14、投标函和开标一览表</w:t>
      </w:r>
    </w:p>
    <w:p w14:paraId="26AC04A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14.1 投标人应按照招标文件中提供的格式完整、正确填写投标函、开标一览表。</w:t>
      </w:r>
    </w:p>
    <w:p w14:paraId="11D3880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14.2 对于采用货币报价的项目，开标一览表中的投标总报价应与投标分项报价表中的投标总报价一致，如不一致，不作为无效投标处理，但评标时按开标一览表中价格为准。</w:t>
      </w:r>
      <w:bookmarkEnd w:id="145"/>
      <w:bookmarkEnd w:id="146"/>
    </w:p>
    <w:p w14:paraId="2F5A9754">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47" w:name="_Hlt26954850"/>
      <w:bookmarkEnd w:id="147"/>
      <w:bookmarkStart w:id="148" w:name="_Hlt26954734"/>
      <w:bookmarkEnd w:id="148"/>
      <w:bookmarkStart w:id="149" w:name="_Hlt26670489"/>
      <w:bookmarkEnd w:id="149"/>
      <w:bookmarkStart w:id="150" w:name="_Toc14577360"/>
      <w:bookmarkStart w:id="151" w:name="_Toc49090511"/>
      <w:r>
        <w:rPr>
          <w:rFonts w:hint="eastAsia" w:ascii="宋体" w:hAnsi="宋体" w:eastAsia="宋体" w:cs="宋体"/>
          <w:b w:val="0"/>
          <w:bCs w:val="0"/>
          <w:color w:val="auto"/>
          <w:highlight w:val="none"/>
        </w:rPr>
        <w:t>15、投标有效期</w:t>
      </w:r>
      <w:bookmarkEnd w:id="150"/>
      <w:bookmarkEnd w:id="151"/>
    </w:p>
    <w:p w14:paraId="0E663467">
      <w:pPr>
        <w:pageBreakBefore w:val="0"/>
        <w:widowControl w:val="0"/>
        <w:spacing w:line="520" w:lineRule="exact"/>
        <w:ind w:firstLine="480"/>
        <w:rPr>
          <w:rFonts w:hint="eastAsia" w:ascii="宋体" w:hAnsi="宋体" w:eastAsia="宋体" w:cs="宋体"/>
          <w:bCs/>
          <w:color w:val="auto"/>
          <w:sz w:val="24"/>
          <w:highlight w:val="none"/>
        </w:rPr>
      </w:pPr>
      <w:r>
        <w:rPr>
          <w:rFonts w:hint="eastAsia" w:ascii="宋体" w:hAnsi="宋体" w:eastAsia="宋体" w:cs="宋体"/>
          <w:color w:val="auto"/>
          <w:sz w:val="24"/>
          <w:highlight w:val="none"/>
        </w:rPr>
        <w:t>15.1</w:t>
      </w:r>
      <w:r>
        <w:rPr>
          <w:rFonts w:hint="eastAsia" w:ascii="宋体" w:hAnsi="宋体" w:eastAsia="宋体" w:cs="宋体"/>
          <w:bCs/>
          <w:color w:val="auto"/>
          <w:sz w:val="24"/>
          <w:highlight w:val="none"/>
        </w:rPr>
        <w:t xml:space="preserve"> 投标有效期为</w:t>
      </w:r>
      <w:r>
        <w:rPr>
          <w:rFonts w:hint="eastAsia" w:ascii="宋体" w:hAnsi="宋体" w:eastAsia="宋体" w:cs="宋体"/>
          <w:bCs/>
          <w:color w:val="auto"/>
          <w:sz w:val="24"/>
          <w:szCs w:val="21"/>
          <w:highlight w:val="none"/>
        </w:rPr>
        <w:t>采购</w:t>
      </w:r>
      <w:r>
        <w:rPr>
          <w:rFonts w:hint="eastAsia" w:ascii="宋体" w:hAnsi="宋体" w:eastAsia="宋体" w:cs="宋体"/>
          <w:bCs/>
          <w:color w:val="auto"/>
          <w:sz w:val="24"/>
          <w:szCs w:val="21"/>
          <w:highlight w:val="none"/>
          <w:lang w:val="en-US" w:eastAsia="zh-CN"/>
        </w:rPr>
        <w:t>人</w:t>
      </w:r>
      <w:r>
        <w:rPr>
          <w:rFonts w:hint="eastAsia" w:ascii="宋体" w:hAnsi="宋体" w:eastAsia="宋体" w:cs="宋体"/>
          <w:bCs/>
          <w:color w:val="auto"/>
          <w:sz w:val="24"/>
          <w:highlight w:val="none"/>
        </w:rPr>
        <w:t>规定的开标之日后</w:t>
      </w:r>
      <w:r>
        <w:rPr>
          <w:rFonts w:hint="eastAsia" w:ascii="宋体" w:hAnsi="宋体" w:eastAsia="宋体" w:cs="宋体"/>
          <w:b/>
          <w:color w:val="auto"/>
          <w:sz w:val="24"/>
          <w:highlight w:val="none"/>
          <w:u w:val="single"/>
        </w:rPr>
        <w:t>六十（60）天</w:t>
      </w:r>
      <w:r>
        <w:rPr>
          <w:rFonts w:hint="eastAsia" w:ascii="宋体" w:hAnsi="宋体" w:eastAsia="宋体" w:cs="宋体"/>
          <w:bCs/>
          <w:color w:val="auto"/>
          <w:sz w:val="24"/>
          <w:highlight w:val="none"/>
        </w:rPr>
        <w:t>。投标有效期比规定短的将被视为未实质性响应招标文件而予以拒绝。</w:t>
      </w:r>
    </w:p>
    <w:p w14:paraId="0768624F">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16、投标有效期的延长</w:t>
      </w:r>
    </w:p>
    <w:p w14:paraId="4C20239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16.1 在特殊情况下，</w:t>
      </w:r>
      <w:r>
        <w:rPr>
          <w:rFonts w:hint="eastAsia" w:ascii="宋体" w:hAnsi="宋体" w:eastAsia="宋体" w:cs="宋体"/>
          <w:bCs/>
          <w:color w:val="auto"/>
          <w:sz w:val="24"/>
          <w:szCs w:val="21"/>
          <w:highlight w:val="none"/>
        </w:rPr>
        <w:t>采购</w:t>
      </w:r>
      <w:r>
        <w:rPr>
          <w:rFonts w:hint="eastAsia" w:ascii="宋体" w:hAnsi="宋体" w:eastAsia="宋体" w:cs="宋体"/>
          <w:bCs/>
          <w:color w:val="auto"/>
          <w:sz w:val="24"/>
          <w:szCs w:val="21"/>
          <w:highlight w:val="none"/>
          <w:lang w:val="en-US" w:eastAsia="zh-CN"/>
        </w:rPr>
        <w:t>人</w:t>
      </w:r>
      <w:r>
        <w:rPr>
          <w:rFonts w:hint="eastAsia" w:ascii="宋体" w:hAnsi="宋体" w:eastAsia="宋体" w:cs="宋体"/>
          <w:color w:val="auto"/>
          <w:sz w:val="24"/>
          <w:highlight w:val="none"/>
        </w:rPr>
        <w:t>于原投标有效期满之前，可向投标人提出延长投标有效期的要求。这种要求与答复均应采用书面形式。投标人可以拒绝</w:t>
      </w:r>
      <w:r>
        <w:rPr>
          <w:rFonts w:hint="eastAsia" w:ascii="宋体" w:hAnsi="宋体" w:eastAsia="宋体" w:cs="宋体"/>
          <w:bCs/>
          <w:color w:val="auto"/>
          <w:sz w:val="24"/>
          <w:szCs w:val="21"/>
          <w:highlight w:val="none"/>
        </w:rPr>
        <w:t>采购</w:t>
      </w:r>
      <w:r>
        <w:rPr>
          <w:rFonts w:hint="eastAsia" w:ascii="宋体" w:hAnsi="宋体" w:eastAsia="宋体" w:cs="宋体"/>
          <w:bCs/>
          <w:color w:val="auto"/>
          <w:sz w:val="24"/>
          <w:szCs w:val="21"/>
          <w:highlight w:val="none"/>
          <w:lang w:val="en-US" w:eastAsia="zh-CN"/>
        </w:rPr>
        <w:t>人</w:t>
      </w:r>
      <w:r>
        <w:rPr>
          <w:rFonts w:hint="eastAsia" w:ascii="宋体" w:hAnsi="宋体" w:eastAsia="宋体" w:cs="宋体"/>
          <w:color w:val="auto"/>
          <w:sz w:val="24"/>
          <w:highlight w:val="none"/>
        </w:rPr>
        <w:t>的这一要求而放弃投标。同意延长投标有效期的投标人既不能要求也不允许修改其投标文件，同时受投标有效期约束的所有权利与义务均延长至新的有效期。</w:t>
      </w:r>
    </w:p>
    <w:p w14:paraId="753ECADB">
      <w:pPr>
        <w:pStyle w:val="194"/>
        <w:pageBreakBefore w:val="0"/>
        <w:widowControl w:val="0"/>
        <w:spacing w:before="145" w:after="145" w:line="520" w:lineRule="exact"/>
        <w:ind w:firstLine="482"/>
        <w:rPr>
          <w:rFonts w:hint="eastAsia" w:ascii="宋体" w:hAnsi="宋体" w:eastAsia="宋体" w:cs="宋体"/>
          <w:color w:val="auto"/>
          <w:highlight w:val="none"/>
        </w:rPr>
      </w:pPr>
      <w:bookmarkStart w:id="152" w:name="_Hlt26954739"/>
      <w:bookmarkEnd w:id="152"/>
      <w:bookmarkStart w:id="153" w:name="_Hlt26954852"/>
      <w:bookmarkEnd w:id="153"/>
      <w:bookmarkStart w:id="154" w:name="_Toc16938540"/>
      <w:bookmarkStart w:id="155" w:name="_Toc20823296"/>
      <w:bookmarkStart w:id="156" w:name="_Toc120614217"/>
      <w:bookmarkStart w:id="157" w:name="_Toc513029224"/>
      <w:bookmarkStart w:id="158" w:name="_Toc22817"/>
      <w:bookmarkStart w:id="159" w:name="_Toc16170"/>
      <w:r>
        <w:rPr>
          <w:rFonts w:hint="eastAsia" w:ascii="宋体" w:hAnsi="宋体" w:eastAsia="宋体" w:cs="宋体"/>
          <w:color w:val="auto"/>
          <w:highlight w:val="none"/>
        </w:rPr>
        <w:t>四、投标文件的递交</w:t>
      </w:r>
      <w:bookmarkEnd w:id="154"/>
      <w:bookmarkEnd w:id="155"/>
      <w:bookmarkEnd w:id="156"/>
      <w:bookmarkEnd w:id="157"/>
      <w:bookmarkEnd w:id="158"/>
      <w:bookmarkEnd w:id="159"/>
    </w:p>
    <w:p w14:paraId="0DD9E936">
      <w:pPr>
        <w:pStyle w:val="196"/>
        <w:keepNext/>
        <w:keepLines/>
        <w:pageBreakBefore w:val="0"/>
        <w:widowControl w:val="0"/>
        <w:spacing w:before="0" w:after="0" w:line="520" w:lineRule="exact"/>
        <w:ind w:firstLine="560"/>
        <w:rPr>
          <w:rFonts w:hint="eastAsia" w:ascii="宋体" w:hAnsi="宋体" w:eastAsia="宋体" w:cs="宋体"/>
          <w:b w:val="0"/>
          <w:bCs w:val="0"/>
          <w:color w:val="auto"/>
          <w:highlight w:val="none"/>
        </w:rPr>
      </w:pPr>
      <w:bookmarkStart w:id="160" w:name="_Toc20823297"/>
      <w:bookmarkStart w:id="161" w:name="_Toc513029225"/>
      <w:bookmarkStart w:id="162" w:name="_Toc16938541"/>
      <w:bookmarkStart w:id="163" w:name="_Toc462564084"/>
      <w:r>
        <w:rPr>
          <w:rFonts w:hint="eastAsia" w:ascii="宋体" w:hAnsi="宋体" w:eastAsia="宋体" w:cs="宋体"/>
          <w:b w:val="0"/>
          <w:bCs w:val="0"/>
          <w:color w:val="auto"/>
          <w:highlight w:val="none"/>
        </w:rPr>
        <w:t>17、投标文件</w:t>
      </w:r>
      <w:bookmarkEnd w:id="160"/>
      <w:bookmarkEnd w:id="161"/>
      <w:bookmarkEnd w:id="162"/>
      <w:bookmarkEnd w:id="163"/>
      <w:r>
        <w:rPr>
          <w:rFonts w:hint="eastAsia" w:ascii="宋体" w:hAnsi="宋体" w:eastAsia="宋体" w:cs="宋体"/>
          <w:b w:val="0"/>
          <w:bCs w:val="0"/>
          <w:color w:val="auto"/>
          <w:highlight w:val="none"/>
        </w:rPr>
        <w:t>的递交</w:t>
      </w:r>
    </w:p>
    <w:p w14:paraId="7AFDD20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17.1 电子投标文件的递交</w:t>
      </w:r>
    </w:p>
    <w:p w14:paraId="48E77F3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投标人应当按照《操作手册》规定，在投标截止时间前制作并上传电子投标文件。</w:t>
      </w:r>
      <w:bookmarkStart w:id="164" w:name="_Toc20823298"/>
      <w:bookmarkStart w:id="165" w:name="_Toc16938542"/>
      <w:bookmarkStart w:id="166" w:name="_Toc513029226"/>
    </w:p>
    <w:p w14:paraId="500E61E1">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18、投标截止</w:t>
      </w:r>
      <w:bookmarkEnd w:id="164"/>
      <w:bookmarkEnd w:id="165"/>
      <w:bookmarkEnd w:id="166"/>
      <w:r>
        <w:rPr>
          <w:rFonts w:hint="eastAsia" w:ascii="宋体" w:hAnsi="宋体" w:eastAsia="宋体" w:cs="宋体"/>
          <w:b w:val="0"/>
          <w:bCs w:val="0"/>
          <w:color w:val="auto"/>
          <w:highlight w:val="none"/>
        </w:rPr>
        <w:t>时间</w:t>
      </w:r>
    </w:p>
    <w:p w14:paraId="5F2032B5">
      <w:pPr>
        <w:keepNext w:val="0"/>
        <w:keepLines w:val="0"/>
        <w:pageBreakBefore w:val="0"/>
        <w:widowControl w:val="0"/>
        <w:spacing w:line="520" w:lineRule="exact"/>
        <w:ind w:firstLine="482"/>
        <w:rPr>
          <w:rFonts w:hint="eastAsia" w:ascii="宋体" w:hAnsi="宋体" w:eastAsia="宋体" w:cs="宋体"/>
          <w:b w:val="0"/>
          <w:bCs w:val="0"/>
          <w:i/>
          <w:iCs/>
          <w:color w:val="auto"/>
          <w:sz w:val="24"/>
          <w:highlight w:val="none"/>
        </w:rPr>
      </w:pPr>
      <w:r>
        <w:rPr>
          <w:rFonts w:hint="eastAsia" w:ascii="宋体" w:hAnsi="宋体" w:eastAsia="宋体" w:cs="宋体"/>
          <w:b w:val="0"/>
          <w:bCs w:val="0"/>
          <w:i/>
          <w:iCs/>
          <w:strike w:val="0"/>
          <w:color w:val="auto"/>
          <w:sz w:val="24"/>
          <w:highlight w:val="none"/>
          <w:u w:val="single"/>
        </w:rPr>
        <w:t>18.1 投标人上传电子投标文件的时间不得迟于招标公告中规定的投标截止时间</w:t>
      </w:r>
      <w:r>
        <w:rPr>
          <w:rFonts w:hint="eastAsia" w:ascii="宋体" w:hAnsi="宋体" w:eastAsia="宋体" w:cs="宋体"/>
          <w:b w:val="0"/>
          <w:bCs w:val="0"/>
          <w:i/>
          <w:iCs/>
          <w:color w:val="auto"/>
          <w:sz w:val="24"/>
          <w:highlight w:val="none"/>
        </w:rPr>
        <w:t>。</w:t>
      </w:r>
    </w:p>
    <w:p w14:paraId="5C80FB3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w:t>
      </w:r>
      <w:r>
        <w:rPr>
          <w:rFonts w:hint="eastAsia" w:ascii="宋体" w:hAnsi="宋体" w:eastAsia="宋体" w:cs="宋体"/>
          <w:color w:val="auto"/>
          <w:sz w:val="24"/>
          <w:highlight w:val="none"/>
          <w:lang w:eastAsia="zh-CN"/>
        </w:rPr>
        <w:t>充分考虑</w:t>
      </w:r>
      <w:r>
        <w:rPr>
          <w:rFonts w:hint="eastAsia" w:ascii="宋体" w:hAnsi="宋体" w:eastAsia="宋体" w:cs="宋体"/>
          <w:color w:val="auto"/>
          <w:sz w:val="24"/>
          <w:highlight w:val="none"/>
        </w:rPr>
        <w:t>网络环境、网络带宽等风险因素，如因投标人自身原因造成的电子投标文件上传不成功的按照本招标文件第二章第26.1.2条 规定做无效投标处理。</w:t>
      </w:r>
    </w:p>
    <w:p w14:paraId="59DEE88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18.2 采购</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可以按照规定，通过修改招标文件酌情延长投标截止时间，在此情况下，投标人的所有权利和义务以及投标人受制的截止时间均应以延长后新的截止时间为准。</w:t>
      </w:r>
    </w:p>
    <w:p w14:paraId="3281416D">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67" w:name="_Toc16938543"/>
      <w:bookmarkStart w:id="168" w:name="_Toc20823299"/>
      <w:bookmarkStart w:id="169" w:name="_Toc513029227"/>
      <w:r>
        <w:rPr>
          <w:rFonts w:hint="eastAsia" w:ascii="宋体" w:hAnsi="宋体" w:eastAsia="宋体" w:cs="宋体"/>
          <w:b w:val="0"/>
          <w:bCs w:val="0"/>
          <w:color w:val="auto"/>
          <w:highlight w:val="none"/>
        </w:rPr>
        <w:t>19、投标文件</w:t>
      </w:r>
      <w:bookmarkEnd w:id="167"/>
      <w:bookmarkEnd w:id="168"/>
      <w:bookmarkEnd w:id="169"/>
      <w:r>
        <w:rPr>
          <w:rFonts w:hint="eastAsia" w:ascii="宋体" w:hAnsi="宋体" w:eastAsia="宋体" w:cs="宋体"/>
          <w:b w:val="0"/>
          <w:bCs w:val="0"/>
          <w:color w:val="auto"/>
          <w:highlight w:val="none"/>
        </w:rPr>
        <w:t>的拒收</w:t>
      </w:r>
    </w:p>
    <w:p w14:paraId="31FCE2A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19.1采购</w:t>
      </w:r>
      <w:r>
        <w:rPr>
          <w:rFonts w:hint="eastAsia" w:ascii="宋体" w:hAnsi="宋体" w:eastAsia="宋体" w:cs="宋体"/>
          <w:color w:val="auto"/>
          <w:sz w:val="24"/>
          <w:highlight w:val="none"/>
          <w:lang w:val="en-US" w:eastAsia="zh-CN"/>
        </w:rPr>
        <w:t>人或采购代理机构</w:t>
      </w:r>
      <w:r>
        <w:rPr>
          <w:rFonts w:hint="eastAsia" w:ascii="宋体" w:hAnsi="宋体" w:eastAsia="宋体" w:cs="宋体"/>
          <w:color w:val="auto"/>
          <w:sz w:val="24"/>
          <w:highlight w:val="none"/>
        </w:rPr>
        <w:t>拒绝接收在其规定的投标截止时间后上传的任何投标文件。</w:t>
      </w:r>
    </w:p>
    <w:p w14:paraId="7B82FFB7">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70" w:name="_Toc16938544"/>
      <w:bookmarkStart w:id="171" w:name="_Toc20823300"/>
      <w:bookmarkStart w:id="172" w:name="_Toc513029228"/>
      <w:r>
        <w:rPr>
          <w:rFonts w:hint="eastAsia" w:ascii="宋体" w:hAnsi="宋体" w:eastAsia="宋体" w:cs="宋体"/>
          <w:b w:val="0"/>
          <w:bCs w:val="0"/>
          <w:color w:val="auto"/>
          <w:highlight w:val="none"/>
        </w:rPr>
        <w:t>20、投标文件的撤回和修改</w:t>
      </w:r>
      <w:bookmarkEnd w:id="170"/>
      <w:bookmarkEnd w:id="171"/>
      <w:bookmarkEnd w:id="172"/>
    </w:p>
    <w:p w14:paraId="03D6006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20.1 投标文件的撤回</w:t>
      </w:r>
    </w:p>
    <w:p w14:paraId="478BC3D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21.1.1 电子投标文件的撤回</w:t>
      </w:r>
    </w:p>
    <w:p w14:paraId="33A438B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投标人可在投标截止时间前，撤回其电子投标文件，具体操作方法见《操作手册》。</w:t>
      </w:r>
    </w:p>
    <w:p w14:paraId="004B163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21.1.2 投标人撤回电子投标文件，则认为其不再参与本项目投标活动。</w:t>
      </w:r>
    </w:p>
    <w:p w14:paraId="5BEC1E3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20.2 投标文件的修改</w:t>
      </w:r>
    </w:p>
    <w:p w14:paraId="0B7E8EC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20.2.1投标人可在投标截止时间前，对其电子投标文件进行修改，具体操作方法见《操作手册》。</w:t>
      </w:r>
    </w:p>
    <w:p w14:paraId="4876FCC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20.2.2 在投标截止时间之后，投标人不得对其电子投标文件作任何修改。</w:t>
      </w:r>
    </w:p>
    <w:p w14:paraId="22D5AD3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20.3 在投标截止时间至招标文件中规定的投标有效期满之间的这段时间内，投标人不得撤回其投标。</w:t>
      </w:r>
    </w:p>
    <w:p w14:paraId="6CC6921C">
      <w:pPr>
        <w:pStyle w:val="194"/>
        <w:pageBreakBefore w:val="0"/>
        <w:widowControl w:val="0"/>
        <w:spacing w:before="145" w:after="145" w:line="520" w:lineRule="exact"/>
        <w:ind w:firstLine="482"/>
        <w:rPr>
          <w:rFonts w:hint="eastAsia" w:ascii="宋体" w:hAnsi="宋体" w:eastAsia="宋体" w:cs="宋体"/>
          <w:color w:val="auto"/>
          <w:highlight w:val="none"/>
        </w:rPr>
      </w:pPr>
      <w:bookmarkStart w:id="173" w:name="_Toc109"/>
      <w:bookmarkStart w:id="174" w:name="_Toc120614218"/>
      <w:bookmarkStart w:id="175" w:name="_Toc9761"/>
      <w:bookmarkStart w:id="176" w:name="_Toc16938545"/>
      <w:bookmarkStart w:id="177" w:name="_Toc20823301"/>
      <w:bookmarkStart w:id="178" w:name="_Toc513029229"/>
      <w:r>
        <w:rPr>
          <w:rFonts w:hint="eastAsia" w:ascii="宋体" w:hAnsi="宋体" w:eastAsia="宋体" w:cs="宋体"/>
          <w:color w:val="auto"/>
          <w:highlight w:val="none"/>
        </w:rPr>
        <w:t>五、开标与评标</w:t>
      </w:r>
      <w:bookmarkEnd w:id="173"/>
      <w:bookmarkEnd w:id="174"/>
      <w:bookmarkEnd w:id="175"/>
      <w:bookmarkEnd w:id="176"/>
      <w:bookmarkEnd w:id="177"/>
      <w:bookmarkEnd w:id="178"/>
    </w:p>
    <w:p w14:paraId="71A3853E">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79" w:name="_Toc20823302"/>
      <w:bookmarkStart w:id="180" w:name="_Toc513029230"/>
      <w:bookmarkStart w:id="181" w:name="_Toc16938546"/>
      <w:r>
        <w:rPr>
          <w:rFonts w:hint="eastAsia" w:ascii="宋体" w:hAnsi="宋体" w:eastAsia="宋体" w:cs="宋体"/>
          <w:b w:val="0"/>
          <w:bCs w:val="0"/>
          <w:color w:val="auto"/>
          <w:highlight w:val="none"/>
        </w:rPr>
        <w:t>21、开标</w:t>
      </w:r>
      <w:bookmarkEnd w:id="179"/>
      <w:bookmarkEnd w:id="180"/>
      <w:bookmarkEnd w:id="181"/>
    </w:p>
    <w:p w14:paraId="45BFFA8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21.1 采购</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将在招标公告中规定的时间和地点组织公开开标。投标人应当按照《操作手册》规定，参加开标活动和在苏采云系统规定的时间内对投标文件进行解密。</w:t>
      </w:r>
    </w:p>
    <w:p w14:paraId="0BA0055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21.2开标仪式由采购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组织。苏采云系统将自动对项目进行开标，并宣布各投标人名称和投标价格。</w:t>
      </w:r>
    </w:p>
    <w:p w14:paraId="56CEF65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21.3投标人在开标过程中</w:t>
      </w:r>
      <w:r>
        <w:rPr>
          <w:rFonts w:hint="eastAsia" w:ascii="宋体" w:hAnsi="宋体" w:eastAsia="宋体" w:cs="宋体"/>
          <w:color w:val="auto"/>
          <w:sz w:val="24"/>
          <w:highlight w:val="none"/>
          <w:lang w:eastAsia="zh-CN"/>
        </w:rPr>
        <w:t>涉及的</w:t>
      </w:r>
      <w:r>
        <w:rPr>
          <w:rFonts w:hint="eastAsia" w:ascii="宋体" w:hAnsi="宋体" w:eastAsia="宋体" w:cs="宋体"/>
          <w:color w:val="auto"/>
          <w:sz w:val="24"/>
          <w:highlight w:val="none"/>
        </w:rPr>
        <w:t>投标文件解密、开标结果确认等工作，应按照《操作手册》规定执行。</w:t>
      </w:r>
    </w:p>
    <w:p w14:paraId="1DC4E0E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21.4投标人如果对开标过程和开标记录有疑义，应当根据《操作手册》规定提出，如苏采云系统中《开标记录表》宣布后5分钟内未提出的，视同认可开标结果。</w:t>
      </w:r>
    </w:p>
    <w:p w14:paraId="5B62AE25">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82" w:name="_Toc513029231"/>
      <w:bookmarkStart w:id="183" w:name="_Toc20823303"/>
      <w:bookmarkStart w:id="184" w:name="_Toc16938547"/>
      <w:r>
        <w:rPr>
          <w:rFonts w:hint="eastAsia" w:ascii="宋体" w:hAnsi="宋体" w:eastAsia="宋体" w:cs="宋体"/>
          <w:b w:val="0"/>
          <w:bCs w:val="0"/>
          <w:color w:val="auto"/>
          <w:highlight w:val="none"/>
        </w:rPr>
        <w:t>22、评标委员会</w:t>
      </w:r>
    </w:p>
    <w:p w14:paraId="0B5A99C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22.1 开标后，采购</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将立即组织评标委员会（以下简称评委会）进行评标。</w:t>
      </w:r>
    </w:p>
    <w:p w14:paraId="3E8E6E9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22.2 评委会由采购人代表和有关技术、经济等方面的专家组成，且人员构成符合政府采购有关规定。</w:t>
      </w:r>
    </w:p>
    <w:p w14:paraId="312CB41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22.3评委会独立工作，负责评审所有投标文件并确定中标</w:t>
      </w:r>
      <w:r>
        <w:rPr>
          <w:rFonts w:hint="eastAsia" w:ascii="宋体" w:hAnsi="宋体" w:eastAsia="宋体" w:cs="宋体"/>
          <w:color w:val="auto"/>
          <w:sz w:val="24"/>
          <w:highlight w:val="none"/>
          <w:lang w:eastAsia="zh-CN"/>
        </w:rPr>
        <w:t>候选人</w:t>
      </w:r>
      <w:r>
        <w:rPr>
          <w:rFonts w:hint="eastAsia" w:ascii="宋体" w:hAnsi="宋体" w:eastAsia="宋体" w:cs="宋体"/>
          <w:color w:val="auto"/>
          <w:sz w:val="24"/>
          <w:highlight w:val="none"/>
        </w:rPr>
        <w:t>。</w:t>
      </w:r>
    </w:p>
    <w:p w14:paraId="7104CD80">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23、评标过程的保密与公正</w:t>
      </w:r>
      <w:bookmarkEnd w:id="182"/>
      <w:bookmarkEnd w:id="183"/>
      <w:bookmarkEnd w:id="184"/>
    </w:p>
    <w:p w14:paraId="07F90CF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23.1凡是与审查、澄清、评价和比较投标的有关资料以及</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建议等，采购人、评委、采购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均不得向投标人或与评标无关的其他人员透露。</w:t>
      </w:r>
    </w:p>
    <w:p w14:paraId="1C26F5A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23.2在评标过程中，投标人不得以任何行为影响评标过程，否则其投标文件将被作为无效投标文件。</w:t>
      </w:r>
    </w:p>
    <w:p w14:paraId="4E2D663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23.3 采购</w:t>
      </w:r>
      <w:r>
        <w:rPr>
          <w:rFonts w:hint="eastAsia" w:ascii="宋体" w:hAnsi="宋体" w:eastAsia="宋体" w:cs="宋体"/>
          <w:color w:val="auto"/>
          <w:sz w:val="24"/>
          <w:highlight w:val="none"/>
          <w:lang w:val="en-US" w:eastAsia="zh-CN"/>
        </w:rPr>
        <w:t>人、采购代理机构</w:t>
      </w:r>
      <w:r>
        <w:rPr>
          <w:rFonts w:hint="eastAsia" w:ascii="宋体" w:hAnsi="宋体" w:eastAsia="宋体" w:cs="宋体"/>
          <w:color w:val="auto"/>
          <w:sz w:val="24"/>
          <w:highlight w:val="none"/>
        </w:rPr>
        <w:t>和评标委员会不向未中标的投标人解释未中标原因，也不公布评标过程中的相关细节。</w:t>
      </w:r>
    </w:p>
    <w:p w14:paraId="4A8C664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23.4 采用综合评分法的项目，未中标的投标人可于中标结果公告期限届满之日起通过苏采云系统查看自己的评审得分及排序情况。</w:t>
      </w:r>
    </w:p>
    <w:p w14:paraId="616F3D67">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85" w:name="_Toc513029232"/>
      <w:bookmarkStart w:id="186" w:name="_Toc20823304"/>
      <w:bookmarkStart w:id="187" w:name="_Toc16938548"/>
      <w:r>
        <w:rPr>
          <w:rFonts w:hint="eastAsia" w:ascii="宋体" w:hAnsi="宋体" w:eastAsia="宋体" w:cs="宋体"/>
          <w:b w:val="0"/>
          <w:bCs w:val="0"/>
          <w:color w:val="auto"/>
          <w:highlight w:val="none"/>
        </w:rPr>
        <w:t>24、投标文件的澄清</w:t>
      </w:r>
      <w:bookmarkEnd w:id="185"/>
      <w:bookmarkEnd w:id="186"/>
      <w:bookmarkEnd w:id="187"/>
    </w:p>
    <w:p w14:paraId="3F2D10C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24.1评标期间，评委会对投标文件中含义不明确、同类问题表述不一致或者有明显文字和计算错误的内容 ，有权要求投标人作出必要的澄清、说明或者补正。</w:t>
      </w:r>
    </w:p>
    <w:p w14:paraId="38E6EAF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投标人的澄清、说明或者补正不得超出投标文件的范围或者改变投标文件的实质性内容。</w:t>
      </w:r>
    </w:p>
    <w:p w14:paraId="4C9977F8">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评标委员会并非对每个投标人都做澄清要求。</w:t>
      </w:r>
    </w:p>
    <w:p w14:paraId="51D653E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24.2需要供应商进行澄清、说明和补正的，评委会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706DEAA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24.3 接到评委会澄清、说明和补正要求的投标人如未按规定做出澄清、说明和补正，其风险由投标人自行承担。</w:t>
      </w:r>
    </w:p>
    <w:p w14:paraId="022BBCAD">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bookmarkStart w:id="188" w:name="_Toc16938549"/>
      <w:bookmarkStart w:id="189" w:name="_Toc513029233"/>
      <w:bookmarkStart w:id="190" w:name="_Toc20823305"/>
      <w:r>
        <w:rPr>
          <w:rFonts w:hint="eastAsia" w:ascii="宋体" w:hAnsi="宋体" w:eastAsia="宋体" w:cs="宋体"/>
          <w:b w:val="0"/>
          <w:bCs w:val="0"/>
          <w:color w:val="auto"/>
          <w:highlight w:val="none"/>
        </w:rPr>
        <w:t>25、对投标文件的初审</w:t>
      </w:r>
      <w:bookmarkEnd w:id="188"/>
      <w:bookmarkEnd w:id="189"/>
      <w:bookmarkEnd w:id="190"/>
    </w:p>
    <w:p w14:paraId="1941DB59">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25.1投标文件初审分为资格审查和符合性审查。</w:t>
      </w:r>
    </w:p>
    <w:p w14:paraId="7E391D1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25.1.1 资格审查：依据法律法规和招标文件的规定，由采购人对投标文件中的资格证明文件进行审查。资格审查的结论，采购人以书面形式向评委会进行反馈。</w:t>
      </w:r>
    </w:p>
    <w:p w14:paraId="3DA42708">
      <w:pPr>
        <w:keepNext w:val="0"/>
        <w:keepLines w:val="0"/>
        <w:pageBreakBefore w:val="0"/>
        <w:widowControl w:val="0"/>
        <w:spacing w:line="52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采购人在进行资格性审查的同时，将在“信用中国”网站（www.creditchina.gov.cn）查询投标人的信用记录，以确定投标人是否具备投标资格,查询结果留存并归档。</w:t>
      </w:r>
    </w:p>
    <w:p w14:paraId="46C7C37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接受联合体的项目，两个以上的自然人、法人或者其他组织组成一个联合体，以一个供应商的身份共同参加政府采购活动的,联合体成员存在不良信用记录的，视同联合体存在不良应用记录。</w:t>
      </w:r>
    </w:p>
    <w:p w14:paraId="36D070C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25.1.2 符合性审查：依据招标文件的规定，由评委会从投标文件的有效性、完整性和对招标文件的响应程度进行审查，以确定是否对招标文件的实质性要求作出响应。</w:t>
      </w:r>
    </w:p>
    <w:p w14:paraId="7FA6C24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25.1.3 未通过资格审查或符合性审查的投标人，采购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将在苏采云系统中告知未通过资格审查或符合性审查的原因，评标结束后，采购</w:t>
      </w:r>
      <w:r>
        <w:rPr>
          <w:rFonts w:hint="eastAsia" w:ascii="宋体" w:hAnsi="宋体" w:eastAsia="宋体" w:cs="宋体"/>
          <w:color w:val="auto"/>
          <w:sz w:val="24"/>
          <w:highlight w:val="none"/>
          <w:lang w:val="en-US" w:eastAsia="zh-CN"/>
        </w:rPr>
        <w:t>人或采购代理机构</w:t>
      </w:r>
      <w:r>
        <w:rPr>
          <w:rFonts w:hint="eastAsia" w:ascii="宋体" w:hAnsi="宋体" w:eastAsia="宋体" w:cs="宋体"/>
          <w:color w:val="auto"/>
          <w:sz w:val="24"/>
          <w:highlight w:val="none"/>
        </w:rPr>
        <w:t>将不再告知未通过资格审查和符合性审查的原因。</w:t>
      </w:r>
    </w:p>
    <w:p w14:paraId="0D6DEB4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25.2在详细评标之前，评委会将首先审查每份投标文件是否实质性响应了招标文件的要求。实质性响应的投标应该是与招标文件要求的全部条款、条件和规格相符，没有重大偏离或保留的投标。</w:t>
      </w:r>
    </w:p>
    <w:p w14:paraId="5295ADC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所谓重大偏离或保留是指与招标文件规定的实质性要求存在负偏离，或者在实质上与招标文件不一致，而且限制了合同中买方和</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highlight w:val="none"/>
        </w:rPr>
        <w:t>的权利或投标人的义务，纠正这些偏离或保留将会对其他实质性响应要求的投标人的竞争地位产生不公正的影响。重大偏离的认定需经过评委会以少数服从多数的原则作出结论。评委决定投标文件的响应性只根据投标文件本身的内容，而不寻求外部的证据。</w:t>
      </w:r>
    </w:p>
    <w:p w14:paraId="2BF1C0F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25.3如果投标文件实质上没有响应招标文件的要求，评委会将予以拒绝，投标人不得通过修改或撤销不合要求的偏离或保留而使其投标成为实质性响应的投标。</w:t>
      </w:r>
    </w:p>
    <w:p w14:paraId="52918F0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25.4评委会将对确定为实质性响应的投标进行进一步审核，确定其是否有计算上或累加上的算术错误，修正错误的原则如下：</w:t>
      </w:r>
    </w:p>
    <w:p w14:paraId="3DA4316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（1）投标文件中开标一览表内容与投标文件中相应内容不一致的，以开标一览表为准。</w:t>
      </w:r>
    </w:p>
    <w:p w14:paraId="05ABFE4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14:paraId="1597C0D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（3）单价金额小数点或者百分比有明显错位的，以开标一览表的总价为准，并修改单价。</w:t>
      </w:r>
    </w:p>
    <w:p w14:paraId="1C303FD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（4）总价金额与按单价汇总金额不一致的，以单价金额计算结果为准。</w:t>
      </w:r>
    </w:p>
    <w:p w14:paraId="0B0523D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同时出现两种以上错误的，按照前款规定的顺序修正。</w:t>
      </w:r>
    </w:p>
    <w:p w14:paraId="568B8C08">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25.5 评委会将按上述修正错误的方法调整投标文件中的投标报价，并通过苏采云系统告知投标人，调整后的价格应对投标人具有约束力。如果投标人不接受修正后的价格，则其投标将被拒绝。</w:t>
      </w:r>
    </w:p>
    <w:p w14:paraId="2625950A">
      <w:pPr>
        <w:keepNext w:val="0"/>
        <w:keepLines w:val="0"/>
        <w:pageBreakBefore w:val="0"/>
        <w:widowControl w:val="0"/>
        <w:spacing w:line="520" w:lineRule="exact"/>
        <w:ind w:firstLine="480"/>
        <w:rPr>
          <w:rFonts w:hint="eastAsia" w:ascii="宋体" w:hAnsi="宋体" w:eastAsia="宋体" w:cs="宋体"/>
          <w:color w:val="auto"/>
          <w:sz w:val="24"/>
          <w:highlight w:val="none"/>
        </w:rPr>
      </w:pPr>
      <w:bookmarkStart w:id="191" w:name="_Toc16938550"/>
      <w:bookmarkStart w:id="192" w:name="_Toc513029234"/>
      <w:bookmarkStart w:id="193" w:name="_Toc20823306"/>
      <w:r>
        <w:rPr>
          <w:rFonts w:hint="eastAsia" w:ascii="宋体" w:hAnsi="宋体" w:eastAsia="宋体" w:cs="宋体"/>
          <w:color w:val="auto"/>
          <w:sz w:val="24"/>
          <w:highlight w:val="none"/>
        </w:rPr>
        <w:t>25.6投标人在开、评标全过程中应保持通讯畅通，及时登录苏采云系统查阅、答复相关信息，并安排专人与采购</w:t>
      </w:r>
      <w:r>
        <w:rPr>
          <w:rFonts w:hint="eastAsia" w:ascii="宋体" w:hAnsi="宋体" w:eastAsia="宋体" w:cs="宋体"/>
          <w:color w:val="auto"/>
          <w:sz w:val="24"/>
          <w:highlight w:val="none"/>
          <w:lang w:val="en-US" w:eastAsia="zh-CN"/>
        </w:rPr>
        <w:t>人、采购代理机构</w:t>
      </w:r>
      <w:r>
        <w:rPr>
          <w:rFonts w:hint="eastAsia" w:ascii="宋体" w:hAnsi="宋体" w:eastAsia="宋体" w:cs="宋体"/>
          <w:color w:val="auto"/>
          <w:sz w:val="24"/>
          <w:highlight w:val="none"/>
        </w:rPr>
        <w:t>及评标委员会联系。</w:t>
      </w:r>
    </w:p>
    <w:p w14:paraId="5D8791AD">
      <w:pPr>
        <w:pStyle w:val="196"/>
        <w:pageBreakBefore w:val="0"/>
        <w:widowControl w:val="0"/>
        <w:spacing w:before="0" w:after="0" w:line="520" w:lineRule="exact"/>
        <w:ind w:firstLine="42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26、</w:t>
      </w:r>
      <w:bookmarkEnd w:id="191"/>
      <w:bookmarkEnd w:id="192"/>
      <w:bookmarkEnd w:id="193"/>
      <w:r>
        <w:rPr>
          <w:rFonts w:hint="eastAsia" w:ascii="宋体" w:hAnsi="宋体" w:eastAsia="宋体" w:cs="宋体"/>
          <w:b w:val="0"/>
          <w:bCs w:val="0"/>
          <w:color w:val="auto"/>
          <w:highlight w:val="none"/>
        </w:rPr>
        <w:t>无效投标条款和废标条款</w:t>
      </w:r>
    </w:p>
    <w:p w14:paraId="7A290E38">
      <w:pPr>
        <w:keepNext w:val="0"/>
        <w:keepLines w:val="0"/>
        <w:pageBreakBefore w:val="0"/>
        <w:widowControl w:val="0"/>
        <w:spacing w:line="520" w:lineRule="exact"/>
        <w:ind w:firstLine="480"/>
        <w:rPr>
          <w:rFonts w:hint="eastAsia" w:ascii="宋体" w:hAnsi="宋体" w:eastAsia="宋体" w:cs="宋体"/>
          <w:color w:val="auto"/>
          <w:sz w:val="24"/>
          <w:highlight w:val="none"/>
        </w:rPr>
      </w:pPr>
      <w:bookmarkStart w:id="194" w:name="_Toc513029235"/>
      <w:bookmarkStart w:id="195" w:name="_Toc16938551"/>
      <w:bookmarkStart w:id="196" w:name="_Toc20823307"/>
      <w:r>
        <w:rPr>
          <w:rFonts w:hint="eastAsia" w:ascii="宋体" w:hAnsi="宋体" w:eastAsia="宋体" w:cs="宋体"/>
          <w:color w:val="auto"/>
          <w:sz w:val="24"/>
          <w:highlight w:val="none"/>
        </w:rPr>
        <w:t>26.1无效投标条款</w:t>
      </w:r>
    </w:p>
    <w:p w14:paraId="4B9DB5B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26.1.1 投标人在苏采云系统规定的时间内未成功解密电子投标文件的。</w:t>
      </w:r>
    </w:p>
    <w:p w14:paraId="748710E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26.1.2 投标人未按照招标文件要求上传电子投标文件的。</w:t>
      </w:r>
    </w:p>
    <w:p w14:paraId="6235E99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26.1.3同一投标人提交两个（含两个）以上不同的投标报价的。</w:t>
      </w:r>
    </w:p>
    <w:p w14:paraId="16324E1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26.1.4投标人不具备招标文件中规定资格要求的。</w:t>
      </w:r>
    </w:p>
    <w:p w14:paraId="5107D45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26.1.5投标人的报价超过了采购预算或最高限价的。</w:t>
      </w:r>
    </w:p>
    <w:p w14:paraId="76A4025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26.1.6未通过符合性审查的。</w:t>
      </w:r>
    </w:p>
    <w:p w14:paraId="673DCD0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26.1.7不符合招标文件中规定的实质性要求和条件的。</w:t>
      </w:r>
      <w:r>
        <w:rPr>
          <w:rFonts w:hint="eastAsia" w:ascii="宋体" w:hAnsi="宋体"/>
          <w:bCs/>
          <w:sz w:val="24"/>
        </w:rPr>
        <w:t>（</w:t>
      </w:r>
      <w:r>
        <w:rPr>
          <w:rFonts w:hint="eastAsia" w:ascii="宋体" w:hAnsi="宋体"/>
          <w:bCs/>
          <w:i/>
          <w:sz w:val="24"/>
          <w:u w:val="single"/>
        </w:rPr>
        <w:t>本招标文件中斜体且有下划线部分为实质性要求和条件）。</w:t>
      </w:r>
    </w:p>
    <w:p w14:paraId="55204D6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49C897F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26.1.9 投标文件含有采购人不能接受的附加条件的。</w:t>
      </w:r>
    </w:p>
    <w:p w14:paraId="232B984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26.1.10评标委员会认为投标人的报价明显低于其他通过符合性审</w:t>
      </w:r>
      <w:r>
        <w:rPr>
          <w:rFonts w:hint="eastAsia" w:ascii="宋体" w:hAnsi="宋体" w:eastAsia="宋体" w:cs="宋体"/>
          <w:color w:val="auto"/>
          <w:sz w:val="24"/>
          <w:highlight w:val="none"/>
          <w:lang w:eastAsia="zh-CN"/>
        </w:rPr>
        <w:t>查的</w:t>
      </w:r>
      <w:r>
        <w:rPr>
          <w:rFonts w:hint="eastAsia" w:ascii="宋体" w:hAnsi="宋体" w:eastAsia="宋体" w:cs="宋体"/>
          <w:color w:val="auto"/>
          <w:sz w:val="24"/>
          <w:highlight w:val="none"/>
        </w:rPr>
        <w:t>投标人的报价，有可能影响产品质量或者不能诚信履约的，将通过苏采云系统要求其在合理的时间内提供说明，必要时提交相关证明材料；投标人不能证明其报价合理性的，评标委员会应当将其作为无效投标处理。</w:t>
      </w:r>
    </w:p>
    <w:p w14:paraId="5F1C4FF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26.1.11 投标文件未按照招标文件要求加盖CA电子公章的。</w:t>
      </w:r>
    </w:p>
    <w:p w14:paraId="07D4592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26.1.12其他法律、法规及本招标文件规定的属无效投标的情形。</w:t>
      </w:r>
    </w:p>
    <w:p w14:paraId="532505F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26.2废标条款</w:t>
      </w:r>
    </w:p>
    <w:p w14:paraId="2C63C9D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26.2.1符合专业条件的供应商或者对招标文件作实质响应的供应商不足三家的。26.2.2出现影响采购公正的违法、违规行为的。</w:t>
      </w:r>
    </w:p>
    <w:p w14:paraId="09A9B57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26.2.3因重大变故，采购任务取消的。</w:t>
      </w:r>
    </w:p>
    <w:p w14:paraId="7D0AF61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26.2.4评标委员会认定招标文件存在歧义、重大缺陷导致评审工作无法进行。</w:t>
      </w:r>
    </w:p>
    <w:p w14:paraId="56957CCA">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26.2.5 因苏采云</w:t>
      </w:r>
      <w:r>
        <w:rPr>
          <w:rFonts w:hint="eastAsia" w:ascii="宋体" w:hAnsi="宋体" w:eastAsia="宋体" w:cs="宋体"/>
          <w:color w:val="auto"/>
          <w:sz w:val="24"/>
          <w:highlight w:val="none"/>
          <w:lang w:eastAsia="zh-CN"/>
        </w:rPr>
        <w:t>系统故障</w:t>
      </w:r>
      <w:r>
        <w:rPr>
          <w:rFonts w:hint="eastAsia" w:ascii="宋体" w:hAnsi="宋体" w:eastAsia="宋体" w:cs="宋体"/>
          <w:color w:val="auto"/>
          <w:sz w:val="24"/>
          <w:highlight w:val="none"/>
        </w:rPr>
        <w:t>原因造成开标不成功的。</w:t>
      </w:r>
    </w:p>
    <w:p w14:paraId="76A43C9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26.3 投标截止时间结束后参加投标的供应商不足三家的处理：</w:t>
      </w:r>
    </w:p>
    <w:p w14:paraId="0C9E95A7">
      <w:pPr>
        <w:keepNext w:val="0"/>
        <w:keepLines w:val="0"/>
        <w:pageBreakBefore w:val="0"/>
        <w:widowControl w:val="0"/>
        <w:spacing w:line="520" w:lineRule="exact"/>
        <w:ind w:firstLine="480"/>
        <w:rPr>
          <w:rFonts w:hint="eastAsia" w:ascii="宋体" w:hAnsi="宋体" w:eastAsia="宋体" w:cs="宋体"/>
          <w:bCs/>
          <w:color w:val="auto"/>
          <w:sz w:val="24"/>
          <w:highlight w:val="none"/>
        </w:rPr>
      </w:pPr>
      <w:r>
        <w:rPr>
          <w:rFonts w:hint="eastAsia" w:ascii="宋体" w:hAnsi="宋体" w:eastAsia="宋体" w:cs="宋体"/>
          <w:color w:val="auto"/>
          <w:sz w:val="24"/>
          <w:highlight w:val="none"/>
        </w:rPr>
        <w:t>26.3.1如出现投标截止时间结束后参加投标的供应商或者在评标期间对招标文件做出实质响应的供应商不足三家情况，按政府采购相关规定执行。</w:t>
      </w:r>
    </w:p>
    <w:p w14:paraId="54AB63CD">
      <w:pPr>
        <w:pStyle w:val="194"/>
        <w:pageBreakBefore w:val="0"/>
        <w:widowControl w:val="0"/>
        <w:spacing w:before="145" w:after="145" w:line="520" w:lineRule="exact"/>
        <w:ind w:firstLine="482"/>
        <w:rPr>
          <w:rFonts w:hint="eastAsia" w:ascii="宋体" w:hAnsi="宋体" w:eastAsia="宋体" w:cs="宋体"/>
          <w:color w:val="auto"/>
          <w:highlight w:val="none"/>
        </w:rPr>
      </w:pPr>
      <w:bookmarkStart w:id="197" w:name="_Toc3443"/>
      <w:bookmarkStart w:id="198" w:name="_Toc120614219"/>
      <w:bookmarkStart w:id="199" w:name="_Toc31095"/>
      <w:r>
        <w:rPr>
          <w:rFonts w:hint="eastAsia" w:ascii="宋体" w:hAnsi="宋体" w:eastAsia="宋体" w:cs="宋体"/>
          <w:color w:val="auto"/>
          <w:highlight w:val="none"/>
        </w:rPr>
        <w:t>六、</w:t>
      </w:r>
      <w:bookmarkEnd w:id="194"/>
      <w:bookmarkEnd w:id="195"/>
      <w:bookmarkEnd w:id="196"/>
      <w:r>
        <w:rPr>
          <w:rFonts w:hint="eastAsia" w:ascii="宋体" w:hAnsi="宋体" w:eastAsia="宋体" w:cs="宋体"/>
          <w:color w:val="auto"/>
          <w:highlight w:val="none"/>
        </w:rPr>
        <w:t>定标</w:t>
      </w:r>
      <w:bookmarkEnd w:id="197"/>
      <w:bookmarkEnd w:id="198"/>
      <w:bookmarkEnd w:id="199"/>
    </w:p>
    <w:p w14:paraId="1FD9BBA3">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bookmarkStart w:id="200" w:name="_Toc513029238"/>
      <w:bookmarkStart w:id="201" w:name="_Toc20823310"/>
      <w:bookmarkStart w:id="202" w:name="_Toc16938554"/>
      <w:r>
        <w:rPr>
          <w:rFonts w:hint="eastAsia" w:ascii="宋体" w:hAnsi="宋体" w:eastAsia="宋体" w:cs="宋体"/>
          <w:b w:val="0"/>
          <w:color w:val="auto"/>
          <w:sz w:val="30"/>
          <w:szCs w:val="30"/>
          <w:highlight w:val="none"/>
        </w:rPr>
        <w:t>27、</w:t>
      </w:r>
      <w:bookmarkEnd w:id="200"/>
      <w:r>
        <w:rPr>
          <w:rFonts w:hint="eastAsia" w:ascii="宋体" w:hAnsi="宋体" w:eastAsia="宋体" w:cs="宋体"/>
          <w:b w:val="0"/>
          <w:color w:val="auto"/>
          <w:sz w:val="30"/>
          <w:szCs w:val="30"/>
          <w:highlight w:val="none"/>
        </w:rPr>
        <w:t>确定</w:t>
      </w:r>
      <w:bookmarkEnd w:id="201"/>
      <w:bookmarkEnd w:id="202"/>
      <w:r>
        <w:rPr>
          <w:rFonts w:hint="eastAsia" w:ascii="宋体" w:hAnsi="宋体" w:eastAsia="宋体" w:cs="宋体"/>
          <w:b w:val="0"/>
          <w:color w:val="auto"/>
          <w:sz w:val="30"/>
          <w:szCs w:val="30"/>
          <w:highlight w:val="none"/>
        </w:rPr>
        <w:t>中标单位</w:t>
      </w:r>
    </w:p>
    <w:p w14:paraId="2654D5E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Times New Roman"/>
          <w:color w:val="auto"/>
          <w:sz w:val="24"/>
          <w:szCs w:val="24"/>
          <w:highlight w:val="none"/>
        </w:rPr>
        <w:t>评标委员会按照评审得分由高到低顺序推荐3名中标候选人。</w:t>
      </w:r>
      <w:r>
        <w:rPr>
          <w:rFonts w:hint="eastAsia" w:ascii="宋体" w:hAnsi="宋体" w:eastAsia="宋体" w:cs="宋体"/>
          <w:color w:val="auto"/>
          <w:sz w:val="24"/>
          <w:highlight w:val="none"/>
        </w:rPr>
        <w:t xml:space="preserve"> </w:t>
      </w:r>
    </w:p>
    <w:p w14:paraId="6E999046">
      <w:pPr>
        <w:keepNext w:val="0"/>
        <w:keepLines w:val="0"/>
        <w:pageBreakBefore w:val="0"/>
        <w:widowControl w:val="0"/>
        <w:spacing w:line="520" w:lineRule="exact"/>
        <w:ind w:firstLine="480"/>
        <w:rPr>
          <w:rFonts w:hint="eastAsia" w:ascii="宋体" w:hAnsi="宋体" w:eastAsia="宋体" w:cs="Times New Roman"/>
          <w:color w:val="auto"/>
          <w:sz w:val="24"/>
          <w:szCs w:val="24"/>
          <w:highlight w:val="none"/>
        </w:rPr>
      </w:pPr>
      <w:r>
        <w:rPr>
          <w:rFonts w:hint="eastAsia" w:ascii="宋体" w:hAnsi="宋体" w:eastAsia="宋体" w:cs="宋体"/>
          <w:color w:val="auto"/>
          <w:sz w:val="24"/>
          <w:highlight w:val="none"/>
        </w:rPr>
        <w:t xml:space="preserve">27.2 </w:t>
      </w:r>
      <w:r>
        <w:rPr>
          <w:rFonts w:hint="eastAsia" w:ascii="宋体" w:hAnsi="宋体" w:eastAsia="宋体" w:cs="Times New Roman"/>
          <w:color w:val="auto"/>
          <w:sz w:val="24"/>
          <w:szCs w:val="24"/>
          <w:highlight w:val="none"/>
        </w:rPr>
        <w:t>根据采购人的授权，由评标委员会直接确定排名第一的中标候选人为中标人。</w:t>
      </w:r>
    </w:p>
    <w:p w14:paraId="67B5C7A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val="en-US" w:eastAsia="zh-CN"/>
        </w:rPr>
        <w:t>采购人或</w:t>
      </w: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将在“江苏政府采购网”发布中标公告，公告期限为1个工作日。</w:t>
      </w:r>
    </w:p>
    <w:p w14:paraId="59D72EB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  若有充分证据证明，中标人出现下列情况之一的，一经查实，将被取消中标资格：</w:t>
      </w:r>
    </w:p>
    <w:p w14:paraId="78C5F1F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27.4.1提供虚假材料谋取中标的。</w:t>
      </w:r>
    </w:p>
    <w:p w14:paraId="6DE0412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27.4.2向采购人、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行贿或者提供其他不正当利益的。</w:t>
      </w:r>
    </w:p>
    <w:p w14:paraId="4104520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27.4.3属于本文件规定的无效条件，但在评标过程中又未被评委会发现的。</w:t>
      </w:r>
    </w:p>
    <w:p w14:paraId="26C85B2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27.4.4与采购人或者其他供应商恶意串通的。</w:t>
      </w:r>
    </w:p>
    <w:p w14:paraId="6BE8F3A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27.4.5采取不正当手段诋毁、排挤其他供应商的。</w:t>
      </w:r>
    </w:p>
    <w:p w14:paraId="4922507B">
      <w:pPr>
        <w:keepNext w:val="0"/>
        <w:keepLines w:val="0"/>
        <w:pageBreakBefore w:val="0"/>
        <w:widowControl w:val="0"/>
        <w:spacing w:line="520" w:lineRule="exact"/>
        <w:ind w:firstLine="480"/>
        <w:rPr>
          <w:rFonts w:hint="eastAsia" w:ascii="宋体" w:hAnsi="宋体" w:eastAsia="宋体" w:cs="宋体"/>
          <w:color w:val="auto"/>
          <w:sz w:val="24"/>
          <w:highlight w:val="none"/>
        </w:rPr>
      </w:pPr>
      <w:bookmarkStart w:id="203" w:name="_Toc200451960"/>
      <w:r>
        <w:rPr>
          <w:rFonts w:hint="eastAsia" w:ascii="宋体" w:hAnsi="宋体" w:eastAsia="宋体" w:cs="宋体"/>
          <w:color w:val="auto"/>
          <w:sz w:val="24"/>
          <w:highlight w:val="none"/>
        </w:rPr>
        <w:t>27.5 有下列情形之一的，视为投标人串通投标，投标无效：</w:t>
      </w:r>
    </w:p>
    <w:p w14:paraId="65CEF5F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27.5.1不同投标人的投标文件由同一单位或者个人编制。</w:t>
      </w:r>
    </w:p>
    <w:p w14:paraId="3A33133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27.5.2不同投标人委托同一单位或者个人办理投标事宜。</w:t>
      </w:r>
    </w:p>
    <w:p w14:paraId="25D8E74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27.5.3 不同投标人的投标文件载明的项目管理成员或者联系人员为同一人。</w:t>
      </w:r>
    </w:p>
    <w:p w14:paraId="696889BC">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27.5.4不同投标人的投标文件异常一致或者投标报价呈规律性差异。</w:t>
      </w:r>
    </w:p>
    <w:p w14:paraId="26C98120">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t>28、质疑处理</w:t>
      </w:r>
      <w:bookmarkEnd w:id="203"/>
    </w:p>
    <w:p w14:paraId="3216E65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28.1 提出质疑的供应商应当是参与所质疑项目采购活动的供应商。潜在供应商依法获取其可质疑的采购文件的，可以对采购文件提出质疑。</w:t>
      </w:r>
    </w:p>
    <w:p w14:paraId="0656AB8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28.2供应商认为采购文件、采购过程和采购结果使自己的权益受到损害的，可以在知道或应知其权益受到损害之日起七个工作日内，以书面形式根据下述28.4条款的规定向采购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或采购人提出质疑。上述应知其权益受到损害之日，是指：</w:t>
      </w:r>
    </w:p>
    <w:p w14:paraId="42D83071">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28.2.1对可以质疑的采购文件提出质疑的，为收到采购文件之日或者采购文件公告期限届满之日；</w:t>
      </w:r>
    </w:p>
    <w:p w14:paraId="2523AA3E">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28.2.2对采购过程提出质疑的，为各采购程序环节结束之日；</w:t>
      </w:r>
    </w:p>
    <w:p w14:paraId="05768639">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28.2.3对中标或者成交结果提出质疑的，为中标或者成交结果公告期限届满之日。</w:t>
      </w:r>
    </w:p>
    <w:p w14:paraId="20D797C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供应商应当在法定质疑期内一次性提出针对同一采购程序环节的质疑。供应商如在法定期限内对同一采购程序环节提出多次质疑的，采购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、采购人将只对供应商第一次质疑作出答复。</w:t>
      </w:r>
    </w:p>
    <w:p w14:paraId="63CBC3A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28.3质疑函必须按照本招标文件中《质疑函范本》要求的格式和内容进行填写。供应商如组成联合体参加投标，则《质疑函范本》中要求签字、盖章、加盖公章之处，联合体各方均须按要求签字、盖章、加盖公章。</w:t>
      </w:r>
    </w:p>
    <w:p w14:paraId="45831645">
      <w:pPr>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28.4供应商（含潜在供应商）对采购方式、招标文件中采购需求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合同文本及资格审查结果的询问、质疑请向采购人提出，由采购人负责答复。供应商对供应商资格条件、评标方法和评标标准的询问、质疑请向采购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提出，由采购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负责答复。</w:t>
      </w:r>
    </w:p>
    <w:p w14:paraId="1A5550F8">
      <w:pPr>
        <w:pageBreakBefore w:val="0"/>
        <w:widowControl w:val="0"/>
        <w:spacing w:line="520" w:lineRule="exact"/>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采购人及采购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只接收以纸质原件形式送达的质疑</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可以</w:t>
      </w:r>
      <w:r>
        <w:rPr>
          <w:rFonts w:hint="eastAsia" w:ascii="宋体" w:hAnsi="宋体" w:eastAsia="宋体" w:cs="宋体"/>
          <w:color w:val="auto"/>
          <w:sz w:val="24"/>
          <w:highlight w:val="none"/>
          <w:lang w:eastAsia="zh-CN"/>
        </w:rPr>
        <w:t>通过</w:t>
      </w:r>
      <w:r>
        <w:rPr>
          <w:rFonts w:hint="eastAsia" w:ascii="宋体" w:hAnsi="宋体" w:eastAsia="宋体" w:cs="宋体"/>
          <w:color w:val="auto"/>
          <w:sz w:val="24"/>
          <w:highlight w:val="none"/>
          <w:lang w:val="en-US" w:eastAsia="zh-CN"/>
        </w:rPr>
        <w:t>现场递交或</w:t>
      </w:r>
      <w:r>
        <w:rPr>
          <w:rFonts w:hint="eastAsia" w:ascii="宋体" w:hAnsi="宋体" w:eastAsia="宋体" w:cs="宋体"/>
          <w:color w:val="auto"/>
          <w:sz w:val="24"/>
          <w:highlight w:val="none"/>
          <w:lang w:eastAsia="zh-CN"/>
        </w:rPr>
        <w:t>邮寄方式提交质疑</w:t>
      </w:r>
      <w:r>
        <w:rPr>
          <w:rFonts w:hint="eastAsia" w:ascii="宋体" w:hAnsi="宋体" w:eastAsia="宋体" w:cs="宋体"/>
          <w:color w:val="auto"/>
          <w:sz w:val="24"/>
          <w:highlight w:val="none"/>
        </w:rPr>
        <w:t>。</w:t>
      </w:r>
    </w:p>
    <w:p w14:paraId="4D340B02">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val="en-US" w:eastAsia="zh-CN"/>
        </w:rPr>
        <w:t>代理机构</w:t>
      </w:r>
      <w:r>
        <w:rPr>
          <w:rFonts w:hint="eastAsia" w:ascii="宋体" w:hAnsi="宋体" w:eastAsia="宋体" w:cs="宋体"/>
          <w:color w:val="auto"/>
          <w:sz w:val="24"/>
          <w:highlight w:val="none"/>
        </w:rPr>
        <w:t>质疑接收部门为</w:t>
      </w:r>
      <w:r>
        <w:rPr>
          <w:rFonts w:hint="eastAsia" w:ascii="宋体" w:hAnsi="宋体" w:cs="宋体"/>
          <w:b/>
          <w:bCs/>
          <w:color w:val="auto"/>
          <w:sz w:val="24"/>
          <w:highlight w:val="none"/>
          <w:lang w:val="en-US" w:eastAsia="zh-CN"/>
        </w:rPr>
        <w:t>连云港铭康工程咨询限公司</w:t>
      </w:r>
      <w:r>
        <w:rPr>
          <w:rFonts w:hint="eastAsia" w:ascii="宋体" w:hAnsi="宋体" w:eastAsia="宋体" w:cs="宋体"/>
          <w:b/>
          <w:bCs/>
          <w:color w:val="auto"/>
          <w:sz w:val="24"/>
          <w:highlight w:val="none"/>
          <w:lang w:val="en-US" w:eastAsia="zh-CN"/>
        </w:rPr>
        <w:t>招标代理部</w:t>
      </w:r>
      <w:r>
        <w:rPr>
          <w:rFonts w:hint="eastAsia" w:ascii="宋体" w:hAnsi="宋体" w:eastAsia="宋体" w:cs="宋体"/>
          <w:b/>
          <w:bCs/>
          <w:color w:val="auto"/>
          <w:sz w:val="24"/>
          <w:highlight w:val="none"/>
        </w:rPr>
        <w:t>，联系地址：</w:t>
      </w:r>
      <w:r>
        <w:rPr>
          <w:rFonts w:hint="eastAsia" w:ascii="宋体" w:hAnsi="宋体" w:cs="宋体"/>
          <w:b/>
          <w:bCs/>
          <w:color w:val="auto"/>
          <w:sz w:val="24"/>
          <w:highlight w:val="none"/>
          <w:lang w:eastAsia="zh-CN"/>
        </w:rPr>
        <w:t>东海县秀水商业街20号楼</w:t>
      </w:r>
      <w:r>
        <w:rPr>
          <w:rFonts w:hint="eastAsia" w:ascii="宋体" w:hAnsi="宋体" w:eastAsia="宋体" w:cs="宋体"/>
          <w:b/>
          <w:bCs/>
          <w:color w:val="auto"/>
          <w:sz w:val="24"/>
          <w:highlight w:val="none"/>
        </w:rPr>
        <w:t>，联系电话：</w:t>
      </w:r>
      <w:r>
        <w:rPr>
          <w:rFonts w:hint="eastAsia" w:ascii="宋体" w:hAnsi="宋体" w:cs="宋体"/>
          <w:b/>
          <w:bCs/>
          <w:color w:val="auto"/>
          <w:sz w:val="24"/>
          <w:highlight w:val="none"/>
          <w:lang w:eastAsia="zh-CN"/>
        </w:rPr>
        <w:t>17305122797</w:t>
      </w:r>
      <w:r>
        <w:rPr>
          <w:rFonts w:hint="eastAsia" w:ascii="宋体" w:hAnsi="宋体" w:eastAsia="宋体" w:cs="宋体"/>
          <w:color w:val="auto"/>
          <w:sz w:val="24"/>
          <w:highlight w:val="none"/>
        </w:rPr>
        <w:t>。</w:t>
      </w:r>
    </w:p>
    <w:p w14:paraId="79EAB133">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采购人质疑接收人及联系方式见招标文件第一章。</w:t>
      </w:r>
    </w:p>
    <w:p w14:paraId="6162D4D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 以下情形的质疑不予受理</w:t>
      </w:r>
    </w:p>
    <w:p w14:paraId="5F21554C">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28.5.1 内容不符合《政府采购质疑和投诉办法》第十二条规定的质疑。</w:t>
      </w:r>
    </w:p>
    <w:p w14:paraId="231A7E4B">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28.5.2 超出政府采购法定期限的质疑。</w:t>
      </w:r>
    </w:p>
    <w:p w14:paraId="77528BB0">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28.5.3 以传真、电子邮件等方式递交的非原件形式的质疑。</w:t>
      </w:r>
    </w:p>
    <w:p w14:paraId="76B40FB6">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28.5.4 未参加投标活动的供应商或在投标活动中自身权益未受到损害的供应商所提出的质疑。</w:t>
      </w:r>
    </w:p>
    <w:p w14:paraId="3F6FD227">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28.5.5供应商组成联合体参加投标，联合体中任何一方或多方未按要求签字、盖章、加盖公章的质疑。</w:t>
      </w:r>
    </w:p>
    <w:p w14:paraId="073F1325">
      <w:pPr>
        <w:keepNext w:val="0"/>
        <w:keepLines w:val="0"/>
        <w:pageBreakBefore w:val="0"/>
        <w:widowControl w:val="0"/>
        <w:spacing w:line="5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28.6  供应商提出书面质疑必须有理、有据，不得捏造事实、提供虚假材料进行恶意质疑。否则，一经查实，采购</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有权依据政府采购的有关规定，报请政府采购监管部门对该供应商进行相应的行政处罚和记录该供应商的失信信息。</w:t>
      </w:r>
    </w:p>
    <w:p w14:paraId="2DD216C8">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t>29、中标通知书</w:t>
      </w:r>
    </w:p>
    <w:p w14:paraId="3186EC1C">
      <w:pPr>
        <w:pageBreakBefore w:val="0"/>
        <w:widowControl w:val="0"/>
        <w:spacing w:line="520" w:lineRule="exact"/>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29.l</w:t>
      </w: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中标结果确定后，采购代理机构将向中标人发出中标通知书。</w:t>
      </w:r>
      <w:r>
        <w:rPr>
          <w:rFonts w:hint="eastAsia" w:ascii="宋体" w:hAnsi="宋体" w:eastAsia="宋体" w:cs="宋体"/>
          <w:b/>
          <w:bCs/>
          <w:color w:val="auto"/>
          <w:sz w:val="24"/>
          <w:szCs w:val="24"/>
          <w:highlight w:val="none"/>
        </w:rPr>
        <w:t>中标供应商在领取中标通知书时，需提供</w:t>
      </w:r>
      <w:r>
        <w:rPr>
          <w:rFonts w:hint="eastAsia" w:ascii="宋体" w:hAnsi="宋体" w:eastAsia="宋体" w:cs="宋体"/>
          <w:b/>
          <w:bCs/>
          <w:color w:val="auto"/>
          <w:sz w:val="24"/>
          <w:szCs w:val="24"/>
          <w:highlight w:val="none"/>
          <w:lang w:val="en-US" w:eastAsia="zh-CN"/>
        </w:rPr>
        <w:t>一正三副</w:t>
      </w:r>
      <w:r>
        <w:rPr>
          <w:rFonts w:hint="eastAsia" w:ascii="宋体" w:hAnsi="宋体" w:eastAsia="宋体" w:cs="宋体"/>
          <w:b/>
          <w:bCs/>
          <w:color w:val="auto"/>
          <w:sz w:val="24"/>
          <w:szCs w:val="24"/>
          <w:highlight w:val="none"/>
        </w:rPr>
        <w:t>与电子投标文件一致的纸质打印投标文件，须封面、骑缝加盖公章</w:t>
      </w:r>
      <w:r>
        <w:rPr>
          <w:rFonts w:hint="eastAsia" w:ascii="宋体" w:hAnsi="宋体" w:eastAsia="宋体" w:cs="宋体"/>
          <w:b/>
          <w:bCs/>
          <w:color w:val="auto"/>
          <w:sz w:val="24"/>
          <w:szCs w:val="24"/>
          <w:highlight w:val="none"/>
          <w:lang w:eastAsia="zh-CN"/>
        </w:rPr>
        <w:t>。</w:t>
      </w:r>
    </w:p>
    <w:p w14:paraId="6DBC08F5">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29.2中标通知书将是合同的一个组成部分。对采购人和中标人均具有法律效力。中标通知书发出后，采购人改变中标结果的，或者中标人放弃中标项目的，应当依法承担法律责任。</w:t>
      </w:r>
    </w:p>
    <w:p w14:paraId="2139A9AA">
      <w:pPr>
        <w:pStyle w:val="194"/>
        <w:pageBreakBefore w:val="0"/>
        <w:widowControl w:val="0"/>
        <w:spacing w:before="145" w:after="145" w:line="520" w:lineRule="exact"/>
        <w:rPr>
          <w:rFonts w:hint="eastAsia" w:ascii="宋体" w:hAnsi="宋体" w:eastAsia="宋体" w:cs="宋体"/>
          <w:color w:val="auto"/>
          <w:highlight w:val="none"/>
        </w:rPr>
      </w:pPr>
      <w:bookmarkStart w:id="204" w:name="_Toc31566"/>
      <w:bookmarkStart w:id="205" w:name="_Toc20823308"/>
      <w:bookmarkStart w:id="206" w:name="_Toc12848"/>
      <w:bookmarkStart w:id="207" w:name="_Toc120614220"/>
      <w:bookmarkStart w:id="208" w:name="_Toc513029236"/>
      <w:bookmarkStart w:id="209" w:name="_Toc16938552"/>
      <w:r>
        <w:rPr>
          <w:rFonts w:hint="eastAsia" w:ascii="宋体" w:hAnsi="宋体" w:eastAsia="宋体" w:cs="宋体"/>
          <w:color w:val="auto"/>
          <w:highlight w:val="none"/>
        </w:rPr>
        <w:t>七、授予合同</w:t>
      </w:r>
      <w:bookmarkEnd w:id="204"/>
      <w:bookmarkEnd w:id="205"/>
      <w:bookmarkEnd w:id="206"/>
      <w:bookmarkEnd w:id="207"/>
      <w:bookmarkEnd w:id="208"/>
      <w:bookmarkEnd w:id="209"/>
    </w:p>
    <w:p w14:paraId="66527777">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bookmarkStart w:id="210" w:name="_Toc16938553"/>
      <w:bookmarkStart w:id="211" w:name="_Toc513029237"/>
      <w:bookmarkStart w:id="212" w:name="_Toc20823309"/>
      <w:r>
        <w:rPr>
          <w:rFonts w:hint="eastAsia" w:ascii="宋体" w:hAnsi="宋体" w:eastAsia="宋体" w:cs="宋体"/>
          <w:b w:val="0"/>
          <w:color w:val="auto"/>
          <w:sz w:val="30"/>
          <w:szCs w:val="30"/>
          <w:highlight w:val="none"/>
        </w:rPr>
        <w:t>30. 签订合同</w:t>
      </w:r>
    </w:p>
    <w:p w14:paraId="486669D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30.l中标人应当在中标通知书发出之日起三十日内，按照招标文件确定的事项与采购人签订政府采购合同。</w:t>
      </w:r>
    </w:p>
    <w:p w14:paraId="124CEF6F">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30.2 招标文件、中标人的投标文件及招标过程中有关澄清、承诺文件均应作为合同附件。</w:t>
      </w:r>
    </w:p>
    <w:p w14:paraId="73842C54">
      <w:pPr>
        <w:pageBreakBefore w:val="0"/>
        <w:widowControl w:val="0"/>
        <w:spacing w:line="520" w:lineRule="exact"/>
        <w:ind w:firstLine="6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30.3 签订合同后，</w:t>
      </w:r>
      <w:r>
        <w:rPr>
          <w:rFonts w:hint="eastAsia" w:ascii="宋体" w:hAnsi="宋体" w:eastAsia="宋体" w:cs="宋体"/>
          <w:b w:val="0"/>
          <w:bCs w:val="0"/>
          <w:i/>
          <w:iCs w:val="0"/>
          <w:color w:val="auto"/>
          <w:sz w:val="24"/>
          <w:szCs w:val="24"/>
          <w:highlight w:val="none"/>
          <w:u w:val="single"/>
        </w:rPr>
        <w:t>中标人不得将合同标的进行转包</w:t>
      </w:r>
      <w:r>
        <w:rPr>
          <w:rFonts w:hint="eastAsia" w:ascii="宋体" w:hAnsi="宋体" w:eastAsia="宋体" w:cs="宋体"/>
          <w:color w:val="auto"/>
          <w:sz w:val="24"/>
          <w:szCs w:val="24"/>
          <w:highlight w:val="none"/>
        </w:rPr>
        <w:t>。未经采购人同意，中标人</w:t>
      </w:r>
      <w:r>
        <w:rPr>
          <w:rFonts w:hint="eastAsia" w:ascii="宋体" w:hAnsi="宋体" w:eastAsia="宋体" w:cs="宋体"/>
          <w:color w:val="auto"/>
          <w:sz w:val="24"/>
          <w:highlight w:val="none"/>
        </w:rPr>
        <w:t>也不得采用分包的形式履行合同，否则采购人有权终止合同。转包或分包造成采购人损失的，中标人应承担相应赔偿责任。</w:t>
      </w:r>
    </w:p>
    <w:p w14:paraId="65DD2482">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t>31、服务（包含与服务相关的货物）的追加</w:t>
      </w:r>
    </w:p>
    <w:p w14:paraId="6797DDCD">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31.1政府采购合同履行中，采购人需追加与合同标的相同的服务（包含与服务相关的货物），在不改变合同其他条款的前提下，可以与中标人协商签订补充合同，但所有补充合同的采购金额不超过原合同金</w:t>
      </w:r>
      <w:r>
        <w:rPr>
          <w:rFonts w:hint="eastAsia" w:ascii="宋体" w:hAnsi="宋体" w:eastAsia="宋体" w:cs="宋体"/>
          <w:color w:val="auto"/>
          <w:sz w:val="24"/>
          <w:highlight w:val="none"/>
          <w:lang w:eastAsia="zh-CN"/>
        </w:rPr>
        <w:t>额的</w:t>
      </w:r>
      <w:r>
        <w:rPr>
          <w:rFonts w:hint="eastAsia" w:ascii="宋体" w:hAnsi="宋体" w:eastAsia="宋体" w:cs="宋体"/>
          <w:color w:val="auto"/>
          <w:sz w:val="24"/>
          <w:highlight w:val="none"/>
        </w:rPr>
        <w:t>10%。</w:t>
      </w:r>
      <w:bookmarkEnd w:id="210"/>
      <w:bookmarkEnd w:id="211"/>
      <w:bookmarkEnd w:id="212"/>
    </w:p>
    <w:p w14:paraId="5310CA75">
      <w:pPr>
        <w:pStyle w:val="196"/>
        <w:pageBreakBefore w:val="0"/>
        <w:widowControl w:val="0"/>
        <w:spacing w:before="0" w:after="0" w:line="520" w:lineRule="exact"/>
        <w:ind w:firstLine="600"/>
        <w:outlineLvl w:val="9"/>
        <w:rPr>
          <w:rFonts w:hint="eastAsia" w:ascii="宋体" w:hAnsi="宋体" w:eastAsia="宋体" w:cs="宋体"/>
          <w:b w:val="0"/>
          <w:color w:val="auto"/>
          <w:sz w:val="30"/>
          <w:szCs w:val="30"/>
          <w:highlight w:val="none"/>
        </w:rPr>
      </w:pPr>
      <w:bookmarkStart w:id="213" w:name="_Toc16938558"/>
      <w:bookmarkStart w:id="214" w:name="_Toc20823314"/>
      <w:bookmarkStart w:id="215" w:name="_Toc513029242"/>
      <w:bookmarkStart w:id="216" w:name="_Toc479757207"/>
      <w:bookmarkStart w:id="217" w:name="_Toc120614221"/>
      <w:r>
        <w:rPr>
          <w:rFonts w:hint="eastAsia" w:ascii="宋体" w:hAnsi="宋体" w:eastAsia="宋体" w:cs="宋体"/>
          <w:b w:val="0"/>
          <w:color w:val="auto"/>
          <w:sz w:val="30"/>
          <w:szCs w:val="30"/>
          <w:highlight w:val="none"/>
        </w:rPr>
        <w:t>32、政府采购履约资金扶持政策</w:t>
      </w:r>
    </w:p>
    <w:p w14:paraId="1F256FC4">
      <w:pPr>
        <w:keepNext w:val="0"/>
        <w:keepLines w:val="0"/>
        <w:pageBreakBefore w:val="0"/>
        <w:widowControl w:val="0"/>
        <w:spacing w:line="52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中标人可凭政府采购合同办理融资贷款，详情请见江苏政府采购网“政采贷”专栏。</w:t>
      </w:r>
    </w:p>
    <w:p w14:paraId="3DD107E9">
      <w:pPr>
        <w:keepNext/>
        <w:keepLines/>
        <w:pageBreakBefore w:val="0"/>
        <w:widowControl w:val="0"/>
        <w:numPr>
          <w:ilvl w:val="0"/>
          <w:numId w:val="6"/>
        </w:numPr>
        <w:spacing w:line="520" w:lineRule="exact"/>
        <w:ind w:left="0" w:right="0"/>
        <w:outlineLvl w:val="2"/>
        <w:rPr>
          <w:rFonts w:hint="eastAsia" w:ascii="宋体" w:hAnsi="宋体" w:eastAsia="宋体" w:cs="宋体"/>
          <w:b/>
          <w:bCs/>
          <w:color w:val="auto"/>
          <w:sz w:val="32"/>
          <w:szCs w:val="32"/>
          <w:highlight w:val="none"/>
          <w:lang w:val="en-US" w:eastAsia="zh-CN"/>
        </w:rPr>
      </w:pPr>
      <w:bookmarkStart w:id="218" w:name="_Toc23014"/>
      <w:bookmarkStart w:id="219" w:name="_Toc19843"/>
      <w:bookmarkStart w:id="220" w:name="_Toc27845"/>
      <w:r>
        <w:rPr>
          <w:rFonts w:hint="eastAsia" w:ascii="宋体" w:hAnsi="宋体" w:eastAsia="宋体" w:cs="宋体"/>
          <w:b/>
          <w:bCs/>
          <w:color w:val="auto"/>
          <w:sz w:val="32"/>
          <w:szCs w:val="32"/>
          <w:highlight w:val="none"/>
          <w:lang w:val="en-US" w:eastAsia="zh-CN"/>
        </w:rPr>
        <w:t>政策功能</w:t>
      </w:r>
      <w:bookmarkEnd w:id="218"/>
      <w:bookmarkEnd w:id="219"/>
      <w:bookmarkEnd w:id="220"/>
    </w:p>
    <w:p w14:paraId="5D07A259">
      <w:pPr>
        <w:spacing w:line="360" w:lineRule="auto"/>
        <w:ind w:firstLine="480"/>
        <w:jc w:val="left"/>
        <w:rPr>
          <w:rFonts w:hint="eastAsia" w:ascii="宋体" w:hAnsi="宋体"/>
          <w:color w:val="000000"/>
          <w:sz w:val="24"/>
        </w:rPr>
      </w:pPr>
      <w:bookmarkStart w:id="262" w:name="_GoBack"/>
      <w:r>
        <w:rPr>
          <w:rFonts w:hint="eastAsia" w:ascii="宋体" w:hAnsi="宋体"/>
          <w:color w:val="000000"/>
          <w:sz w:val="24"/>
        </w:rPr>
        <w:t>本项目执行财政部、工业和信息化部关于印发《政府采购促进中小企业发展管理办法》的通知（财库〔2020〕46号，以下简称《办法》）、《关于印发中小企业划型标准规定的通知》（工信部联企业〔2011〕300号，以下简称《通知》）、《财政部 司法部关于政府采购支持监狱企业发展有关问题的通知》（财库〔2014〕68号）、《关于促进残疾人就业政府采购政策的通知》（财库〔2017〕141号）、《关于进一步加大政府采购支持中小企业力度的通知》（财库〔2022〕19号）的规定。</w:t>
      </w:r>
    </w:p>
    <w:p w14:paraId="0331BB3E">
      <w:pPr>
        <w:spacing w:line="360" w:lineRule="auto"/>
        <w:ind w:firstLine="480"/>
        <w:jc w:val="left"/>
        <w:rPr>
          <w:rFonts w:hint="eastAsia" w:ascii="宋体" w:hAnsi="宋体"/>
          <w:color w:val="000000"/>
          <w:sz w:val="24"/>
        </w:rPr>
      </w:pPr>
      <w:r>
        <w:rPr>
          <w:rFonts w:hint="eastAsia" w:ascii="宋体" w:hAnsi="宋体"/>
          <w:color w:val="000000"/>
          <w:sz w:val="24"/>
        </w:rPr>
        <w:t>根据《办法》规定，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服务由中小企业承接，即提供服务的人员为中小企业依照《中华人民共和国劳动合同法》订立劳动合同的从业人员。根据《通知》规定，该划型标准适用于在中国境内依法设立的各类所有制和各种组织形式的企业。依据现有规范性文件规定，事业单位、团体组织等非企业性质的政府采购供应商，不属于中小企业划分标准确定的中小企业，不得按《通知》规定声明为中小企业，也不适用《办法》。</w:t>
      </w:r>
    </w:p>
    <w:p w14:paraId="64FD8E18">
      <w:pPr>
        <w:spacing w:line="360" w:lineRule="auto"/>
        <w:ind w:firstLine="480"/>
        <w:jc w:val="left"/>
        <w:rPr>
          <w:rFonts w:hint="eastAsia" w:ascii="宋体" w:hAnsi="宋体"/>
          <w:b/>
          <w:bCs/>
          <w:color w:val="000000"/>
          <w:sz w:val="24"/>
        </w:rPr>
      </w:pPr>
      <w:r>
        <w:rPr>
          <w:rFonts w:hint="eastAsia" w:ascii="宋体" w:hAnsi="宋体"/>
          <w:color w:val="000000"/>
          <w:sz w:val="24"/>
        </w:rPr>
        <w:t xml:space="preserve"> </w:t>
      </w:r>
      <w:r>
        <w:rPr>
          <w:rFonts w:hint="eastAsia" w:ascii="宋体" w:hAnsi="宋体"/>
          <w:b/>
          <w:bCs/>
          <w:color w:val="000000"/>
          <w:sz w:val="24"/>
        </w:rPr>
        <w:t>本项目专门面向中小企业采购，参加本项目政府采购活动的供应商应当提供的材料：</w:t>
      </w:r>
    </w:p>
    <w:p w14:paraId="598BAE3F">
      <w:pPr>
        <w:spacing w:line="360" w:lineRule="auto"/>
        <w:ind w:firstLine="482"/>
        <w:jc w:val="left"/>
        <w:rPr>
          <w:rFonts w:hint="eastAsia" w:ascii="宋体" w:hAnsi="宋体"/>
          <w:b/>
          <w:bCs/>
          <w:color w:val="000000"/>
          <w:sz w:val="24"/>
        </w:rPr>
      </w:pPr>
      <w:r>
        <w:rPr>
          <w:rFonts w:hint="eastAsia" w:ascii="宋体" w:hAnsi="宋体"/>
          <w:b/>
          <w:bCs/>
          <w:color w:val="000000"/>
          <w:sz w:val="24"/>
        </w:rPr>
        <w:t>1、供应商为中型企业、小型企业、微型企业的，提供《中小企业声明函》（第六</w:t>
      </w:r>
      <w:r>
        <w:rPr>
          <w:rFonts w:hint="eastAsia" w:ascii="宋体" w:hAnsi="宋体"/>
          <w:b/>
          <w:bCs/>
          <w:color w:val="000000"/>
          <w:sz w:val="24"/>
          <w:lang w:val="en-US" w:eastAsia="zh-CN"/>
        </w:rPr>
        <w:t>章</w:t>
      </w:r>
      <w:r>
        <w:rPr>
          <w:rFonts w:hint="eastAsia" w:ascii="宋体" w:hAnsi="宋体"/>
          <w:b/>
          <w:bCs/>
          <w:color w:val="000000"/>
          <w:sz w:val="24"/>
        </w:rPr>
        <w:t xml:space="preserve"> 投标文件格式）。</w:t>
      </w:r>
    </w:p>
    <w:p w14:paraId="4CC7D450">
      <w:pPr>
        <w:spacing w:line="360" w:lineRule="auto"/>
        <w:ind w:firstLine="482"/>
        <w:jc w:val="left"/>
        <w:rPr>
          <w:rFonts w:hint="eastAsia" w:ascii="宋体" w:hAnsi="宋体"/>
          <w:b/>
          <w:bCs/>
          <w:color w:val="000000"/>
          <w:sz w:val="24"/>
        </w:rPr>
      </w:pPr>
      <w:r>
        <w:rPr>
          <w:rFonts w:hint="eastAsia" w:ascii="宋体" w:hAnsi="宋体"/>
          <w:b/>
          <w:bCs/>
          <w:color w:val="000000"/>
          <w:sz w:val="24"/>
        </w:rPr>
        <w:t>2、残疾人福利性单位视同小型、微型企业，提供《残疾人福利性单位声明函》（第六</w:t>
      </w:r>
      <w:r>
        <w:rPr>
          <w:rFonts w:hint="eastAsia" w:ascii="宋体" w:hAnsi="宋体"/>
          <w:b/>
          <w:bCs/>
          <w:color w:val="000000"/>
          <w:sz w:val="24"/>
          <w:lang w:val="en-US" w:eastAsia="zh-CN"/>
        </w:rPr>
        <w:t>章</w:t>
      </w:r>
      <w:r>
        <w:rPr>
          <w:rFonts w:hint="eastAsia" w:ascii="宋体" w:hAnsi="宋体"/>
          <w:b/>
          <w:bCs/>
          <w:color w:val="000000"/>
          <w:sz w:val="24"/>
        </w:rPr>
        <w:t xml:space="preserve"> 投标文件格式）。</w:t>
      </w:r>
    </w:p>
    <w:p w14:paraId="09D562C0">
      <w:pPr>
        <w:spacing w:line="360" w:lineRule="auto"/>
        <w:ind w:firstLine="482"/>
        <w:jc w:val="left"/>
        <w:rPr>
          <w:rFonts w:hint="eastAsia" w:ascii="宋体" w:hAnsi="宋体"/>
          <w:b/>
          <w:bCs/>
          <w:color w:val="000000"/>
          <w:sz w:val="24"/>
        </w:rPr>
      </w:pPr>
      <w:r>
        <w:rPr>
          <w:rFonts w:hint="eastAsia" w:ascii="宋体" w:hAnsi="宋体"/>
          <w:b/>
          <w:bCs/>
          <w:color w:val="000000"/>
          <w:sz w:val="24"/>
        </w:rPr>
        <w:t>3、符合《关于政府采购支持监狱企业发展有关问题的通知》（财库〔2014〕68号）规定的监狱企业并提供由省级以上监狱管理局、戒毒管理局（含新疆生产建设兵团）出具的属于监狱企业证明文件的，视同小型、微型企业。</w:t>
      </w:r>
    </w:p>
    <w:p w14:paraId="306F27CC">
      <w:pPr>
        <w:spacing w:line="360" w:lineRule="auto"/>
        <w:ind w:firstLine="482"/>
        <w:jc w:val="left"/>
        <w:rPr>
          <w:rFonts w:hint="eastAsia" w:ascii="宋体" w:hAnsi="宋体"/>
          <w:color w:val="auto"/>
          <w:sz w:val="24"/>
          <w:highlight w:val="none"/>
        </w:rPr>
      </w:pPr>
      <w:r>
        <w:rPr>
          <w:rFonts w:hint="eastAsia" w:ascii="宋体" w:hAnsi="宋体"/>
          <w:b/>
          <w:bCs/>
          <w:color w:val="000000"/>
          <w:sz w:val="24"/>
        </w:rPr>
        <w:t>4、供应商按照本办法规定提供声明函内容不实的，属于提供虚假材料谋取中标、成交，依照《中华人民共和国政府采购法》等国家有关规定追究相应责任。</w:t>
      </w:r>
    </w:p>
    <w:bookmarkEnd w:id="262"/>
    <w:p w14:paraId="766C5D06">
      <w:pPr>
        <w:pStyle w:val="309"/>
        <w:keepNext w:val="0"/>
        <w:keepLines w:val="0"/>
        <w:pageBreakBefore w:val="0"/>
        <w:spacing w:line="480" w:lineRule="exact"/>
        <w:ind w:firstLine="482"/>
        <w:rPr>
          <w:rFonts w:hint="eastAsia" w:ascii="宋体" w:hAnsi="宋体" w:eastAsia="宋体" w:cs="宋体"/>
          <w:b w:val="0"/>
          <w:bCs/>
          <w:color w:val="auto"/>
          <w:sz w:val="30"/>
          <w:szCs w:val="30"/>
          <w:highlight w:val="none"/>
          <w:lang w:val="en-US" w:eastAsia="zh-CN" w:bidi="ar-SA"/>
        </w:rPr>
      </w:pPr>
      <w:r>
        <w:rPr>
          <w:rFonts w:hint="eastAsia" w:ascii="宋体" w:hAnsi="宋体" w:eastAsia="宋体" w:cs="宋体"/>
          <w:b w:val="0"/>
          <w:bCs/>
          <w:color w:val="auto"/>
          <w:sz w:val="30"/>
          <w:szCs w:val="30"/>
          <w:highlight w:val="none"/>
          <w:lang w:val="en-US" w:eastAsia="zh-CN" w:bidi="ar-SA"/>
        </w:rPr>
        <w:t>33.2支持绿色发展</w:t>
      </w:r>
    </w:p>
    <w:p w14:paraId="1D629F75">
      <w:pPr>
        <w:pStyle w:val="309"/>
        <w:keepNext w:val="0"/>
        <w:keepLines w:val="0"/>
        <w:pageBreakBefore w:val="0"/>
        <w:spacing w:line="480" w:lineRule="exact"/>
        <w:ind w:firstLine="480"/>
        <w:rPr>
          <w:color w:val="auto"/>
          <w:highlight w:val="none"/>
        </w:rPr>
      </w:pPr>
      <w:r>
        <w:rPr>
          <w:rFonts w:hint="eastAsia"/>
          <w:color w:val="auto"/>
          <w:highlight w:val="none"/>
        </w:rPr>
        <w:t>1.本项目执行《关于印发环境标志产品政府采购品目清单的通知》（财库〔2019〕18 号）、《关于印发节能产品政府采购品目清单的通知》（财库〔2019〕19 号）等有关规定，采购人拟采购的产品属于品目清单范围的，采购人及其委托的集采机构将依据国家确定的认证机构出具的、处于有效期之内的节能产品、环境标志产品认证证书，对获得证书的产品实施政府优先采购或强制采购。投标人须按招标文件要求提供相关产品认证证书。</w:t>
      </w:r>
    </w:p>
    <w:p w14:paraId="6F9E30D5">
      <w:pPr>
        <w:pStyle w:val="309"/>
        <w:keepNext w:val="0"/>
        <w:keepLines w:val="0"/>
        <w:pageBreakBefore w:val="0"/>
        <w:spacing w:line="480" w:lineRule="exact"/>
        <w:ind w:firstLine="480"/>
        <w:rPr>
          <w:color w:val="auto"/>
          <w:highlight w:val="none"/>
        </w:rPr>
      </w:pPr>
      <w:r>
        <w:rPr>
          <w:rFonts w:hint="eastAsia"/>
          <w:color w:val="auto"/>
          <w:highlight w:val="none"/>
        </w:rPr>
        <w:t>2.为助力打好污染防治攻坚战，严格执行绿色采购需求标准。推广使用绿色包装，政府采购货物、工程和服务项目中涉及商品包装、快递包装、绿色数据中心的，投标人提供产品及相关快递服务的具体包装等要求要参考《商品包装政府采购需求标准（试行）》、《快递包装政府采购需求标准（试行）》、《绿色数据中心政府采购需求标准（试行）》。</w:t>
      </w:r>
    </w:p>
    <w:p w14:paraId="4ED52262">
      <w:pPr>
        <w:pStyle w:val="43"/>
        <w:keepNext w:val="0"/>
        <w:keepLines w:val="0"/>
        <w:pageBreakBefore w:val="0"/>
        <w:spacing w:line="480" w:lineRule="exact"/>
        <w:ind w:firstLine="480"/>
        <w:rPr>
          <w:rFonts w:ascii="宋体" w:hAnsi="Times New Roman"/>
          <w:color w:val="auto"/>
          <w:sz w:val="24"/>
          <w:szCs w:val="22"/>
          <w:highlight w:val="none"/>
        </w:rPr>
      </w:pPr>
      <w:r>
        <w:rPr>
          <w:rFonts w:hint="eastAsia" w:ascii="宋体" w:hAnsi="Times New Roman"/>
          <w:color w:val="auto"/>
          <w:sz w:val="24"/>
          <w:szCs w:val="22"/>
          <w:highlight w:val="none"/>
        </w:rPr>
        <w:t>3.落实挥发性有机化合物（VOCs）治理要求，政府采购项目中涉及涂料、胶黏剂、油墨、清洗剂等挥发性有机物产品的，属于强制性标准的，投标人须执行国家和我省 VOCs含量限制标准；投标人优先使用低挥发性原辅材料，将使用低 VOCs 含量的涂料、胶黏剂等纳入政府采购合同条款。</w:t>
      </w:r>
    </w:p>
    <w:p w14:paraId="21B7C960">
      <w:pPr>
        <w:spacing w:line="360" w:lineRule="auto"/>
        <w:jc w:val="center"/>
        <w:outlineLvl w:val="0"/>
        <w:rPr>
          <w:rFonts w:ascii="宋体" w:hAnsi="宋体" w:eastAsia="宋体" w:cs="Times New Roman"/>
          <w:b/>
          <w:bCs/>
          <w:color w:val="auto"/>
          <w:sz w:val="52"/>
          <w:szCs w:val="24"/>
          <w:highlight w:val="none"/>
        </w:rPr>
      </w:pPr>
      <w:r>
        <w:rPr>
          <w:rFonts w:hint="eastAsia" w:ascii="黑体" w:eastAsia="黑体"/>
          <w:bCs/>
          <w:color w:val="auto"/>
          <w:sz w:val="44"/>
          <w:highlight w:val="none"/>
        </w:rPr>
        <w:br w:type="page" w:clear="all"/>
      </w:r>
      <w:bookmarkStart w:id="221" w:name="_Toc20997"/>
      <w:bookmarkStart w:id="222" w:name="_Toc20691"/>
      <w:r>
        <w:rPr>
          <w:rFonts w:hint="eastAsia" w:ascii="黑体" w:hAnsi="Times New Roman" w:eastAsia="黑体" w:cs="Times New Roman"/>
          <w:color w:val="auto"/>
          <w:sz w:val="44"/>
          <w:szCs w:val="44"/>
          <w:highlight w:val="none"/>
        </w:rPr>
        <w:t xml:space="preserve">第三章 </w:t>
      </w:r>
      <w:bookmarkEnd w:id="213"/>
      <w:bookmarkEnd w:id="214"/>
      <w:bookmarkEnd w:id="215"/>
      <w:bookmarkEnd w:id="216"/>
      <w:bookmarkEnd w:id="217"/>
      <w:bookmarkEnd w:id="221"/>
      <w:bookmarkEnd w:id="222"/>
      <w:bookmarkStart w:id="223" w:name="_Hlt16619350"/>
      <w:bookmarkStart w:id="224" w:name="_Toc16938590"/>
      <w:bookmarkStart w:id="225" w:name="_Toc20823346"/>
      <w:bookmarkStart w:id="226" w:name="_Toc120614244"/>
      <w:bookmarkStart w:id="227" w:name="_Toc462564139"/>
      <w:bookmarkStart w:id="228" w:name="_Toc479757211"/>
      <w:r>
        <w:rPr>
          <w:rFonts w:hint="eastAsia" w:ascii="宋体" w:hAnsi="宋体" w:eastAsia="宋体" w:cs="Times New Roman"/>
          <w:b/>
          <w:bCs/>
          <w:color w:val="auto"/>
          <w:sz w:val="52"/>
          <w:szCs w:val="24"/>
          <w:highlight w:val="none"/>
        </w:rPr>
        <w:t>连云港市政府采购</w:t>
      </w:r>
    </w:p>
    <w:p w14:paraId="7693A0B4">
      <w:pPr>
        <w:spacing w:line="360" w:lineRule="auto"/>
        <w:ind w:firstLine="420"/>
        <w:rPr>
          <w:rFonts w:ascii="宋体" w:hAnsi="宋体" w:eastAsia="宋体" w:cs="Times New Roman"/>
          <w:color w:val="auto"/>
          <w:szCs w:val="24"/>
          <w:highlight w:val="none"/>
        </w:rPr>
      </w:pPr>
    </w:p>
    <w:p w14:paraId="7180DA7B">
      <w:pPr>
        <w:spacing w:line="360" w:lineRule="auto"/>
        <w:ind w:firstLine="420"/>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 xml:space="preserve">                                                 </w:t>
      </w:r>
    </w:p>
    <w:p w14:paraId="572C3B51">
      <w:pPr>
        <w:spacing w:line="360" w:lineRule="auto"/>
        <w:jc w:val="center"/>
        <w:rPr>
          <w:rFonts w:ascii="宋体" w:hAnsi="宋体" w:eastAsia="宋体" w:cs="Times New Roman"/>
          <w:b/>
          <w:bCs/>
          <w:color w:val="auto"/>
          <w:sz w:val="44"/>
          <w:szCs w:val="24"/>
          <w:highlight w:val="none"/>
        </w:rPr>
      </w:pPr>
      <w:r>
        <w:rPr>
          <w:rFonts w:hint="eastAsia" w:ascii="宋体" w:hAnsi="宋体" w:eastAsia="宋体" w:cs="Times New Roman"/>
          <w:b/>
          <w:bCs/>
          <w:color w:val="auto"/>
          <w:sz w:val="44"/>
          <w:szCs w:val="24"/>
          <w:highlight w:val="none"/>
          <w:u w:val="single"/>
        </w:rPr>
        <w:t xml:space="preserve">                    </w:t>
      </w:r>
      <w:r>
        <w:rPr>
          <w:rFonts w:hint="eastAsia" w:ascii="宋体" w:hAnsi="宋体" w:eastAsia="宋体" w:cs="Times New Roman"/>
          <w:b/>
          <w:bCs/>
          <w:color w:val="auto"/>
          <w:sz w:val="44"/>
          <w:szCs w:val="24"/>
          <w:highlight w:val="none"/>
        </w:rPr>
        <w:t>合同</w:t>
      </w:r>
    </w:p>
    <w:p w14:paraId="7876A31F">
      <w:pPr>
        <w:spacing w:line="360" w:lineRule="auto"/>
        <w:ind w:firstLine="420"/>
        <w:rPr>
          <w:rFonts w:ascii="宋体" w:hAnsi="宋体" w:eastAsia="宋体" w:cs="Times New Roman"/>
          <w:color w:val="auto"/>
          <w:szCs w:val="24"/>
          <w:highlight w:val="none"/>
        </w:rPr>
      </w:pPr>
    </w:p>
    <w:p w14:paraId="0ED3D6E5">
      <w:pPr>
        <w:spacing w:line="360" w:lineRule="auto"/>
        <w:ind w:firstLine="3070"/>
        <w:rPr>
          <w:rFonts w:ascii="宋体" w:hAnsi="宋体" w:eastAsia="宋体" w:cs="Times New Roman"/>
          <w:b/>
          <w:bCs/>
          <w:color w:val="auto"/>
          <w:sz w:val="44"/>
          <w:szCs w:val="44"/>
          <w:highlight w:val="none"/>
        </w:rPr>
      </w:pPr>
    </w:p>
    <w:p w14:paraId="78044D58">
      <w:pPr>
        <w:spacing w:line="360" w:lineRule="auto"/>
        <w:ind w:firstLine="880"/>
        <w:rPr>
          <w:rFonts w:ascii="宋体" w:hAnsi="宋体" w:eastAsia="宋体" w:cs="Times New Roman"/>
          <w:color w:val="auto"/>
          <w:sz w:val="44"/>
          <w:szCs w:val="44"/>
          <w:highlight w:val="none"/>
        </w:rPr>
      </w:pPr>
    </w:p>
    <w:p w14:paraId="0CA65F4E">
      <w:pPr>
        <w:spacing w:line="360" w:lineRule="auto"/>
        <w:ind w:firstLine="1966"/>
        <w:rPr>
          <w:rFonts w:ascii="宋体" w:hAnsi="宋体" w:eastAsia="宋体" w:cs="Times New Roman"/>
          <w:b/>
          <w:bCs/>
          <w:color w:val="auto"/>
          <w:sz w:val="44"/>
          <w:szCs w:val="44"/>
          <w:highlight w:val="none"/>
        </w:rPr>
      </w:pPr>
      <w:r>
        <w:rPr>
          <w:rFonts w:hint="eastAsia" w:ascii="宋体" w:hAnsi="宋体" w:eastAsia="宋体" w:cs="Times New Roman"/>
          <w:b/>
          <w:bCs/>
          <w:color w:val="auto"/>
          <w:sz w:val="44"/>
          <w:szCs w:val="44"/>
          <w:highlight w:val="none"/>
        </w:rPr>
        <w:t>合同编号：</w:t>
      </w:r>
    </w:p>
    <w:p w14:paraId="4E7F7ADB">
      <w:pPr>
        <w:spacing w:line="360" w:lineRule="auto"/>
        <w:ind w:firstLine="880"/>
        <w:rPr>
          <w:rFonts w:ascii="宋体" w:hAnsi="宋体" w:eastAsia="宋体" w:cs="Times New Roman"/>
          <w:color w:val="auto"/>
          <w:sz w:val="44"/>
          <w:szCs w:val="24"/>
          <w:highlight w:val="none"/>
        </w:rPr>
      </w:pPr>
    </w:p>
    <w:p w14:paraId="1C422D6D">
      <w:pPr>
        <w:spacing w:line="360" w:lineRule="auto"/>
        <w:ind w:firstLine="880"/>
        <w:rPr>
          <w:rFonts w:ascii="宋体" w:hAnsi="宋体" w:eastAsia="宋体" w:cs="Times New Roman"/>
          <w:color w:val="auto"/>
          <w:sz w:val="44"/>
          <w:szCs w:val="24"/>
          <w:highlight w:val="none"/>
        </w:rPr>
      </w:pPr>
    </w:p>
    <w:p w14:paraId="14F55E89">
      <w:pPr>
        <w:spacing w:line="360" w:lineRule="auto"/>
        <w:ind w:firstLine="880"/>
        <w:rPr>
          <w:rFonts w:ascii="宋体" w:hAnsi="宋体" w:eastAsia="宋体" w:cs="Times New Roman"/>
          <w:color w:val="auto"/>
          <w:sz w:val="44"/>
          <w:szCs w:val="24"/>
          <w:highlight w:val="none"/>
        </w:rPr>
      </w:pPr>
    </w:p>
    <w:p w14:paraId="468E0570">
      <w:pPr>
        <w:spacing w:line="360" w:lineRule="auto"/>
        <w:ind w:firstLine="1758"/>
        <w:rPr>
          <w:rFonts w:ascii="宋体" w:hAnsi="宋体" w:eastAsia="宋体" w:cs="Times New Roman"/>
          <w:b/>
          <w:bCs/>
          <w:color w:val="auto"/>
          <w:sz w:val="44"/>
          <w:szCs w:val="24"/>
          <w:highlight w:val="none"/>
        </w:rPr>
      </w:pPr>
      <w:r>
        <w:rPr>
          <w:rFonts w:hint="eastAsia" w:ascii="宋体" w:hAnsi="宋体" w:eastAsia="宋体" w:cs="Times New Roman"/>
          <w:b/>
          <w:bCs/>
          <w:color w:val="auto"/>
          <w:sz w:val="44"/>
          <w:szCs w:val="24"/>
          <w:highlight w:val="none"/>
        </w:rPr>
        <w:t>采购人：</w:t>
      </w:r>
    </w:p>
    <w:p w14:paraId="09CDE50F">
      <w:pPr>
        <w:spacing w:line="360" w:lineRule="auto"/>
        <w:ind w:firstLine="1758"/>
        <w:rPr>
          <w:rFonts w:ascii="宋体" w:hAnsi="宋体" w:eastAsia="宋体" w:cs="Times New Roman"/>
          <w:b/>
          <w:bCs/>
          <w:color w:val="auto"/>
          <w:sz w:val="44"/>
          <w:szCs w:val="24"/>
          <w:highlight w:val="none"/>
        </w:rPr>
      </w:pPr>
      <w:r>
        <w:rPr>
          <w:rFonts w:hint="eastAsia" w:ascii="宋体" w:hAnsi="宋体" w:eastAsia="宋体" w:cs="Times New Roman"/>
          <w:b/>
          <w:bCs/>
          <w:color w:val="auto"/>
          <w:sz w:val="44"/>
          <w:szCs w:val="24"/>
          <w:highlight w:val="none"/>
        </w:rPr>
        <w:t>中标人：</w:t>
      </w:r>
    </w:p>
    <w:p w14:paraId="36E3D020">
      <w:pPr>
        <w:spacing w:line="360" w:lineRule="auto"/>
        <w:ind w:firstLine="420"/>
        <w:rPr>
          <w:rFonts w:ascii="宋体" w:hAnsi="宋体" w:eastAsia="宋体" w:cs="Times New Roman"/>
          <w:color w:val="auto"/>
          <w:szCs w:val="24"/>
          <w:highlight w:val="none"/>
        </w:rPr>
      </w:pPr>
    </w:p>
    <w:p w14:paraId="6E35C80B">
      <w:pPr>
        <w:spacing w:line="360" w:lineRule="auto"/>
        <w:ind w:firstLine="420"/>
        <w:rPr>
          <w:rFonts w:ascii="宋体" w:hAnsi="宋体" w:eastAsia="宋体" w:cs="Times New Roman"/>
          <w:color w:val="auto"/>
          <w:sz w:val="28"/>
          <w:szCs w:val="24"/>
          <w:highlight w:val="none"/>
        </w:rPr>
      </w:pPr>
      <w:r>
        <w:rPr>
          <w:rFonts w:ascii="宋体" w:hAnsi="宋体" w:eastAsia="宋体" w:cs="Times New Roman"/>
          <w:color w:val="auto"/>
          <w:szCs w:val="24"/>
          <w:highlight w:val="none"/>
        </w:rPr>
        <w:br w:type="page" w:clear="all"/>
      </w:r>
    </w:p>
    <w:p w14:paraId="41FDAEAD">
      <w:pPr>
        <w:ind w:left="359" w:firstLine="198"/>
        <w:jc w:val="center"/>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目  录</w:t>
      </w:r>
    </w:p>
    <w:p w14:paraId="30BAFD1F">
      <w:pPr>
        <w:tabs>
          <w:tab w:val="left" w:pos="1170"/>
        </w:tabs>
        <w:spacing w:line="360" w:lineRule="auto"/>
        <w:ind w:left="359" w:firstLine="198"/>
        <w:rPr>
          <w:rFonts w:ascii="宋体" w:hAnsi="宋体" w:eastAsia="宋体" w:cs="Times New Roman"/>
          <w:color w:val="auto"/>
          <w:sz w:val="28"/>
          <w:szCs w:val="24"/>
          <w:highlight w:val="none"/>
        </w:rPr>
      </w:pPr>
      <w:r>
        <w:rPr>
          <w:rFonts w:ascii="宋体" w:hAnsi="宋体" w:eastAsia="宋体" w:cs="Times New Roman"/>
          <w:color w:val="auto"/>
          <w:sz w:val="28"/>
          <w:szCs w:val="24"/>
          <w:highlight w:val="none"/>
        </w:rPr>
        <w:tab/>
      </w:r>
    </w:p>
    <w:p w14:paraId="5D80EE1E">
      <w:pPr>
        <w:numPr>
          <w:ilvl w:val="0"/>
          <w:numId w:val="7"/>
        </w:numPr>
        <w:spacing w:line="360" w:lineRule="auto"/>
        <w:ind w:left="357"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合同书</w:t>
      </w:r>
    </w:p>
    <w:p w14:paraId="730B0999">
      <w:pPr>
        <w:numPr>
          <w:ilvl w:val="0"/>
          <w:numId w:val="7"/>
        </w:numPr>
        <w:spacing w:line="360" w:lineRule="auto"/>
        <w:ind w:left="357"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中标通知书</w:t>
      </w:r>
    </w:p>
    <w:p w14:paraId="3F9496B8">
      <w:pPr>
        <w:numPr>
          <w:ilvl w:val="0"/>
          <w:numId w:val="7"/>
        </w:numPr>
        <w:spacing w:line="360" w:lineRule="auto"/>
        <w:ind w:left="357"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履约保证金缴纳证明</w:t>
      </w:r>
    </w:p>
    <w:p w14:paraId="1ACCC555">
      <w:pPr>
        <w:numPr>
          <w:ilvl w:val="0"/>
          <w:numId w:val="7"/>
        </w:numPr>
        <w:spacing w:line="360" w:lineRule="auto"/>
        <w:ind w:left="357"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项目更改及补充文件</w:t>
      </w:r>
    </w:p>
    <w:p w14:paraId="2394A004">
      <w:pPr>
        <w:numPr>
          <w:ilvl w:val="0"/>
          <w:numId w:val="7"/>
        </w:numPr>
        <w:spacing w:line="360" w:lineRule="auto"/>
        <w:ind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投标报价表</w:t>
      </w:r>
    </w:p>
    <w:p w14:paraId="7D725406">
      <w:pPr>
        <w:numPr>
          <w:ilvl w:val="0"/>
          <w:numId w:val="7"/>
        </w:numPr>
        <w:spacing w:line="360" w:lineRule="auto"/>
        <w:ind w:firstLine="543"/>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中标单位澄清函</w:t>
      </w:r>
    </w:p>
    <w:p w14:paraId="3C470A3D">
      <w:pPr>
        <w:spacing w:line="560" w:lineRule="exact"/>
        <w:ind w:firstLine="420"/>
        <w:jc w:val="left"/>
        <w:rPr>
          <w:rFonts w:ascii="宋体" w:hAnsi="宋体" w:eastAsia="宋体" w:cs="Times New Roman"/>
          <w:bCs/>
          <w:color w:val="auto"/>
          <w:sz w:val="24"/>
          <w:szCs w:val="24"/>
          <w:highlight w:val="none"/>
        </w:rPr>
      </w:pPr>
      <w:r>
        <w:rPr>
          <w:rFonts w:ascii="Times New Roman" w:hAnsi="Times New Roman" w:eastAsia="宋体" w:cs="Times New Roman"/>
          <w:color w:val="auto"/>
          <w:szCs w:val="24"/>
          <w:highlight w:val="none"/>
        </w:rPr>
        <w:br w:type="page" w:clear="all"/>
      </w:r>
      <w:r>
        <w:rPr>
          <w:rFonts w:hint="eastAsia" w:ascii="宋体" w:hAnsi="宋体" w:eastAsia="宋体" w:cs="Times New Roman"/>
          <w:bCs/>
          <w:color w:val="auto"/>
          <w:sz w:val="24"/>
          <w:szCs w:val="24"/>
          <w:highlight w:val="none"/>
        </w:rPr>
        <w:t>以下为中标后签订本项目合同的通用条款，中标供应商不得提出实质性的修改，关于专用条款将由采购人与中标供应商结合本项目具体情况协商后签订。</w:t>
      </w:r>
    </w:p>
    <w:p w14:paraId="290D25EE">
      <w:pPr>
        <w:spacing w:line="560" w:lineRule="exact"/>
        <w:jc w:val="left"/>
        <w:rPr>
          <w:rFonts w:ascii="Times New Roman" w:hAnsi="Times New Roman" w:eastAsia="宋体" w:cs="Times New Roman"/>
          <w:b/>
          <w:color w:val="auto"/>
          <w:sz w:val="32"/>
          <w:szCs w:val="32"/>
          <w:highlight w:val="none"/>
        </w:rPr>
      </w:pPr>
    </w:p>
    <w:p w14:paraId="7967E15B">
      <w:pPr>
        <w:spacing w:line="560" w:lineRule="exact"/>
        <w:jc w:val="center"/>
        <w:rPr>
          <w:rFonts w:ascii="宋体" w:hAnsi="宋体" w:eastAsia="宋体" w:cs="Times New Roman"/>
          <w:bCs/>
          <w:color w:val="auto"/>
          <w:sz w:val="24"/>
          <w:szCs w:val="24"/>
          <w:highlight w:val="none"/>
        </w:rPr>
      </w:pPr>
      <w:r>
        <w:rPr>
          <w:rFonts w:hint="eastAsia" w:ascii="Times New Roman" w:hAnsi="Times New Roman" w:eastAsia="宋体" w:cs="Times New Roman"/>
          <w:b/>
          <w:color w:val="auto"/>
          <w:sz w:val="32"/>
          <w:szCs w:val="32"/>
          <w:highlight w:val="none"/>
        </w:rPr>
        <w:t>政府采购合同</w:t>
      </w:r>
    </w:p>
    <w:p w14:paraId="3D3A12F0">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lang w:eastAsia="zh-CN"/>
        </w:rPr>
      </w:pPr>
      <w:r>
        <w:rPr>
          <w:rFonts w:ascii="宋体" w:hAnsi="宋体" w:eastAsia="宋体" w:cs="Times New Roman"/>
          <w:color w:val="auto"/>
          <w:sz w:val="24"/>
          <w:szCs w:val="24"/>
          <w:highlight w:val="none"/>
        </w:rPr>
        <w:t>甲方：</w:t>
      </w:r>
      <w:r>
        <w:rPr>
          <w:rFonts w:hint="eastAsia" w:ascii="宋体" w:hAnsi="宋体" w:cs="Times New Roman"/>
          <w:b/>
          <w:color w:val="auto"/>
          <w:sz w:val="24"/>
          <w:szCs w:val="24"/>
          <w:highlight w:val="none"/>
          <w:lang w:eastAsia="zh-CN"/>
        </w:rPr>
        <w:t>连云港市东海生态环境局</w:t>
      </w:r>
    </w:p>
    <w:p w14:paraId="5F6A6929">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乙方：（卖方）_________</w:t>
      </w:r>
    </w:p>
    <w:p w14:paraId="503C712E">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见证</w:t>
      </w:r>
      <w:r>
        <w:rPr>
          <w:rFonts w:ascii="宋体" w:hAnsi="宋体" w:eastAsia="宋体" w:cs="Times New Roman"/>
          <w:color w:val="auto"/>
          <w:sz w:val="24"/>
          <w:szCs w:val="24"/>
          <w:highlight w:val="none"/>
        </w:rPr>
        <w:t>方：</w:t>
      </w:r>
    </w:p>
    <w:p w14:paraId="3E685CC6">
      <w:pPr>
        <w:keepNext w:val="0"/>
        <w:keepLines w:val="0"/>
        <w:pageBreakBefore w:val="0"/>
        <w:widowControl w:val="0"/>
        <w:spacing w:line="520" w:lineRule="exact"/>
        <w:ind w:firstLine="480"/>
        <w:jc w:val="left"/>
        <w:rPr>
          <w:rFonts w:ascii="宋体" w:hAnsi="宋体" w:eastAsia="宋体" w:cs="Times New Roman"/>
          <w:b/>
          <w:color w:val="auto"/>
          <w:sz w:val="24"/>
          <w:szCs w:val="24"/>
          <w:highlight w:val="none"/>
        </w:rPr>
      </w:pPr>
      <w:r>
        <w:rPr>
          <w:rFonts w:ascii="宋体" w:hAnsi="宋体" w:eastAsia="宋体" w:cs="Times New Roman"/>
          <w:color w:val="auto"/>
          <w:sz w:val="24"/>
          <w:szCs w:val="24"/>
          <w:highlight w:val="none"/>
        </w:rPr>
        <w:t>甲、乙双方根据</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r>
        <w:rPr>
          <w:rFonts w:hint="eastAsia" w:ascii="宋体" w:hAnsi="宋体" w:cs="Times New Roman"/>
          <w:b/>
          <w:color w:val="auto"/>
          <w:sz w:val="24"/>
          <w:szCs w:val="24"/>
          <w:highlight w:val="none"/>
          <w:u w:val="single"/>
          <w:lang w:val="en-US" w:eastAsia="zh-CN"/>
        </w:rPr>
        <w:t>连云港鑫昌达新型建材有限公司环境事件涉事物料属性司法鉴定和阶段性环境损害评估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项目（</w:t>
      </w:r>
      <w:r>
        <w:rPr>
          <w:rFonts w:hint="eastAsia" w:ascii="宋体" w:hAnsi="宋体" w:eastAsia="宋体" w:cs="Times New Roman"/>
          <w:color w:val="auto"/>
          <w:sz w:val="24"/>
          <w:szCs w:val="24"/>
          <w:highlight w:val="none"/>
        </w:rPr>
        <w:t>标段</w:t>
      </w:r>
      <w:r>
        <w:rPr>
          <w:rFonts w:ascii="宋体" w:hAnsi="宋体" w:eastAsia="宋体" w:cs="Times New Roman"/>
          <w:color w:val="auto"/>
          <w:sz w:val="24"/>
          <w:szCs w:val="24"/>
          <w:highlight w:val="none"/>
        </w:rPr>
        <w:t>编号：</w:t>
      </w:r>
      <w:r>
        <w:rPr>
          <w:rFonts w:hint="eastAsia" w:ascii="宋体" w:hAnsi="宋体" w:cs="Times New Roman"/>
          <w:color w:val="auto"/>
          <w:sz w:val="24"/>
          <w:szCs w:val="24"/>
          <w:highlight w:val="none"/>
          <w:lang w:eastAsia="zh-CN"/>
        </w:rPr>
        <w:t>）</w:t>
      </w:r>
      <w:r>
        <w:rPr>
          <w:rFonts w:ascii="宋体" w:hAnsi="宋体" w:eastAsia="宋体" w:cs="Times New Roman"/>
          <w:color w:val="auto"/>
          <w:sz w:val="24"/>
          <w:szCs w:val="24"/>
          <w:highlight w:val="none"/>
        </w:rPr>
        <w:t>招标的结果，签订本合同。</w:t>
      </w:r>
    </w:p>
    <w:p w14:paraId="4CF68285">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一、采购标的</w:t>
      </w:r>
    </w:p>
    <w:p w14:paraId="3F70077F">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1.1 产品/服务内容：</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p>
    <w:p w14:paraId="6282A316">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1.2 服务期限：</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p>
    <w:p w14:paraId="4AC85621">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1.3 补充条款：</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w:t>
      </w:r>
    </w:p>
    <w:p w14:paraId="18AEBC1E">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二、合同金额</w:t>
      </w:r>
    </w:p>
    <w:p w14:paraId="202E9612">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2.1 本合同金额为（大写）：_________________元整（</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__________）人民币。</w:t>
      </w:r>
    </w:p>
    <w:p w14:paraId="41B222AD">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本合同价款包含所有乙方提供合同约定产品和服务的报酬及乙方提供合同中产品和服务所支出的必要费用，甲方在上述合同价款之外不再向乙方支付其他任何费用。</w:t>
      </w:r>
    </w:p>
    <w:p w14:paraId="5257ED20">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三、技术资料</w:t>
      </w:r>
    </w:p>
    <w:p w14:paraId="5325504A">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3.1</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乙方应按招标文件规定的时间向甲方提供有关技术资料。</w:t>
      </w:r>
    </w:p>
    <w:p w14:paraId="20B97FF3">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F3A9C2C">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四、知识产权</w:t>
      </w:r>
    </w:p>
    <w:p w14:paraId="01F93989">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 xml:space="preserve">4.1 </w:t>
      </w:r>
      <w:r>
        <w:rPr>
          <w:rFonts w:ascii="Times New Roman" w:hAnsi="宋体" w:eastAsia="宋体" w:cs="Times New Roman"/>
          <w:color w:val="auto"/>
          <w:sz w:val="24"/>
          <w:szCs w:val="24"/>
          <w:highlight w:val="none"/>
        </w:rPr>
        <w:t>乙</w:t>
      </w:r>
      <w:r>
        <w:rPr>
          <w:rFonts w:hint="eastAsia" w:ascii="宋体" w:hAnsi="宋体" w:eastAsia="宋体" w:cs="Times New Roman"/>
          <w:color w:val="auto"/>
          <w:sz w:val="24"/>
          <w:szCs w:val="24"/>
          <w:highlight w:val="none"/>
        </w:rPr>
        <w:t>方应保证甲方在使用、接受本合同</w:t>
      </w:r>
      <w:r>
        <w:rPr>
          <w:rFonts w:ascii="Times New Roman" w:hAnsi="宋体" w:eastAsia="宋体" w:cs="Times New Roman"/>
          <w:color w:val="auto"/>
          <w:sz w:val="24"/>
          <w:szCs w:val="24"/>
          <w:highlight w:val="none"/>
        </w:rPr>
        <w:t>中产品和服务</w:t>
      </w:r>
      <w:r>
        <w:rPr>
          <w:rFonts w:hint="eastAsia" w:ascii="宋体" w:hAnsi="宋体" w:eastAsia="宋体" w:cs="Times New Roman"/>
          <w:color w:val="auto"/>
          <w:sz w:val="24"/>
          <w:szCs w:val="24"/>
          <w:highlight w:val="none"/>
        </w:rPr>
        <w:t>或其任何一部分时不受第三方提出侵犯其专利权、版权、商标权和工业设计权等知识产权的起诉。一旦出现侵权，由乙方负全部责任。</w:t>
      </w:r>
    </w:p>
    <w:p w14:paraId="17D1EAFB">
      <w:pPr>
        <w:keepNext w:val="0"/>
        <w:keepLines w:val="0"/>
        <w:pageBreakBefore w:val="0"/>
        <w:widowControl w:val="0"/>
        <w:spacing w:line="520" w:lineRule="exact"/>
        <w:ind w:firstLine="482"/>
        <w:jc w:val="left"/>
        <w:rPr>
          <w:rFonts w:ascii="宋体" w:hAnsi="宋体" w:eastAsia="宋体" w:cs="Times New Roman"/>
          <w:color w:val="auto"/>
          <w:sz w:val="24"/>
          <w:szCs w:val="24"/>
          <w:highlight w:val="none"/>
          <w:u w:val="single"/>
        </w:rPr>
      </w:pPr>
      <w:r>
        <w:rPr>
          <w:rFonts w:ascii="宋体" w:hAnsi="宋体" w:eastAsia="宋体" w:cs="Times New Roman"/>
          <w:b/>
          <w:color w:val="auto"/>
          <w:sz w:val="24"/>
          <w:szCs w:val="24"/>
          <w:highlight w:val="none"/>
        </w:rPr>
        <w:t>五、产权担保</w:t>
      </w:r>
    </w:p>
    <w:p w14:paraId="671A16AA">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 xml:space="preserve">5.1 </w:t>
      </w:r>
      <w:r>
        <w:rPr>
          <w:rFonts w:ascii="宋体" w:hAnsi="宋体" w:eastAsia="宋体" w:cs="Times New Roman"/>
          <w:color w:val="auto"/>
          <w:sz w:val="24"/>
          <w:szCs w:val="24"/>
          <w:highlight w:val="none"/>
        </w:rPr>
        <w:t>乙方保证所交付标的的所有权完全属于乙方且无任何抵押、查封等产权瑕疵。</w:t>
      </w:r>
    </w:p>
    <w:p w14:paraId="6F6F588B">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六、履约保证金</w:t>
      </w:r>
    </w:p>
    <w:p w14:paraId="7BB605B6">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收取履约保证金时：</w:t>
      </w:r>
    </w:p>
    <w:p w14:paraId="08E32AFC">
      <w:pPr>
        <w:keepNext w:val="0"/>
        <w:keepLines w:val="0"/>
        <w:pageBreakBefore w:val="0"/>
        <w:widowControl w:val="0"/>
        <w:spacing w:line="520" w:lineRule="exact"/>
        <w:ind w:left="0" w:firstLine="480"/>
        <w:rPr>
          <w:rFonts w:hint="eastAsia" w:ascii="宋体" w:hAnsi="宋体" w:eastAsia="宋体" w:cs="宋体"/>
          <w:bCs/>
          <w:color w:val="auto"/>
          <w:sz w:val="24"/>
          <w:szCs w:val="24"/>
          <w:highlight w:val="none"/>
          <w:lang w:val="zh-TW" w:eastAsia="zh-TW"/>
        </w:rPr>
      </w:pPr>
      <w:r>
        <w:rPr>
          <w:rFonts w:hint="eastAsia" w:ascii="宋体" w:hAnsi="宋体" w:eastAsia="宋体" w:cs="宋体"/>
          <w:bCs/>
          <w:color w:val="auto"/>
          <w:sz w:val="24"/>
          <w:szCs w:val="24"/>
          <w:highlight w:val="none"/>
          <w:lang w:val="zh-TW" w:eastAsia="zh-TW"/>
        </w:rPr>
        <w:t>（1）本项目收取履约保证金，金额为</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lang w:val="en-US" w:eastAsia="zh-CN"/>
        </w:rPr>
        <w:t>元</w:t>
      </w:r>
      <w:r>
        <w:rPr>
          <w:rFonts w:hint="eastAsia" w:ascii="宋体" w:hAnsi="宋体" w:eastAsia="宋体" w:cs="宋体"/>
          <w:bCs/>
          <w:color w:val="auto"/>
          <w:sz w:val="24"/>
          <w:szCs w:val="24"/>
          <w:highlight w:val="none"/>
          <w:lang w:val="zh-TW" w:eastAsia="zh-TW"/>
        </w:rPr>
        <w:t>。</w:t>
      </w:r>
    </w:p>
    <w:p w14:paraId="41BC45CE">
      <w:pPr>
        <w:keepNext w:val="0"/>
        <w:keepLines w:val="0"/>
        <w:pageBreakBefore w:val="0"/>
        <w:widowControl w:val="0"/>
        <w:spacing w:line="520" w:lineRule="exact"/>
        <w:ind w:left="0" w:firstLine="480"/>
        <w:rPr>
          <w:rFonts w:hint="eastAsia" w:ascii="宋体" w:hAnsi="宋体" w:eastAsia="宋体" w:cs="宋体"/>
          <w:bCs/>
          <w:color w:val="auto"/>
          <w:sz w:val="24"/>
          <w:szCs w:val="24"/>
          <w:highlight w:val="none"/>
          <w:lang w:val="zh-TW" w:eastAsia="zh-TW"/>
        </w:rPr>
      </w:pP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zh-TW" w:eastAsia="zh-TW"/>
        </w:rPr>
        <w:t>履约保证金</w:t>
      </w:r>
      <w:r>
        <w:rPr>
          <w:rFonts w:hint="eastAsia" w:ascii="宋体" w:hAnsi="宋体" w:eastAsia="宋体" w:cs="宋体"/>
          <w:bCs/>
          <w:color w:val="auto"/>
          <w:sz w:val="24"/>
          <w:szCs w:val="24"/>
          <w:highlight w:val="none"/>
          <w:lang w:val="en-US" w:eastAsia="zh-CN"/>
        </w:rPr>
        <w:t>提交形式：</w:t>
      </w:r>
      <w:r>
        <w:rPr>
          <w:rFonts w:hint="eastAsia" w:ascii="宋体" w:hAnsi="宋体" w:eastAsia="宋体" w:cs="宋体"/>
          <w:bCs/>
          <w:color w:val="auto"/>
          <w:sz w:val="24"/>
          <w:szCs w:val="24"/>
          <w:highlight w:val="none"/>
          <w:lang w:val="zh-TW" w:eastAsia="zh-TW"/>
        </w:rPr>
        <w:t>中标人应当以</w:t>
      </w:r>
      <w:r>
        <w:rPr>
          <w:rFonts w:hint="eastAsia" w:ascii="宋体" w:hAnsi="宋体" w:eastAsia="宋体" w:cs="宋体"/>
          <w:bCs/>
          <w:color w:val="auto"/>
          <w:sz w:val="24"/>
          <w:szCs w:val="24"/>
          <w:highlight w:val="none"/>
          <w:lang w:val="en-US" w:eastAsia="zh-CN"/>
        </w:rPr>
        <w:t>汇款、</w:t>
      </w:r>
      <w:r>
        <w:rPr>
          <w:rFonts w:hint="eastAsia" w:ascii="宋体" w:hAnsi="宋体" w:eastAsia="宋体" w:cs="宋体"/>
          <w:bCs/>
          <w:color w:val="auto"/>
          <w:sz w:val="24"/>
          <w:szCs w:val="24"/>
          <w:highlight w:val="none"/>
          <w:lang w:val="zh-TW" w:eastAsia="zh-TW"/>
        </w:rPr>
        <w:t>支票、汇票、本票或者金融机构、担保机构出具的保函等非现金形式在合同签订前提交(中标人可自愿使用履约保函(保险)代替交纳约保证金，详情请见《关于在全省政府采购领域推行电子履约保函(保险)的通知》(苏财购(2023)150 号)规定)。</w:t>
      </w:r>
    </w:p>
    <w:p w14:paraId="6AFE759A">
      <w:pPr>
        <w:keepNext w:val="0"/>
        <w:keepLines w:val="0"/>
        <w:pageBreakBefore w:val="0"/>
        <w:widowControl w:val="0"/>
        <w:spacing w:line="520" w:lineRule="exact"/>
        <w:ind w:left="0" w:firstLine="480"/>
        <w:rPr>
          <w:rFonts w:hint="eastAsia" w:ascii="宋体" w:hAnsi="宋体" w:eastAsia="宋体" w:cs="宋体"/>
          <w:bCs/>
          <w:color w:val="auto"/>
          <w:sz w:val="24"/>
          <w:szCs w:val="24"/>
          <w:highlight w:val="none"/>
          <w:lang w:val="zh-TW" w:eastAsia="zh-TW"/>
        </w:rPr>
      </w:pP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zh-TW" w:eastAsia="zh-TW"/>
        </w:rPr>
        <w:t>履约保证金</w:t>
      </w:r>
      <w:r>
        <w:rPr>
          <w:rFonts w:hint="eastAsia" w:ascii="宋体" w:hAnsi="宋体" w:eastAsia="宋体" w:cs="宋体"/>
          <w:bCs/>
          <w:color w:val="auto"/>
          <w:sz w:val="24"/>
          <w:szCs w:val="24"/>
          <w:highlight w:val="none"/>
          <w:lang w:val="en-US" w:eastAsia="zh-CN"/>
        </w:rPr>
        <w:t>退还时间：</w:t>
      </w:r>
      <w:r>
        <w:rPr>
          <w:rFonts w:hint="eastAsia" w:ascii="宋体" w:hAnsi="宋体" w:eastAsia="宋体" w:cs="宋体"/>
          <w:bCs/>
          <w:color w:val="auto"/>
          <w:sz w:val="24"/>
          <w:szCs w:val="24"/>
          <w:highlight w:val="none"/>
          <w:lang w:val="zh-TW" w:eastAsia="zh-TW"/>
        </w:rPr>
        <w:t>履约保证金自合同生效之日起至合同约定的中标人主要义务履行完毕止</w:t>
      </w:r>
      <w:r>
        <w:rPr>
          <w:rFonts w:hint="eastAsia" w:ascii="宋体" w:hAnsi="宋体" w:eastAsia="宋体" w:cs="宋体"/>
          <w:bCs/>
          <w:color w:val="auto"/>
          <w:sz w:val="24"/>
          <w:szCs w:val="24"/>
          <w:highlight w:val="none"/>
          <w:lang w:val="en-US" w:eastAsia="zh-CN"/>
        </w:rPr>
        <w:t>十个工作日之内</w:t>
      </w:r>
      <w:r>
        <w:rPr>
          <w:rFonts w:hint="eastAsia" w:ascii="宋体" w:hAnsi="宋体" w:eastAsia="宋体" w:cs="宋体"/>
          <w:bCs/>
          <w:color w:val="auto"/>
          <w:sz w:val="24"/>
          <w:szCs w:val="24"/>
          <w:highlight w:val="none"/>
          <w:lang w:val="zh-TW" w:eastAsia="zh-TW"/>
        </w:rPr>
        <w:t>，采购人以非现金形式一次性退还履约保证金。</w:t>
      </w:r>
    </w:p>
    <w:p w14:paraId="3588B383">
      <w:pPr>
        <w:keepNext w:val="0"/>
        <w:keepLines w:val="0"/>
        <w:pageBreakBefore w:val="0"/>
        <w:widowControl w:val="0"/>
        <w:spacing w:line="520" w:lineRule="exact"/>
        <w:ind w:left="0" w:firstLine="480"/>
        <w:rPr>
          <w:rFonts w:hint="eastAsia" w:ascii="宋体" w:hAnsi="宋体" w:eastAsia="宋体" w:cs="宋体"/>
          <w:bCs/>
          <w:color w:val="auto"/>
          <w:sz w:val="24"/>
          <w:szCs w:val="24"/>
          <w:highlight w:val="none"/>
          <w:lang w:val="zh-TW" w:eastAsia="zh-TW"/>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zh-TW" w:eastAsia="zh-TW"/>
        </w:rPr>
        <w:t>履约保证金</w:t>
      </w:r>
      <w:r>
        <w:rPr>
          <w:rFonts w:hint="eastAsia" w:ascii="宋体" w:hAnsi="宋体" w:eastAsia="宋体" w:cs="宋体"/>
          <w:bCs/>
          <w:color w:val="auto"/>
          <w:sz w:val="24"/>
          <w:szCs w:val="24"/>
          <w:highlight w:val="none"/>
          <w:lang w:val="en-US" w:eastAsia="zh-CN"/>
        </w:rPr>
        <w:t>退还方式：按照供应商缴纳方式退还。</w:t>
      </w:r>
    </w:p>
    <w:p w14:paraId="14F3E9B0">
      <w:pPr>
        <w:keepNext w:val="0"/>
        <w:keepLines w:val="0"/>
        <w:pageBreakBefore w:val="0"/>
        <w:widowControl w:val="0"/>
        <w:spacing w:line="520" w:lineRule="exact"/>
        <w:ind w:left="0" w:firstLine="480"/>
        <w:rPr>
          <w:rFonts w:hint="eastAsia" w:ascii="宋体" w:hAnsi="宋体" w:eastAsia="宋体" w:cs="宋体"/>
          <w:bCs/>
          <w:color w:val="auto"/>
          <w:sz w:val="24"/>
          <w:szCs w:val="24"/>
          <w:highlight w:val="none"/>
          <w:lang w:val="zh-TW" w:eastAsia="zh-TW"/>
        </w:rPr>
      </w:pP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zh-TW" w:eastAsia="zh-TW"/>
        </w:rPr>
        <w:t>中标人违约</w:t>
      </w:r>
      <w:r>
        <w:rPr>
          <w:rFonts w:hint="eastAsia" w:ascii="宋体" w:hAnsi="宋体" w:eastAsia="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zh-TW" w:eastAsia="zh-TW"/>
        </w:rPr>
        <w:t>采购人将按照合同约定扣除其全部或部分履约保证金。如中标人违约给采购人造成的损失超过履约保证金的，应当依法赔偿超过部分的损失。</w:t>
      </w:r>
    </w:p>
    <w:p w14:paraId="76D38D6E">
      <w:pPr>
        <w:keepNext w:val="0"/>
        <w:keepLines w:val="0"/>
        <w:pageBreakBefore w:val="0"/>
        <w:widowControl w:val="0"/>
        <w:spacing w:line="520" w:lineRule="exact"/>
        <w:ind w:left="0" w:firstLine="480"/>
        <w:rPr>
          <w:rFonts w:ascii="宋体" w:hAnsi="宋体" w:eastAsia="宋体" w:cs="Times New Roman"/>
          <w:color w:val="auto"/>
          <w:sz w:val="24"/>
          <w:szCs w:val="24"/>
          <w:highlight w:val="none"/>
        </w:rPr>
      </w:pP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zh-TW" w:eastAsia="zh-CN"/>
        </w:rPr>
        <w:t>）</w:t>
      </w:r>
      <w:r>
        <w:rPr>
          <w:rFonts w:hint="eastAsia" w:ascii="宋体" w:hAnsi="宋体" w:eastAsia="宋体" w:cs="宋体"/>
          <w:bCs/>
          <w:color w:val="auto"/>
          <w:sz w:val="24"/>
          <w:szCs w:val="24"/>
          <w:highlight w:val="none"/>
          <w:lang w:val="en-US" w:eastAsia="zh-CN"/>
        </w:rPr>
        <w:t>逾期退还履约保证金的采购人承担违约责任，按照中国人民银行同期贷款基准利率支付超期资金占用费。</w:t>
      </w:r>
    </w:p>
    <w:p w14:paraId="5C8EE9DC">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七、转包或分包</w:t>
      </w:r>
    </w:p>
    <w:p w14:paraId="2B4EAF62">
      <w:pPr>
        <w:keepNext w:val="0"/>
        <w:keepLines w:val="0"/>
        <w:pageBreakBefore w:val="0"/>
        <w:widowControl w:val="0"/>
        <w:spacing w:line="520" w:lineRule="exact"/>
        <w:ind w:firstLine="480"/>
        <w:jc w:val="left"/>
        <w:rPr>
          <w:rFonts w:ascii="宋体" w:hAnsi="宋体" w:eastAsia="仿宋_GB2312" w:cs="Times New Roman"/>
          <w:color w:val="auto"/>
          <w:sz w:val="24"/>
          <w:szCs w:val="24"/>
          <w:highlight w:val="none"/>
        </w:rPr>
      </w:pPr>
      <w:r>
        <w:rPr>
          <w:rFonts w:ascii="宋体" w:hAnsi="宋体" w:eastAsia="宋体" w:cs="Times New Roman"/>
          <w:color w:val="auto"/>
          <w:sz w:val="24"/>
          <w:szCs w:val="24"/>
          <w:highlight w:val="none"/>
        </w:rPr>
        <w:t>7.1</w:t>
      </w:r>
      <w:r>
        <w:rPr>
          <w:rFonts w:hint="eastAsia" w:ascii="宋体" w:hAnsi="宋体" w:eastAsia="宋体" w:cs="Times New Roman"/>
          <w:color w:val="auto"/>
          <w:sz w:val="24"/>
          <w:szCs w:val="24"/>
          <w:highlight w:val="none"/>
        </w:rPr>
        <w:t xml:space="preserve"> 本合同范围内产品或服务，应由乙方直接供应，不得转让他人供应；</w:t>
      </w:r>
    </w:p>
    <w:p w14:paraId="112840E7">
      <w:pPr>
        <w:keepNext w:val="0"/>
        <w:keepLines w:val="0"/>
        <w:pageBreakBefore w:val="0"/>
        <w:widowControl w:val="0"/>
        <w:spacing w:line="520" w:lineRule="exact"/>
        <w:ind w:firstLine="480"/>
        <w:jc w:val="left"/>
        <w:rPr>
          <w:rFonts w:ascii="宋体" w:hAnsi="宋体" w:eastAsia="仿宋_GB2312" w:cs="Times New Roman"/>
          <w:color w:val="auto"/>
          <w:sz w:val="24"/>
          <w:szCs w:val="24"/>
          <w:highlight w:val="none"/>
        </w:rPr>
      </w:pPr>
      <w:r>
        <w:rPr>
          <w:rFonts w:ascii="宋体" w:hAnsi="宋体" w:eastAsia="宋体" w:cs="Times New Roman"/>
          <w:color w:val="auto"/>
          <w:sz w:val="24"/>
          <w:szCs w:val="24"/>
          <w:highlight w:val="none"/>
        </w:rPr>
        <w:t xml:space="preserve">7.2 </w:t>
      </w:r>
      <w:r>
        <w:rPr>
          <w:rFonts w:hint="eastAsia" w:ascii="宋体" w:hAnsi="宋体" w:eastAsia="宋体" w:cs="Times New Roman"/>
          <w:color w:val="auto"/>
          <w:sz w:val="24"/>
          <w:szCs w:val="24"/>
          <w:highlight w:val="none"/>
        </w:rPr>
        <w:t>除非得到甲方的书面同意，乙方不得部分分包给他人供应。</w:t>
      </w:r>
    </w:p>
    <w:p w14:paraId="753CA518">
      <w:pPr>
        <w:keepNext w:val="0"/>
        <w:keepLines w:val="0"/>
        <w:pageBreakBefore w:val="0"/>
        <w:widowControl w:val="0"/>
        <w:spacing w:line="520" w:lineRule="exact"/>
        <w:ind w:firstLine="480"/>
        <w:jc w:val="left"/>
        <w:rPr>
          <w:rFonts w:ascii="宋体" w:hAnsi="宋体" w:eastAsia="仿宋_GB2312" w:cs="Times New Roman"/>
          <w:color w:val="auto"/>
          <w:sz w:val="24"/>
          <w:szCs w:val="24"/>
          <w:highlight w:val="none"/>
        </w:rPr>
      </w:pPr>
      <w:r>
        <w:rPr>
          <w:rFonts w:ascii="宋体" w:hAnsi="宋体" w:eastAsia="宋体" w:cs="Times New Roman"/>
          <w:color w:val="auto"/>
          <w:sz w:val="24"/>
          <w:szCs w:val="24"/>
          <w:highlight w:val="none"/>
        </w:rPr>
        <w:t>7.3</w:t>
      </w:r>
      <w:r>
        <w:rPr>
          <w:rFonts w:hint="eastAsia" w:ascii="宋体" w:hAnsi="宋体" w:eastAsia="宋体" w:cs="Times New Roman"/>
          <w:color w:val="auto"/>
          <w:sz w:val="24"/>
          <w:szCs w:val="24"/>
          <w:highlight w:val="none"/>
        </w:rPr>
        <w:t xml:space="preserve"> 如有转让和未经甲方同意的分包行为，甲方有权给予终止合同。 </w:t>
      </w:r>
    </w:p>
    <w:p w14:paraId="5116C6CF">
      <w:pPr>
        <w:keepNext w:val="0"/>
        <w:keepLines w:val="0"/>
        <w:pageBreakBefore w:val="0"/>
        <w:widowControl w:val="0"/>
        <w:spacing w:line="520" w:lineRule="exact"/>
        <w:ind w:firstLine="482"/>
        <w:jc w:val="left"/>
        <w:rPr>
          <w:rFonts w:ascii="宋体" w:hAnsi="宋体" w:eastAsia="宋体" w:cs="Times New Roman"/>
          <w:color w:val="auto"/>
          <w:sz w:val="24"/>
          <w:szCs w:val="24"/>
          <w:highlight w:val="none"/>
        </w:rPr>
      </w:pPr>
      <w:r>
        <w:rPr>
          <w:rFonts w:ascii="宋体" w:hAnsi="宋体" w:eastAsia="宋体" w:cs="Times New Roman"/>
          <w:b/>
          <w:color w:val="auto"/>
          <w:sz w:val="24"/>
          <w:szCs w:val="24"/>
          <w:highlight w:val="none"/>
        </w:rPr>
        <w:t>八、</w:t>
      </w:r>
      <w:r>
        <w:rPr>
          <w:rFonts w:hint="eastAsia" w:ascii="宋体" w:hAnsi="宋体" w:eastAsia="宋体" w:cs="Times New Roman"/>
          <w:b/>
          <w:color w:val="auto"/>
          <w:sz w:val="24"/>
          <w:szCs w:val="24"/>
          <w:highlight w:val="none"/>
        </w:rPr>
        <w:t>服务期</w:t>
      </w:r>
    </w:p>
    <w:p w14:paraId="2B180A1E">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8.1 服务期</w:t>
      </w:r>
      <w:r>
        <w:rPr>
          <w:rFonts w:ascii="宋体" w:hAnsi="宋体" w:eastAsia="宋体" w:cs="Times New Roman"/>
          <w:color w:val="auto"/>
          <w:sz w:val="24"/>
          <w:szCs w:val="24"/>
          <w:highlight w:val="none"/>
          <w:u w:val="single"/>
        </w:rPr>
        <w:t xml:space="preserve"> </w:t>
      </w:r>
      <w:r>
        <w:rPr>
          <w:rFonts w:hint="eastAsia" w:ascii="宋体" w:hAnsi="宋体" w:cs="Times New Roman"/>
          <w:color w:val="auto"/>
          <w:sz w:val="24"/>
          <w:szCs w:val="24"/>
          <w:highlight w:val="none"/>
          <w:u w:val="single"/>
          <w:lang w:val="en-US" w:eastAsia="zh-CN"/>
        </w:rPr>
        <w:t xml:space="preserve">                       </w:t>
      </w:r>
      <w:r>
        <w:rPr>
          <w:rFonts w:hint="eastAsia" w:ascii="宋体" w:hAnsi="宋体" w:cs="Times New Roman"/>
          <w:color w:val="auto"/>
          <w:sz w:val="24"/>
          <w:szCs w:val="24"/>
          <w:highlight w:val="none"/>
          <w:lang w:val="en-US" w:eastAsia="zh-CN"/>
        </w:rPr>
        <w:t xml:space="preserve"> </w:t>
      </w:r>
      <w:r>
        <w:rPr>
          <w:rFonts w:ascii="宋体" w:hAnsi="宋体" w:eastAsia="宋体" w:cs="Times New Roman"/>
          <w:color w:val="auto"/>
          <w:sz w:val="24"/>
          <w:szCs w:val="24"/>
          <w:highlight w:val="none"/>
        </w:rPr>
        <w:t>。</w:t>
      </w:r>
    </w:p>
    <w:p w14:paraId="1220E939">
      <w:pPr>
        <w:keepNext w:val="0"/>
        <w:keepLines w:val="0"/>
        <w:pageBreakBefore w:val="0"/>
        <w:widowControl w:val="0"/>
        <w:spacing w:line="520" w:lineRule="exact"/>
        <w:ind w:firstLine="482"/>
        <w:jc w:val="left"/>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九、交付期、交付方式及交付地点</w:t>
      </w:r>
    </w:p>
    <w:p w14:paraId="6D04B394">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bCs/>
          <w:color w:val="auto"/>
          <w:sz w:val="24"/>
          <w:szCs w:val="24"/>
          <w:highlight w:val="none"/>
        </w:rPr>
        <w:t>9.1</w:t>
      </w:r>
      <w:r>
        <w:rPr>
          <w:rFonts w:hint="eastAsia" w:ascii="宋体" w:hAnsi="宋体" w:eastAsia="宋体" w:cs="Times New Roman"/>
          <w:bCs/>
          <w:color w:val="auto"/>
          <w:sz w:val="24"/>
          <w:szCs w:val="24"/>
          <w:highlight w:val="none"/>
        </w:rPr>
        <w:t xml:space="preserve"> </w:t>
      </w:r>
      <w:r>
        <w:rPr>
          <w:rFonts w:ascii="宋体" w:hAnsi="宋体" w:eastAsia="宋体" w:cs="Times New Roman"/>
          <w:bCs/>
          <w:color w:val="auto"/>
          <w:sz w:val="24"/>
          <w:szCs w:val="24"/>
          <w:highlight w:val="none"/>
        </w:rPr>
        <w:t>交 付 期：</w:t>
      </w:r>
      <w:r>
        <w:rPr>
          <w:rFonts w:ascii="宋体" w:hAnsi="宋体" w:eastAsia="宋体" w:cs="Times New Roman"/>
          <w:color w:val="auto"/>
          <w:sz w:val="24"/>
          <w:szCs w:val="24"/>
          <w:highlight w:val="none"/>
        </w:rPr>
        <w:t xml:space="preserve">_________。   </w:t>
      </w:r>
    </w:p>
    <w:p w14:paraId="778290D4">
      <w:pPr>
        <w:keepNext w:val="0"/>
        <w:keepLines w:val="0"/>
        <w:pageBreakBefore w:val="0"/>
        <w:widowControl w:val="0"/>
        <w:spacing w:line="520" w:lineRule="exact"/>
        <w:ind w:firstLine="480"/>
        <w:jc w:val="left"/>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9.2</w:t>
      </w:r>
      <w:r>
        <w:rPr>
          <w:rFonts w:hint="eastAsia" w:ascii="宋体" w:hAnsi="宋体" w:eastAsia="宋体" w:cs="Times New Roman"/>
          <w:bCs/>
          <w:color w:val="auto"/>
          <w:sz w:val="24"/>
          <w:szCs w:val="24"/>
          <w:highlight w:val="none"/>
        </w:rPr>
        <w:t xml:space="preserve"> </w:t>
      </w:r>
      <w:r>
        <w:rPr>
          <w:rFonts w:ascii="宋体" w:hAnsi="宋体" w:eastAsia="宋体" w:cs="Times New Roman"/>
          <w:bCs/>
          <w:color w:val="auto"/>
          <w:sz w:val="24"/>
          <w:szCs w:val="24"/>
          <w:highlight w:val="none"/>
        </w:rPr>
        <w:t>交付方式：</w:t>
      </w:r>
      <w:r>
        <w:rPr>
          <w:rFonts w:ascii="宋体" w:hAnsi="宋体" w:eastAsia="宋体" w:cs="Times New Roman"/>
          <w:color w:val="auto"/>
          <w:sz w:val="24"/>
          <w:szCs w:val="24"/>
          <w:highlight w:val="none"/>
        </w:rPr>
        <w:t>_________。</w:t>
      </w:r>
    </w:p>
    <w:p w14:paraId="33A3CA1D">
      <w:pPr>
        <w:keepNext w:val="0"/>
        <w:keepLines w:val="0"/>
        <w:pageBreakBefore w:val="0"/>
        <w:widowControl w:val="0"/>
        <w:spacing w:line="520" w:lineRule="exact"/>
        <w:ind w:firstLine="480"/>
        <w:jc w:val="left"/>
        <w:rPr>
          <w:rFonts w:ascii="宋体" w:hAnsi="宋体" w:eastAsia="宋体" w:cs="Times New Roman"/>
          <w:b/>
          <w:color w:val="auto"/>
          <w:sz w:val="24"/>
          <w:szCs w:val="24"/>
          <w:highlight w:val="none"/>
        </w:rPr>
      </w:pPr>
      <w:r>
        <w:rPr>
          <w:rFonts w:ascii="宋体" w:hAnsi="宋体" w:eastAsia="宋体" w:cs="Times New Roman"/>
          <w:bCs/>
          <w:color w:val="auto"/>
          <w:sz w:val="24"/>
          <w:szCs w:val="24"/>
          <w:highlight w:val="none"/>
        </w:rPr>
        <w:t>9.3</w:t>
      </w:r>
      <w:r>
        <w:rPr>
          <w:rFonts w:hint="eastAsia" w:ascii="宋体" w:hAnsi="宋体" w:eastAsia="宋体" w:cs="Times New Roman"/>
          <w:bCs/>
          <w:color w:val="auto"/>
          <w:sz w:val="24"/>
          <w:szCs w:val="24"/>
          <w:highlight w:val="none"/>
        </w:rPr>
        <w:t xml:space="preserve"> </w:t>
      </w:r>
      <w:r>
        <w:rPr>
          <w:rFonts w:ascii="宋体" w:hAnsi="宋体" w:eastAsia="宋体" w:cs="Times New Roman"/>
          <w:bCs/>
          <w:color w:val="auto"/>
          <w:sz w:val="24"/>
          <w:szCs w:val="24"/>
          <w:highlight w:val="none"/>
        </w:rPr>
        <w:t>交付地点：</w:t>
      </w:r>
      <w:r>
        <w:rPr>
          <w:rFonts w:ascii="宋体" w:hAnsi="宋体" w:eastAsia="宋体" w:cs="Times New Roman"/>
          <w:color w:val="auto"/>
          <w:sz w:val="24"/>
          <w:szCs w:val="24"/>
          <w:highlight w:val="none"/>
        </w:rPr>
        <w:t>_________。</w:t>
      </w:r>
    </w:p>
    <w:p w14:paraId="3B32D2C9">
      <w:pPr>
        <w:keepNext w:val="0"/>
        <w:keepLines w:val="0"/>
        <w:pageBreakBefore w:val="0"/>
        <w:widowControl w:val="0"/>
        <w:spacing w:line="520" w:lineRule="exact"/>
        <w:ind w:firstLine="482"/>
        <w:jc w:val="left"/>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十、合同款支付</w:t>
      </w:r>
    </w:p>
    <w:p w14:paraId="6BFC1A3F">
      <w:pPr>
        <w:keepNext w:val="0"/>
        <w:keepLines w:val="0"/>
        <w:pageBreakBefore w:val="0"/>
        <w:widowControl w:val="0"/>
        <w:spacing w:line="520" w:lineRule="exact"/>
        <w:ind w:firstLine="480"/>
        <w:jc w:val="left"/>
        <w:rPr>
          <w:rFonts w:ascii="Times New Roman" w:hAnsi="宋体" w:eastAsia="宋体" w:cs="Times New Roman"/>
          <w:color w:val="auto"/>
          <w:sz w:val="24"/>
          <w:szCs w:val="24"/>
          <w:highlight w:val="none"/>
        </w:rPr>
      </w:pPr>
      <w:r>
        <w:rPr>
          <w:rFonts w:ascii="宋体" w:hAnsi="宋体" w:eastAsia="宋体" w:cs="Times New Roman"/>
          <w:bCs/>
          <w:color w:val="auto"/>
          <w:sz w:val="24"/>
          <w:szCs w:val="24"/>
          <w:highlight w:val="none"/>
        </w:rPr>
        <w:t>10.1</w:t>
      </w:r>
      <w:r>
        <w:rPr>
          <w:rFonts w:hint="eastAsia" w:ascii="宋体" w:hAnsi="宋体" w:eastAsia="宋体" w:cs="Times New Roman"/>
          <w:bCs/>
          <w:color w:val="auto"/>
          <w:sz w:val="24"/>
          <w:szCs w:val="24"/>
          <w:highlight w:val="none"/>
        </w:rPr>
        <w:t xml:space="preserve"> </w:t>
      </w:r>
      <w:r>
        <w:rPr>
          <w:rFonts w:ascii="Times New Roman" w:hAnsi="宋体" w:eastAsia="宋体" w:cs="Times New Roman"/>
          <w:bCs/>
          <w:color w:val="auto"/>
          <w:sz w:val="24"/>
          <w:szCs w:val="24"/>
          <w:highlight w:val="none"/>
        </w:rPr>
        <w:t>付款方式：</w:t>
      </w:r>
      <w:r>
        <w:rPr>
          <w:rFonts w:ascii="Times New Roman" w:hAnsi="宋体" w:eastAsia="宋体" w:cs="Times New Roman"/>
          <w:color w:val="auto"/>
          <w:sz w:val="24"/>
          <w:szCs w:val="24"/>
          <w:highlight w:val="none"/>
          <w:u w:val="single"/>
        </w:rPr>
        <w:t xml:space="preserve">        </w:t>
      </w:r>
      <w:r>
        <w:rPr>
          <w:rFonts w:ascii="Times New Roman" w:hAnsi="宋体" w:eastAsia="宋体" w:cs="Times New Roman"/>
          <w:color w:val="auto"/>
          <w:sz w:val="24"/>
          <w:szCs w:val="24"/>
          <w:highlight w:val="none"/>
        </w:rPr>
        <w:t>。</w:t>
      </w:r>
    </w:p>
    <w:p w14:paraId="4BB0051A">
      <w:pPr>
        <w:keepNext w:val="0"/>
        <w:keepLines w:val="0"/>
        <w:pageBreakBefore w:val="0"/>
        <w:widowControl w:val="0"/>
        <w:spacing w:line="520" w:lineRule="exact"/>
        <w:ind w:firstLine="480"/>
        <w:jc w:val="left"/>
        <w:rPr>
          <w:rFonts w:ascii="Times New Roman" w:hAnsi="Times New Roman" w:eastAsia="宋体" w:cs="Times New Roman"/>
          <w:bCs/>
          <w:color w:val="auto"/>
          <w:sz w:val="24"/>
          <w:szCs w:val="24"/>
          <w:highlight w:val="none"/>
        </w:rPr>
      </w:pPr>
      <w:r>
        <w:rPr>
          <w:rFonts w:ascii="宋体" w:hAnsi="宋体" w:eastAsia="宋体" w:cs="Times New Roman"/>
          <w:bCs/>
          <w:color w:val="auto"/>
          <w:sz w:val="24"/>
          <w:szCs w:val="24"/>
          <w:highlight w:val="none"/>
        </w:rPr>
        <w:t>10.2</w:t>
      </w:r>
      <w:r>
        <w:rPr>
          <w:rFonts w:hint="eastAsia" w:ascii="宋体" w:hAnsi="宋体" w:eastAsia="宋体" w:cs="Times New Roman"/>
          <w:bCs/>
          <w:color w:val="auto"/>
          <w:sz w:val="24"/>
          <w:szCs w:val="24"/>
          <w:highlight w:val="none"/>
        </w:rPr>
        <w:t xml:space="preserve"> </w:t>
      </w:r>
      <w:r>
        <w:rPr>
          <w:rFonts w:ascii="Times New Roman" w:hAnsi="宋体" w:eastAsia="宋体" w:cs="Times New Roman"/>
          <w:color w:val="auto"/>
          <w:sz w:val="24"/>
          <w:szCs w:val="24"/>
          <w:highlight w:val="none"/>
        </w:rPr>
        <w:t>当采购数量与实际使用数量不一致时，乙方根据实际使用量提供</w:t>
      </w:r>
      <w:r>
        <w:rPr>
          <w:rFonts w:ascii="宋体" w:hAnsi="宋体" w:eastAsia="宋体" w:cs="Times New Roman"/>
          <w:color w:val="auto"/>
          <w:sz w:val="24"/>
          <w:szCs w:val="24"/>
          <w:highlight w:val="none"/>
        </w:rPr>
        <w:t>产品和服务</w:t>
      </w:r>
      <w:r>
        <w:rPr>
          <w:rFonts w:ascii="Times New Roman" w:hAnsi="宋体" w:eastAsia="宋体" w:cs="Times New Roman"/>
          <w:color w:val="auto"/>
          <w:sz w:val="24"/>
          <w:szCs w:val="24"/>
          <w:highlight w:val="none"/>
        </w:rPr>
        <w:t>，合同的最终结算金额按实际使用量乘以中标单价进行计算。</w:t>
      </w:r>
    </w:p>
    <w:p w14:paraId="1F382206">
      <w:pPr>
        <w:keepNext w:val="0"/>
        <w:keepLines w:val="0"/>
        <w:pageBreakBefore w:val="0"/>
        <w:widowControl w:val="0"/>
        <w:spacing w:line="520" w:lineRule="exact"/>
        <w:ind w:firstLine="482"/>
        <w:jc w:val="left"/>
        <w:rPr>
          <w:rFonts w:ascii="Times New Roman" w:hAnsi="Times New Roman" w:eastAsia="宋体" w:cs="Times New Roman"/>
          <w:b/>
          <w:color w:val="auto"/>
          <w:sz w:val="24"/>
          <w:szCs w:val="24"/>
          <w:highlight w:val="none"/>
        </w:rPr>
      </w:pPr>
      <w:r>
        <w:rPr>
          <w:rFonts w:ascii="Times New Roman" w:hAnsi="宋体" w:eastAsia="宋体" w:cs="Times New Roman"/>
          <w:b/>
          <w:color w:val="auto"/>
          <w:sz w:val="24"/>
          <w:szCs w:val="24"/>
          <w:highlight w:val="none"/>
        </w:rPr>
        <w:t>十一</w:t>
      </w:r>
      <w:r>
        <w:rPr>
          <w:rFonts w:hint="eastAsia" w:ascii="Times New Roman" w:hAnsi="Times New Roman" w:eastAsia="宋体" w:cs="Times New Roman"/>
          <w:b/>
          <w:color w:val="auto"/>
          <w:sz w:val="24"/>
          <w:szCs w:val="24"/>
          <w:highlight w:val="none"/>
        </w:rPr>
        <w:t>、</w:t>
      </w:r>
      <w:r>
        <w:rPr>
          <w:rFonts w:ascii="Times New Roman" w:hAnsi="宋体" w:eastAsia="宋体" w:cs="Times New Roman"/>
          <w:b/>
          <w:color w:val="auto"/>
          <w:sz w:val="24"/>
          <w:szCs w:val="24"/>
          <w:highlight w:val="none"/>
        </w:rPr>
        <w:t>税费</w:t>
      </w:r>
    </w:p>
    <w:p w14:paraId="43A1724E">
      <w:pPr>
        <w:keepNext w:val="0"/>
        <w:keepLines w:val="0"/>
        <w:pageBreakBefore w:val="0"/>
        <w:widowControl w:val="0"/>
        <w:spacing w:line="520" w:lineRule="exact"/>
        <w:ind w:firstLine="480"/>
        <w:jc w:val="left"/>
        <w:rPr>
          <w:rFonts w:ascii="宋体" w:hAnsi="宋体" w:eastAsia="仿宋_GB2312" w:cs="Times New Roman"/>
          <w:color w:val="auto"/>
          <w:sz w:val="24"/>
          <w:szCs w:val="24"/>
          <w:highlight w:val="none"/>
        </w:rPr>
      </w:pPr>
      <w:r>
        <w:rPr>
          <w:rFonts w:hint="eastAsia" w:ascii="宋体" w:hAnsi="宋体" w:eastAsia="宋体" w:cs="Times New Roman"/>
          <w:color w:val="auto"/>
          <w:sz w:val="24"/>
          <w:szCs w:val="24"/>
          <w:highlight w:val="none"/>
        </w:rPr>
        <w:t>11.1 本合同执行中相关的一切税费均由乙方负担。</w:t>
      </w:r>
    </w:p>
    <w:p w14:paraId="3A91BD21">
      <w:pPr>
        <w:keepNext w:val="0"/>
        <w:keepLines w:val="0"/>
        <w:pageBreakBefore w:val="0"/>
        <w:widowControl w:val="0"/>
        <w:spacing w:line="520" w:lineRule="exact"/>
        <w:ind w:firstLine="482"/>
        <w:jc w:val="left"/>
        <w:rPr>
          <w:rFonts w:ascii="宋体" w:hAnsi="宋体" w:eastAsia="宋体" w:cs="Times New Roman"/>
          <w:color w:val="auto"/>
          <w:sz w:val="24"/>
          <w:szCs w:val="24"/>
          <w:highlight w:val="none"/>
        </w:rPr>
      </w:pPr>
      <w:r>
        <w:rPr>
          <w:rFonts w:ascii="宋体" w:hAnsi="宋体" w:eastAsia="宋体" w:cs="Times New Roman"/>
          <w:b/>
          <w:color w:val="auto"/>
          <w:sz w:val="24"/>
          <w:szCs w:val="24"/>
          <w:highlight w:val="none"/>
        </w:rPr>
        <w:t>十二、质量保证及售后服务</w:t>
      </w:r>
    </w:p>
    <w:p w14:paraId="028E01A5">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12.1</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乙方应按招标文件规定和响应文件承诺的性能、技术要求、质量标准向甲方提供产品或服务。</w:t>
      </w:r>
    </w:p>
    <w:p w14:paraId="4D4B5D31">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12.2</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乙方提供的产品或服务在质保期内因其本身出现质量问题，根据实际情况，经双方协商，可按以下办法处理：</w:t>
      </w:r>
    </w:p>
    <w:p w14:paraId="3ECCC933">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（1）更换：由乙方承担所发生的全部费用。</w:t>
      </w:r>
    </w:p>
    <w:p w14:paraId="7E3575EC">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（2）合同终止处理：合同终止，并退还甲方支付的合同款，同时应承担由此产生的所有费用，甲方不承担发生任何费用。</w:t>
      </w:r>
    </w:p>
    <w:p w14:paraId="5A6E4785">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12.3</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如在使用过程中发生质量问题，乙方在接到甲方通知后在</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小时内到达甲方现场。</w:t>
      </w:r>
    </w:p>
    <w:p w14:paraId="31A8A1A2">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12.4</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在质保期内，乙方应对产品或服务出现的质量及安全问题负责处理解决并承担一切费用。</w:t>
      </w:r>
    </w:p>
    <w:p w14:paraId="78505D1A">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十三、验收</w:t>
      </w:r>
    </w:p>
    <w:p w14:paraId="6F82D1D1">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.1 甲方依法组织履约验收工作。</w:t>
      </w:r>
    </w:p>
    <w:p w14:paraId="08B84307">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.2 甲方在组织履约验收前，将根据项目特点制定验收方案，明确履约验收的时间、方式、程序等内容，并可根据项目特点对服务期内的服务实施情况进行分期考核，综合考核情况和服务效果进行验收。乙方应根据验收方案内容做好相应配合工作。</w:t>
      </w:r>
    </w:p>
    <w:p w14:paraId="1FF02003">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.3 对于实际使用人和甲方分离的项目，甲方邀请实际使用人参与验收。</w:t>
      </w:r>
    </w:p>
    <w:p w14:paraId="5A08DCF8">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.4 如有必要，甲方邀请参加本项目的其他供应商或第三方专业机构及专家参与验收，相关意见将作为验收书的参考资料。</w:t>
      </w:r>
    </w:p>
    <w:p w14:paraId="2111F3AE">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.5 甲方成立验收小组，按照采购合同的约定对乙方的履约情况进行验收。验收时,甲方按照采购合同的约定对每一项技术、服务、安全标准的履约情况进行确认。验收结束后,验收小组出具验收书,列明各项标准的验收情况及项目总体评价,由验收双方共同签署。验收结果与采购合同约定的资金支付及履约保证金返还条件挂钩。履约验收的各项资料存档备查。</w:t>
      </w:r>
    </w:p>
    <w:p w14:paraId="48BE2F08">
      <w:pPr>
        <w:keepNext w:val="0"/>
        <w:keepLines w:val="0"/>
        <w:pageBreakBefore w:val="0"/>
        <w:widowControl w:val="0"/>
        <w:spacing w:line="520" w:lineRule="exact"/>
        <w:ind w:firstLine="480"/>
        <w:jc w:val="left"/>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13</w:t>
      </w:r>
      <w:r>
        <w:rPr>
          <w:rFonts w:hint="eastAsia" w:ascii="宋体" w:hAnsi="宋体" w:eastAsia="宋体" w:cs="Times New Roman"/>
          <w:color w:val="auto"/>
          <w:sz w:val="24"/>
          <w:szCs w:val="24"/>
          <w:highlight w:val="none"/>
        </w:rPr>
        <w:t>.6 验收合格的项目,甲方根据采购合同的约定及时向乙方支付合同款项、退还履约保证金。验收不合格的项目，甲方依法及时处理。采购合同的履行、违约责任和解决争议的方式等适用《民法典》。乙方在履约过程中有政府采购法律法规规定的违法违规情形的,甲方将及时报告本级财政部门。</w:t>
      </w:r>
    </w:p>
    <w:p w14:paraId="51F02105">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十四、违约责任</w:t>
      </w:r>
    </w:p>
    <w:p w14:paraId="7F56EF17">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14</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甲方无正当理由拒收的，甲方向乙方偿付拒收货款总值的百分之五违约金。</w:t>
      </w:r>
    </w:p>
    <w:p w14:paraId="1E4014A1">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14</w:t>
      </w:r>
      <w:r>
        <w:rPr>
          <w:rFonts w:ascii="宋体" w:hAnsi="宋体" w:eastAsia="宋体" w:cs="Times New Roman"/>
          <w:color w:val="auto"/>
          <w:sz w:val="24"/>
          <w:szCs w:val="24"/>
          <w:highlight w:val="none"/>
        </w:rPr>
        <w:t>.2 甲方无故逾期验收和办理合同款支付手续的,甲方应按逾期付款总额每日万分之五向乙方支付违约金。</w:t>
      </w:r>
    </w:p>
    <w:p w14:paraId="5AE40EDF">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14</w:t>
      </w:r>
      <w:r>
        <w:rPr>
          <w:rFonts w:ascii="宋体" w:hAnsi="宋体" w:eastAsia="宋体" w:cs="Times New Roman"/>
          <w:color w:val="auto"/>
          <w:sz w:val="24"/>
          <w:szCs w:val="24"/>
          <w:highlight w:val="none"/>
        </w:rPr>
        <w:t xml:space="preserve">.3 乙方逾期交付合同标的的，乙方应按逾期交货总额每日千分之六向甲方支付违约金，由甲方从待付合同款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0BE9B944">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14</w:t>
      </w:r>
      <w:r>
        <w:rPr>
          <w:rFonts w:ascii="宋体" w:hAnsi="宋体" w:eastAsia="宋体" w:cs="Times New Roman"/>
          <w:color w:val="auto"/>
          <w:sz w:val="24"/>
          <w:szCs w:val="24"/>
          <w:highlight w:val="none"/>
        </w:rPr>
        <w:t>.4 乙方所交的</w:t>
      </w:r>
      <w:r>
        <w:rPr>
          <w:rFonts w:hint="eastAsia" w:ascii="宋体" w:hAnsi="宋体" w:cs="Courier New"/>
          <w:sz w:val="24"/>
          <w:szCs w:val="24"/>
        </w:rPr>
        <w:t>合同标</w:t>
      </w:r>
      <w:r>
        <w:rPr>
          <w:rFonts w:hint="eastAsia" w:ascii="宋体" w:hAnsi="宋体" w:eastAsia="宋体" w:cs="Times New Roman"/>
          <w:color w:val="auto"/>
          <w:sz w:val="24"/>
          <w:szCs w:val="24"/>
          <w:highlight w:val="none"/>
        </w:rPr>
        <w:t>内容</w:t>
      </w:r>
      <w:r>
        <w:rPr>
          <w:rFonts w:ascii="宋体" w:hAnsi="宋体" w:eastAsia="宋体" w:cs="Times New Roman"/>
          <w:color w:val="auto"/>
          <w:sz w:val="24"/>
          <w:szCs w:val="24"/>
          <w:highlight w:val="none"/>
        </w:rPr>
        <w:t>不符合项目需求要求、乙方响应文件承诺及国家有关质量标准的，甲方有权拒收，乙方愿意更换但逾期交付的，按乙方逾期交付处理。乙方拒绝更换的，甲方可单方面解除合同，并由乙方赔偿由此造成的甲方全部损失。</w:t>
      </w:r>
    </w:p>
    <w:p w14:paraId="59BF18A8">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十</w:t>
      </w:r>
      <w:r>
        <w:rPr>
          <w:rFonts w:hint="eastAsia" w:ascii="宋体" w:hAnsi="宋体" w:cs="Times New Roman"/>
          <w:b/>
          <w:color w:val="auto"/>
          <w:sz w:val="24"/>
          <w:szCs w:val="24"/>
          <w:highlight w:val="none"/>
          <w:lang w:val="en-US" w:eastAsia="zh-CN"/>
        </w:rPr>
        <w:t>五</w:t>
      </w:r>
      <w:r>
        <w:rPr>
          <w:rFonts w:ascii="宋体" w:hAnsi="宋体" w:eastAsia="宋体" w:cs="Times New Roman"/>
          <w:b/>
          <w:color w:val="auto"/>
          <w:sz w:val="24"/>
          <w:szCs w:val="24"/>
          <w:highlight w:val="none"/>
        </w:rPr>
        <w:t>、不可抗力事件处理</w:t>
      </w:r>
    </w:p>
    <w:p w14:paraId="1633F0C3">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15</w:t>
      </w:r>
      <w:r>
        <w:rPr>
          <w:rFonts w:ascii="宋体" w:hAnsi="宋体" w:eastAsia="宋体" w:cs="Times New Roman"/>
          <w:color w:val="auto"/>
          <w:sz w:val="24"/>
          <w:szCs w:val="24"/>
          <w:highlight w:val="none"/>
        </w:rPr>
        <w:t>.1 在合同有效期内，任何一方因不可抗力事件导致不能履行合同，则合同履行期延长，其延长期与不可抗力影响期相同。</w:t>
      </w:r>
    </w:p>
    <w:p w14:paraId="1E9B6EA3">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15</w:t>
      </w:r>
      <w:r>
        <w:rPr>
          <w:rFonts w:ascii="宋体" w:hAnsi="宋体" w:eastAsia="宋体" w:cs="Times New Roman"/>
          <w:color w:val="auto"/>
          <w:sz w:val="24"/>
          <w:szCs w:val="24"/>
          <w:highlight w:val="none"/>
        </w:rPr>
        <w:t>.2 不可抗力事件发生后，应立即通知对方，并寄送有关权威机构出具的证明。</w:t>
      </w:r>
    </w:p>
    <w:p w14:paraId="340E1EA8">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cs="Times New Roman"/>
          <w:color w:val="auto"/>
          <w:sz w:val="24"/>
          <w:szCs w:val="24"/>
          <w:highlight w:val="none"/>
          <w:lang w:eastAsia="zh-CN"/>
        </w:rPr>
        <w:t>15</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不可抗力事件延续120天以上，双方应通过友好协商，确定是否继续履行合同。</w:t>
      </w:r>
    </w:p>
    <w:p w14:paraId="431C6450">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十</w:t>
      </w:r>
      <w:r>
        <w:rPr>
          <w:rFonts w:hint="eastAsia" w:ascii="宋体" w:hAnsi="宋体" w:cs="Times New Roman"/>
          <w:b/>
          <w:color w:val="auto"/>
          <w:sz w:val="24"/>
          <w:szCs w:val="24"/>
          <w:highlight w:val="none"/>
          <w:lang w:val="en-US" w:eastAsia="zh-CN"/>
        </w:rPr>
        <w:t>六</w:t>
      </w:r>
      <w:r>
        <w:rPr>
          <w:rFonts w:ascii="宋体" w:hAnsi="宋体" w:eastAsia="宋体" w:cs="Times New Roman"/>
          <w:b/>
          <w:color w:val="auto"/>
          <w:sz w:val="24"/>
          <w:szCs w:val="24"/>
          <w:highlight w:val="none"/>
        </w:rPr>
        <w:t>、争议解决</w:t>
      </w:r>
    </w:p>
    <w:p w14:paraId="2194D59B">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cs="Times New Roman"/>
          <w:color w:val="auto"/>
          <w:sz w:val="24"/>
          <w:szCs w:val="24"/>
          <w:highlight w:val="none"/>
          <w:lang w:val="en-US" w:eastAsia="zh-CN"/>
        </w:rPr>
        <w:t>6</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 xml:space="preserve"> 双方在执行合同中所发生的一切争议，应通过协商解决。如协商不成，按下列第</w:t>
      </w:r>
      <w:r>
        <w:rPr>
          <w:rFonts w:hint="eastAsia" w:ascii="宋体" w:hAnsi="宋体" w:eastAsia="宋体" w:cs="Times New Roman"/>
          <w:color w:val="auto"/>
          <w:sz w:val="24"/>
          <w:szCs w:val="24"/>
          <w:highlight w:val="none"/>
          <w:u w:val="single"/>
        </w:rPr>
        <w:t xml:space="preserve"> （1） </w:t>
      </w:r>
      <w:r>
        <w:rPr>
          <w:rFonts w:hint="eastAsia" w:ascii="宋体" w:hAnsi="宋体" w:eastAsia="宋体" w:cs="Times New Roman"/>
          <w:color w:val="auto"/>
          <w:sz w:val="24"/>
          <w:szCs w:val="24"/>
          <w:highlight w:val="none"/>
        </w:rPr>
        <w:t>种方式解决：</w:t>
      </w:r>
    </w:p>
    <w:p w14:paraId="5F482F9D">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（1）向连云港仲裁委员会申请仲裁。</w:t>
      </w:r>
    </w:p>
    <w:p w14:paraId="09226E0A">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（2）向合同签订地法院起诉，合同签订地在此约定为连云港市。</w:t>
      </w:r>
    </w:p>
    <w:p w14:paraId="6E2EC27C">
      <w:pPr>
        <w:keepNext w:val="0"/>
        <w:keepLines w:val="0"/>
        <w:pageBreakBefore w:val="0"/>
        <w:widowControl w:val="0"/>
        <w:spacing w:line="520" w:lineRule="exact"/>
        <w:ind w:firstLine="482"/>
        <w:jc w:val="left"/>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十</w:t>
      </w:r>
      <w:r>
        <w:rPr>
          <w:rFonts w:hint="eastAsia" w:ascii="宋体" w:hAnsi="宋体" w:cs="Times New Roman"/>
          <w:b/>
          <w:color w:val="auto"/>
          <w:sz w:val="24"/>
          <w:szCs w:val="24"/>
          <w:highlight w:val="none"/>
          <w:lang w:val="en-US" w:eastAsia="zh-CN"/>
        </w:rPr>
        <w:t>七</w:t>
      </w:r>
      <w:r>
        <w:rPr>
          <w:rFonts w:ascii="宋体" w:hAnsi="宋体" w:eastAsia="宋体" w:cs="Times New Roman"/>
          <w:b/>
          <w:color w:val="auto"/>
          <w:sz w:val="24"/>
          <w:szCs w:val="24"/>
          <w:highlight w:val="none"/>
        </w:rPr>
        <w:t>、合同生效及其它</w:t>
      </w:r>
    </w:p>
    <w:p w14:paraId="400D1F19">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cs="Times New Roman"/>
          <w:color w:val="auto"/>
          <w:sz w:val="24"/>
          <w:szCs w:val="24"/>
          <w:highlight w:val="none"/>
          <w:lang w:val="en-US" w:eastAsia="zh-CN"/>
        </w:rPr>
        <w:t>7</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合同经双方法定代表人或委托代理人签字并加盖单位公章后生效。</w:t>
      </w:r>
    </w:p>
    <w:p w14:paraId="596DE977">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cs="Times New Roman"/>
          <w:color w:val="auto"/>
          <w:sz w:val="24"/>
          <w:szCs w:val="24"/>
          <w:highlight w:val="none"/>
          <w:lang w:val="en-US" w:eastAsia="zh-CN"/>
        </w:rPr>
        <w:t>7</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本合同未尽事宜，遵照《中华人民共和国民法典》有关条文执行。</w:t>
      </w:r>
    </w:p>
    <w:p w14:paraId="5245C729">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cs="Times New Roman"/>
          <w:color w:val="auto"/>
          <w:sz w:val="24"/>
          <w:szCs w:val="24"/>
          <w:highlight w:val="none"/>
          <w:lang w:val="en-US" w:eastAsia="zh-CN"/>
        </w:rPr>
        <w:t>7</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 xml:space="preserve"> </w:t>
      </w:r>
      <w:r>
        <w:rPr>
          <w:rFonts w:ascii="宋体" w:hAnsi="宋体" w:eastAsia="宋体" w:cs="Times New Roman"/>
          <w:color w:val="auto"/>
          <w:sz w:val="24"/>
          <w:szCs w:val="24"/>
          <w:highlight w:val="none"/>
        </w:rPr>
        <w:t>本合同正本一式</w:t>
      </w:r>
      <w:r>
        <w:rPr>
          <w:rFonts w:hint="eastAsia" w:ascii="宋体" w:hAnsi="宋体" w:eastAsia="宋体" w:cs="Times New Roman"/>
          <w:color w:val="auto"/>
          <w:sz w:val="24"/>
          <w:szCs w:val="24"/>
          <w:highlight w:val="none"/>
          <w:u w:val="single"/>
        </w:rPr>
        <w:t xml:space="preserve"> </w:t>
      </w:r>
      <w:r>
        <w:rPr>
          <w:rFonts w:hint="eastAsia" w:ascii="宋体" w:hAnsi="宋体" w:cs="Times New Roman"/>
          <w:color w:val="auto"/>
          <w:sz w:val="24"/>
          <w:szCs w:val="24"/>
          <w:highlight w:val="none"/>
          <w:u w:val="single"/>
          <w:lang w:val="en-US" w:eastAsia="zh-CN"/>
        </w:rPr>
        <w:t>伍</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份，具有同等法律效力，甲方</w:t>
      </w:r>
      <w:r>
        <w:rPr>
          <w:rFonts w:hint="eastAsia" w:ascii="宋体" w:hAnsi="宋体" w:eastAsia="宋体" w:cs="Times New Roman"/>
          <w:color w:val="auto"/>
          <w:sz w:val="24"/>
          <w:szCs w:val="24"/>
          <w:highlight w:val="none"/>
        </w:rPr>
        <w:t>执</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贰</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份、乙方</w:t>
      </w:r>
      <w:r>
        <w:rPr>
          <w:rFonts w:hint="eastAsia" w:ascii="宋体" w:hAnsi="宋体" w:eastAsia="宋体" w:cs="Times New Roman"/>
          <w:color w:val="auto"/>
          <w:sz w:val="24"/>
          <w:szCs w:val="24"/>
          <w:highlight w:val="none"/>
        </w:rPr>
        <w:t>执</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lang w:eastAsia="zh-CN"/>
        </w:rPr>
        <w:t>壹</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份、</w:t>
      </w:r>
      <w:r>
        <w:rPr>
          <w:rFonts w:hint="eastAsia" w:ascii="宋体" w:hAnsi="宋体" w:eastAsia="宋体" w:cs="Times New Roman"/>
          <w:color w:val="auto"/>
          <w:sz w:val="24"/>
          <w:szCs w:val="24"/>
          <w:highlight w:val="none"/>
        </w:rPr>
        <w:t>见证</w:t>
      </w:r>
      <w:r>
        <w:rPr>
          <w:rFonts w:ascii="宋体" w:hAnsi="宋体" w:eastAsia="宋体" w:cs="Times New Roman"/>
          <w:color w:val="auto"/>
          <w:sz w:val="24"/>
          <w:szCs w:val="24"/>
          <w:highlight w:val="none"/>
        </w:rPr>
        <w:t>方及财政监管部门各执</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壹</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份。</w:t>
      </w:r>
    </w:p>
    <w:p w14:paraId="5A3EB617">
      <w:pPr>
        <w:keepNext w:val="0"/>
        <w:keepLines w:val="0"/>
        <w:pageBreakBefore w:val="0"/>
        <w:widowControl w:val="0"/>
        <w:spacing w:line="520" w:lineRule="exact"/>
        <w:ind w:firstLine="360"/>
        <w:jc w:val="left"/>
        <w:rPr>
          <w:rFonts w:ascii="宋体" w:hAnsi="宋体" w:eastAsia="宋体" w:cs="Times New Roman"/>
          <w:color w:val="auto"/>
          <w:sz w:val="24"/>
          <w:szCs w:val="24"/>
          <w:highlight w:val="none"/>
        </w:rPr>
      </w:pPr>
    </w:p>
    <w:p w14:paraId="6BAA0822">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甲方：                                  乙方：                     </w:t>
      </w:r>
    </w:p>
    <w:p w14:paraId="53561CA4">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地址：                                  地址：                     </w:t>
      </w:r>
    </w:p>
    <w:p w14:paraId="5A552B22">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法定代表人：                            法定代表人：               </w:t>
      </w:r>
    </w:p>
    <w:p w14:paraId="11A5C7BE">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委托代理人：                            委托代理人：           </w:t>
      </w:r>
    </w:p>
    <w:p w14:paraId="616C10FD">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电话：                                  电话：                     </w:t>
      </w:r>
    </w:p>
    <w:p w14:paraId="0CF601E5">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传真：                                  传真：                     </w:t>
      </w:r>
    </w:p>
    <w:p w14:paraId="3E35AD04">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签订日期：      年  月  日</w:t>
      </w:r>
    </w:p>
    <w:p w14:paraId="746373DA">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见 证 方：          </w:t>
      </w:r>
    </w:p>
    <w:p w14:paraId="34716DB4">
      <w:pPr>
        <w:keepNext w:val="0"/>
        <w:keepLines w:val="0"/>
        <w:pageBreakBefore w:val="0"/>
        <w:widowControl w:val="0"/>
        <w:spacing w:line="520" w:lineRule="exact"/>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见证日期：      年  月  日</w:t>
      </w:r>
    </w:p>
    <w:p w14:paraId="5A3A76DA">
      <w:pPr>
        <w:pStyle w:val="229"/>
        <w:spacing w:line="560" w:lineRule="exact"/>
        <w:ind w:firstLine="360"/>
        <w:jc w:val="left"/>
        <w:rPr>
          <w:rFonts w:hint="eastAsia" w:hAnsi="宋体"/>
          <w:color w:val="auto"/>
          <w:sz w:val="24"/>
          <w:szCs w:val="24"/>
          <w:highlight w:val="none"/>
        </w:rPr>
      </w:pPr>
    </w:p>
    <w:p w14:paraId="7C782B31">
      <w:pPr>
        <w:pStyle w:val="229"/>
        <w:spacing w:before="120" w:after="120" w:line="0" w:lineRule="atLeast"/>
        <w:ind w:left="0" w:firstLine="0"/>
        <w:jc w:val="center"/>
        <w:outlineLvl w:val="0"/>
        <w:rPr>
          <w:rFonts w:hint="eastAsia" w:hAnsi="宋体"/>
          <w:color w:val="auto"/>
          <w:sz w:val="24"/>
          <w:szCs w:val="24"/>
          <w:highlight w:val="none"/>
        </w:rPr>
      </w:pPr>
      <w:r>
        <w:rPr>
          <w:rFonts w:ascii="黑体" w:eastAsia="黑体"/>
          <w:bCs/>
          <w:color w:val="auto"/>
          <w:sz w:val="44"/>
          <w:highlight w:val="none"/>
        </w:rPr>
        <w:br w:type="page" w:clear="all"/>
      </w:r>
      <w:bookmarkStart w:id="229" w:name="_Toc21086"/>
      <w:r>
        <w:rPr>
          <w:rFonts w:hint="eastAsia" w:ascii="黑体" w:hAnsi="Times New Roman" w:eastAsia="黑体" w:cs="Times New Roman"/>
          <w:color w:val="auto"/>
          <w:sz w:val="44"/>
          <w:szCs w:val="44"/>
          <w:highlight w:val="none"/>
          <w:lang w:val="en-US" w:eastAsia="zh-CN" w:bidi="ar-SA"/>
        </w:rPr>
        <w:t>第</w:t>
      </w:r>
      <w:bookmarkEnd w:id="223"/>
      <w:r>
        <w:rPr>
          <w:rFonts w:hint="eastAsia" w:ascii="黑体" w:hAnsi="Times New Roman" w:eastAsia="黑体" w:cs="Times New Roman"/>
          <w:color w:val="auto"/>
          <w:sz w:val="44"/>
          <w:szCs w:val="44"/>
          <w:highlight w:val="none"/>
          <w:lang w:val="en-US" w:eastAsia="zh-CN" w:bidi="ar-SA"/>
        </w:rPr>
        <w:t>四章 采购需求</w:t>
      </w:r>
      <w:bookmarkEnd w:id="224"/>
      <w:bookmarkEnd w:id="225"/>
      <w:bookmarkEnd w:id="226"/>
      <w:bookmarkEnd w:id="229"/>
    </w:p>
    <w:p w14:paraId="30AD3636">
      <w:pPr>
        <w:keepNext w:val="0"/>
        <w:keepLines w:val="0"/>
        <w:pageBreakBefore w:val="0"/>
        <w:spacing w:line="520" w:lineRule="exact"/>
        <w:ind w:left="0" w:firstLine="482"/>
        <w:rPr>
          <w:rFonts w:hint="eastAsia" w:ascii="宋体" w:hAnsi="宋体"/>
          <w:b/>
          <w:color w:val="auto"/>
          <w:sz w:val="24"/>
          <w:highlight w:val="none"/>
        </w:rPr>
      </w:pPr>
      <w:bookmarkStart w:id="230" w:name="_Toc26554093"/>
      <w:bookmarkStart w:id="231" w:name="_Toc49090575"/>
      <w:r>
        <w:rPr>
          <w:rFonts w:hint="eastAsia" w:ascii="宋体" w:hAnsi="宋体"/>
          <w:b/>
          <w:color w:val="auto"/>
          <w:sz w:val="24"/>
          <w:highlight w:val="none"/>
        </w:rPr>
        <w:t>说明：本项目采购方式为公开招标，项目属性为</w:t>
      </w:r>
      <w:r>
        <w:rPr>
          <w:rFonts w:hint="eastAsia" w:ascii="宋体" w:hAnsi="宋体"/>
          <w:b/>
          <w:color w:val="auto"/>
          <w:sz w:val="24"/>
          <w:highlight w:val="none"/>
          <w:u w:val="single"/>
        </w:rPr>
        <w:t>服务</w:t>
      </w:r>
      <w:r>
        <w:rPr>
          <w:rFonts w:hint="eastAsia" w:ascii="宋体" w:hAnsi="宋体"/>
          <w:b/>
          <w:color w:val="auto"/>
          <w:sz w:val="24"/>
          <w:highlight w:val="none"/>
          <w:lang w:eastAsia="zh-CN"/>
        </w:rPr>
        <w:t>，</w:t>
      </w:r>
      <w:r>
        <w:rPr>
          <w:rFonts w:hint="eastAsia" w:ascii="宋体" w:hAnsi="宋体" w:eastAsia="宋体" w:cs="宋体"/>
          <w:b/>
          <w:color w:val="auto"/>
          <w:sz w:val="24"/>
          <w:szCs w:val="21"/>
          <w:highlight w:val="none"/>
        </w:rPr>
        <w:t>采购标的对应的中小企业划分标准所属行业</w:t>
      </w:r>
      <w:r>
        <w:rPr>
          <w:rFonts w:hint="eastAsia" w:ascii="宋体" w:hAnsi="宋体" w:cs="宋体"/>
          <w:b/>
          <w:color w:val="auto"/>
          <w:sz w:val="24"/>
          <w:szCs w:val="21"/>
          <w:highlight w:val="none"/>
          <w:lang w:val="en-US" w:eastAsia="zh-CN"/>
        </w:rPr>
        <w:t>为</w:t>
      </w:r>
      <w:r>
        <w:rPr>
          <w:rFonts w:hint="eastAsia" w:ascii="宋体" w:hAnsi="宋体" w:cs="宋体"/>
          <w:b/>
          <w:color w:val="auto"/>
          <w:sz w:val="24"/>
          <w:szCs w:val="21"/>
          <w:highlight w:val="none"/>
          <w:u w:val="single"/>
          <w:lang w:val="en-US" w:eastAsia="zh-CN"/>
        </w:rPr>
        <w:t>其他未列明行业</w:t>
      </w:r>
    </w:p>
    <w:p w14:paraId="28BEEAB0">
      <w:pPr>
        <w:spacing w:line="500" w:lineRule="exact"/>
        <w:ind w:firstLine="480"/>
        <w:jc w:val="left"/>
        <w:rPr>
          <w:sz w:val="24"/>
          <w:szCs w:val="24"/>
        </w:rPr>
      </w:pPr>
      <w:r>
        <w:rPr>
          <w:rFonts w:hint="eastAsia"/>
          <w:sz w:val="24"/>
          <w:szCs w:val="24"/>
        </w:rPr>
        <w:t>2、</w:t>
      </w:r>
      <w:r>
        <w:rPr>
          <w:rFonts w:hint="eastAsia"/>
          <w:b/>
          <w:sz w:val="24"/>
          <w:szCs w:val="24"/>
        </w:rPr>
        <w:t>本招标文件中</w:t>
      </w:r>
      <w:r>
        <w:rPr>
          <w:rFonts w:hint="eastAsia"/>
          <w:b/>
          <w:i/>
          <w:sz w:val="24"/>
          <w:szCs w:val="24"/>
          <w:u w:val="single"/>
        </w:rPr>
        <w:t>斜体且有下划线部分</w:t>
      </w:r>
      <w:r>
        <w:rPr>
          <w:rFonts w:hint="eastAsia"/>
          <w:b/>
          <w:sz w:val="24"/>
          <w:szCs w:val="24"/>
        </w:rPr>
        <w:t>为实质性要求和条件</w:t>
      </w:r>
      <w:r>
        <w:rPr>
          <w:rFonts w:hint="eastAsia"/>
          <w:sz w:val="24"/>
          <w:szCs w:val="24"/>
        </w:rPr>
        <w:t>，由采购人根据实际情况设置，投标人须逐条明确作出满足实质性要求和条件的响应，否则将按无效响应处理。</w:t>
      </w:r>
    </w:p>
    <w:p w14:paraId="105E9735">
      <w:pPr>
        <w:pStyle w:val="276"/>
        <w:keepNext w:val="0"/>
        <w:keepLines w:val="0"/>
        <w:pageBreakBefore w:val="0"/>
        <w:spacing w:before="0" w:after="0" w:line="520" w:lineRule="exact"/>
        <w:ind w:left="0"/>
        <w:jc w:val="both"/>
        <w:rPr>
          <w:rFonts w:ascii="Times New Roman" w:hAnsi="Times New Roman"/>
          <w:b/>
          <w:bCs/>
          <w:color w:val="auto"/>
          <w:highlight w:val="none"/>
        </w:rPr>
      </w:pPr>
      <w:r>
        <w:rPr>
          <w:rFonts w:ascii="Times New Roman" w:hAnsi="Times New Roman"/>
          <w:b/>
          <w:bCs/>
          <w:color w:val="auto"/>
          <w:highlight w:val="none"/>
        </w:rPr>
        <w:t>一、项目概述</w:t>
      </w:r>
    </w:p>
    <w:p w14:paraId="580D2553">
      <w:pPr>
        <w:keepNext w:val="0"/>
        <w:keepLines w:val="0"/>
        <w:pageBreakBefore w:val="0"/>
        <w:tabs>
          <w:tab w:val="left" w:pos="900"/>
        </w:tabs>
        <w:spacing w:line="520" w:lineRule="exact"/>
        <w:ind w:left="0" w:firstLine="480"/>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1、项目名称：连云港鑫昌达新型建材有限公司环境事件涉事物料属性司法鉴定和阶段性环境损害评估。</w:t>
      </w:r>
    </w:p>
    <w:p w14:paraId="09A3BC03">
      <w:pPr>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二、工作方案</w:t>
      </w:r>
    </w:p>
    <w:p w14:paraId="69707197">
      <w:pPr>
        <w:spacing w:line="360" w:lineRule="auto"/>
        <w:ind w:firstLine="480" w:firstLineChars="200"/>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连云港鑫昌达新型建材有限公司厂区西侧地块原堆存物料，目前涉事物料已被清运至厂区内三处仓库和厂区内的露天水泥场地上。</w:t>
      </w:r>
    </w:p>
    <w:p w14:paraId="19C2A669">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针对本次事件，根据国家相关法律法规和案件侦办需要，本次采取的工作主要分为以下步骤：</w:t>
      </w:r>
    </w:p>
    <w:p w14:paraId="5B76B84D">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1、涉事物料性质初步认定及生态环境损害确认</w:t>
      </w:r>
    </w:p>
    <w:p w14:paraId="7489379D">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（1）工作内容</w:t>
      </w:r>
    </w:p>
    <w:p w14:paraId="4F27737A">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按照危险废物鉴别技术规范对连云港鑫昌达新型建材有限公司厂区内暂存的涉事物料进行样品采样并检测分析，明确固废性质。同时按照生态环境损害鉴定评估技术指南对厂区西侧地块（原涉事物料堆放区域）以及对照区域的土壤进行样品采样并检测分析，明确生态环境是否受到损害，最终出具涉事物料属性及生态环境损害初步认定意见。</w:t>
      </w:r>
    </w:p>
    <w:p w14:paraId="3785E976">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（2）采样检测方案</w:t>
      </w:r>
    </w:p>
    <w:p w14:paraId="275A1B0D">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拟在连云港鑫昌达新型建材有限公司厂区3#仓库采集涉事物料样品进行检测分析，采样检测方案见表1，采样点位示意图见图1。</w:t>
      </w:r>
    </w:p>
    <w:p w14:paraId="46CC8AA1">
      <w:pPr>
        <w:rPr>
          <w:rFonts w:hint="eastAsia" w:ascii="宋体" w:hAnsi="宋体" w:cs="宋体"/>
          <w:sz w:val="24"/>
          <w:szCs w:val="24"/>
          <w14:ligatures w14:val="standardContextual"/>
        </w:rPr>
      </w:pPr>
      <w:r>
        <w:rPr>
          <w:rFonts w:hint="eastAsia" w:ascii="宋体" w:hAnsi="宋体" w:cs="宋体"/>
          <w:sz w:val="24"/>
          <w:szCs w:val="24"/>
          <w14:ligatures w14:val="standardContextual"/>
        </w:rPr>
        <w:br w:type="page"/>
      </w:r>
    </w:p>
    <w:p w14:paraId="2FEF1237">
      <w:pPr>
        <w:keepNext/>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表1 涉事物料属性初步认定采样检测方案</w:t>
      </w:r>
    </w:p>
    <w:tbl>
      <w:tblPr>
        <w:tblStyle w:val="3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18"/>
        <w:gridCol w:w="1370"/>
        <w:gridCol w:w="1370"/>
        <w:gridCol w:w="1371"/>
        <w:gridCol w:w="2767"/>
      </w:tblGrid>
      <w:tr w14:paraId="001C3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1418" w:type="dxa"/>
            <w:vAlign w:val="center"/>
          </w:tcPr>
          <w:p w14:paraId="019A85A7">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工作内容</w:t>
            </w:r>
          </w:p>
        </w:tc>
        <w:tc>
          <w:tcPr>
            <w:tcW w:w="1370" w:type="dxa"/>
            <w:vAlign w:val="center"/>
          </w:tcPr>
          <w:p w14:paraId="2005F797">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采样位置</w:t>
            </w:r>
          </w:p>
        </w:tc>
        <w:tc>
          <w:tcPr>
            <w:tcW w:w="1370" w:type="dxa"/>
            <w:vAlign w:val="center"/>
          </w:tcPr>
          <w:p w14:paraId="1FF81DDF">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样品编号</w:t>
            </w:r>
          </w:p>
        </w:tc>
        <w:tc>
          <w:tcPr>
            <w:tcW w:w="1371" w:type="dxa"/>
            <w:vAlign w:val="center"/>
          </w:tcPr>
          <w:p w14:paraId="0C9EB3F7">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样品数量/个</w:t>
            </w:r>
          </w:p>
        </w:tc>
        <w:tc>
          <w:tcPr>
            <w:tcW w:w="2767" w:type="dxa"/>
            <w:vAlign w:val="center"/>
          </w:tcPr>
          <w:p w14:paraId="3F6AD28D">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检测因子</w:t>
            </w:r>
          </w:p>
        </w:tc>
      </w:tr>
      <w:tr w14:paraId="46333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Align w:val="center"/>
          </w:tcPr>
          <w:p w14:paraId="554952C4">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涉事物料属性初步认定</w:t>
            </w:r>
          </w:p>
        </w:tc>
        <w:tc>
          <w:tcPr>
            <w:tcW w:w="1370" w:type="dxa"/>
            <w:vAlign w:val="center"/>
          </w:tcPr>
          <w:p w14:paraId="78F8F9C0">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3#仓库</w:t>
            </w:r>
          </w:p>
        </w:tc>
        <w:tc>
          <w:tcPr>
            <w:tcW w:w="1370" w:type="dxa"/>
            <w:vAlign w:val="center"/>
          </w:tcPr>
          <w:p w14:paraId="02922D18">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GF1~GF10</w:t>
            </w:r>
          </w:p>
        </w:tc>
        <w:tc>
          <w:tcPr>
            <w:tcW w:w="1371" w:type="dxa"/>
            <w:vAlign w:val="center"/>
          </w:tcPr>
          <w:p w14:paraId="3CD8AC63">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10</w:t>
            </w:r>
          </w:p>
        </w:tc>
        <w:tc>
          <w:tcPr>
            <w:tcW w:w="2767" w:type="dxa"/>
            <w:vAlign w:val="center"/>
          </w:tcPr>
          <w:p w14:paraId="5F5A346C">
            <w:pPr>
              <w:rPr>
                <w:rFonts w:hint="eastAsia" w:ascii="宋体" w:hAnsi="宋体" w:cs="宋体"/>
                <w:sz w:val="24"/>
                <w:szCs w:val="24"/>
                <w14:ligatures w14:val="standardContextual"/>
              </w:rPr>
            </w:pPr>
            <w:r>
              <w:rPr>
                <w:rFonts w:hint="eastAsia" w:ascii="宋体" w:hAnsi="宋体" w:cs="宋体"/>
                <w:sz w:val="24"/>
                <w:szCs w:val="24"/>
                <w14:ligatures w14:val="standardContextual"/>
              </w:rPr>
              <w:t>①pH腐蚀性检测；</w:t>
            </w:r>
          </w:p>
          <w:p w14:paraId="2299F7A4">
            <w:pPr>
              <w:rPr>
                <w:rFonts w:hint="eastAsia" w:ascii="宋体" w:hAnsi="宋体" w:cs="宋体"/>
                <w:sz w:val="24"/>
                <w:szCs w:val="24"/>
                <w14:ligatures w14:val="standardContextual"/>
              </w:rPr>
            </w:pPr>
            <w:r>
              <w:rPr>
                <w:rFonts w:hint="eastAsia" w:ascii="宋体" w:hAnsi="宋体" w:cs="宋体"/>
                <w:sz w:val="24"/>
                <w:szCs w:val="24"/>
                <w14:ligatures w14:val="standardContextual"/>
              </w:rPr>
              <w:t>②镍、铜、锌、锰、铬、六价铬、钴、铁、镉、钙、镁、铝、汞、铅、砷、氟化物、氰化物含量检测；</w:t>
            </w:r>
          </w:p>
          <w:p w14:paraId="07BE1158">
            <w:pPr>
              <w:rPr>
                <w:rFonts w:hint="eastAsia" w:ascii="宋体" w:hAnsi="宋体" w:cs="宋体"/>
                <w:sz w:val="24"/>
                <w:szCs w:val="24"/>
                <w14:ligatures w14:val="standardContextual"/>
              </w:rPr>
            </w:pPr>
            <w:r>
              <w:rPr>
                <w:rFonts w:hint="eastAsia" w:ascii="宋体" w:hAnsi="宋体" w:cs="宋体"/>
                <w:sz w:val="24"/>
                <w:szCs w:val="24"/>
                <w14:ligatures w14:val="standardContextual"/>
              </w:rPr>
              <w:t>③镍、铜、锌、锰、铬、六价铬、钴、铁、镉、钙、镁、铝、汞、铅、砷、氟化物、氰化物浸出浓度检测；</w:t>
            </w:r>
          </w:p>
          <w:p w14:paraId="21AC0A61">
            <w:pPr>
              <w:rPr>
                <w:rFonts w:hint="eastAsia" w:ascii="宋体" w:hAnsi="宋体" w:cs="宋体"/>
                <w:sz w:val="24"/>
                <w:szCs w:val="24"/>
                <w14:ligatures w14:val="standardContextual"/>
              </w:rPr>
            </w:pPr>
            <w:r>
              <w:rPr>
                <w:rFonts w:hint="eastAsia" w:ascii="宋体" w:hAnsi="宋体" w:cs="宋体"/>
                <w:sz w:val="24"/>
                <w:szCs w:val="24"/>
                <w14:ligatures w14:val="standardContextual"/>
              </w:rPr>
              <w:t>④有机物和金属全扫描检测（选取2个样品检测）；</w:t>
            </w:r>
          </w:p>
          <w:p w14:paraId="6016E18F">
            <w:pPr>
              <w:rPr>
                <w:rFonts w:hint="eastAsia" w:ascii="宋体" w:hAnsi="宋体" w:cs="宋体"/>
                <w:sz w:val="24"/>
                <w:szCs w:val="24"/>
                <w14:ligatures w14:val="standardContextual"/>
              </w:rPr>
            </w:pPr>
            <w:r>
              <w:rPr>
                <w:rFonts w:hint="eastAsia" w:ascii="宋体" w:hAnsi="宋体" w:cs="宋体"/>
                <w:sz w:val="24"/>
                <w:szCs w:val="24"/>
                <w14:ligatures w14:val="standardContextual"/>
              </w:rPr>
              <w:t>⑤反应性测试（选取2个样品）；</w:t>
            </w:r>
          </w:p>
          <w:p w14:paraId="68D81F3C">
            <w:pPr>
              <w:rPr>
                <w:rFonts w:hint="eastAsia" w:ascii="宋体" w:hAnsi="宋体" w:cs="宋体"/>
                <w:sz w:val="24"/>
                <w:szCs w:val="24"/>
                <w14:ligatures w14:val="standardContextual"/>
              </w:rPr>
            </w:pPr>
            <w:r>
              <w:rPr>
                <w:rFonts w:hint="eastAsia" w:ascii="宋体" w:hAnsi="宋体" w:cs="宋体"/>
                <w:sz w:val="24"/>
                <w:szCs w:val="24"/>
                <w14:ligatures w14:val="standardContextual"/>
              </w:rPr>
              <w:t>⑥易燃性测试（选取2个样品）</w:t>
            </w:r>
          </w:p>
        </w:tc>
      </w:tr>
    </w:tbl>
    <w:p w14:paraId="36C774E1">
      <w:pPr>
        <w:jc w:val="center"/>
        <w:rPr>
          <w:rFonts w:hint="eastAsia" w:ascii="宋体" w:hAnsi="宋体" w:cs="宋体"/>
          <w:sz w:val="24"/>
          <w:szCs w:val="24"/>
          <w14:ligatures w14:val="standardContextual"/>
        </w:rPr>
      </w:pPr>
    </w:p>
    <w:p w14:paraId="1CDBBB20">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drawing>
          <wp:inline distT="0" distB="0" distL="0" distR="0">
            <wp:extent cx="5274310" cy="3023235"/>
            <wp:effectExtent l="0" t="0" r="2540" b="5715"/>
            <wp:docPr id="53705023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50237" name="图片 1" descr="地图&#10;&#10;描述已自动生成"/>
                    <pic:cNvPicPr>
                      <a:picLocks noChangeAspect="1"/>
                    </pic:cNvPicPr>
                  </pic:nvPicPr>
                  <pic:blipFill>
                    <a:blip r:embed="rId9"/>
                    <a:stretch>
                      <a:fillRect/>
                    </a:stretch>
                  </pic:blipFill>
                  <pic:spPr>
                    <a:xfrm>
                      <a:off x="0" y="0"/>
                      <a:ext cx="5274310" cy="3023520"/>
                    </a:xfrm>
                    <a:prstGeom prst="rect">
                      <a:avLst/>
                    </a:prstGeom>
                  </pic:spPr>
                </pic:pic>
              </a:graphicData>
            </a:graphic>
          </wp:inline>
        </w:drawing>
      </w:r>
    </w:p>
    <w:p w14:paraId="34A676DE">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图1 初步认定阶段采样点位布设图</w:t>
      </w:r>
    </w:p>
    <w:p w14:paraId="712AFDFC">
      <w:pPr>
        <w:spacing w:before="120" w:beforeLines="50"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拟计划在厂区西侧（原涉事物料堆置区域）采集5个土壤样品，同时在对照区域采集5个土壤样品进行检测，确认原堆置区域土壤环境是否受到损害。采样检测方案见表2，土壤样品采样示意</w:t>
      </w:r>
    </w:p>
    <w:p w14:paraId="195E9680">
      <w:pPr>
        <w:rPr>
          <w:rFonts w:hint="eastAsia" w:ascii="宋体" w:hAnsi="宋体" w:cs="宋体"/>
          <w:sz w:val="24"/>
          <w:szCs w:val="24"/>
          <w14:ligatures w14:val="standardContextual"/>
        </w:rPr>
      </w:pPr>
      <w:r>
        <w:rPr>
          <w:rFonts w:hint="eastAsia" w:ascii="宋体" w:hAnsi="宋体" w:cs="宋体"/>
          <w:sz w:val="24"/>
          <w:szCs w:val="24"/>
          <w14:ligatures w14:val="standardContextual"/>
        </w:rPr>
        <w:br w:type="page"/>
      </w:r>
    </w:p>
    <w:p w14:paraId="5CC059FB">
      <w:pPr>
        <w:spacing w:before="120" w:beforeLines="50"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图见图2、图3。</w:t>
      </w:r>
    </w:p>
    <w:p w14:paraId="5A48D5D6">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表2 土壤采样检测方案</w:t>
      </w:r>
    </w:p>
    <w:tbl>
      <w:tblPr>
        <w:tblStyle w:val="3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98"/>
        <w:gridCol w:w="1298"/>
        <w:gridCol w:w="1298"/>
        <w:gridCol w:w="1300"/>
        <w:gridCol w:w="3759"/>
      </w:tblGrid>
      <w:tr w14:paraId="657029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tblHeader/>
          <w:jc w:val="center"/>
        </w:trPr>
        <w:tc>
          <w:tcPr>
            <w:tcW w:w="725" w:type="pct"/>
            <w:vAlign w:val="center"/>
          </w:tcPr>
          <w:p w14:paraId="374062E9">
            <w:pPr>
              <w:jc w:val="center"/>
              <w:rPr>
                <w:rFonts w:hint="eastAsia" w:ascii="宋体" w:hAnsi="宋体" w:cs="宋体"/>
                <w:b/>
                <w:color w:val="000000"/>
                <w:sz w:val="24"/>
                <w:szCs w:val="24"/>
              </w:rPr>
            </w:pPr>
            <w:r>
              <w:rPr>
                <w:rFonts w:hint="eastAsia" w:ascii="宋体" w:hAnsi="宋体" w:cs="宋体"/>
                <w:b/>
                <w:color w:val="000000"/>
                <w:sz w:val="24"/>
                <w:szCs w:val="24"/>
              </w:rPr>
              <w:t>样品类别</w:t>
            </w:r>
          </w:p>
        </w:tc>
        <w:tc>
          <w:tcPr>
            <w:tcW w:w="725" w:type="pct"/>
            <w:vAlign w:val="center"/>
          </w:tcPr>
          <w:p w14:paraId="3C1F5B43">
            <w:pPr>
              <w:jc w:val="center"/>
              <w:rPr>
                <w:rFonts w:hint="eastAsia" w:ascii="宋体" w:hAnsi="宋体" w:cs="宋体"/>
                <w:b/>
                <w:color w:val="000000"/>
                <w:sz w:val="24"/>
                <w:szCs w:val="24"/>
              </w:rPr>
            </w:pPr>
            <w:r>
              <w:rPr>
                <w:rFonts w:hint="eastAsia" w:ascii="宋体" w:hAnsi="宋体" w:cs="宋体"/>
                <w:b/>
                <w:color w:val="000000"/>
                <w:sz w:val="24"/>
                <w:szCs w:val="24"/>
              </w:rPr>
              <w:t>采样位置</w:t>
            </w:r>
          </w:p>
        </w:tc>
        <w:tc>
          <w:tcPr>
            <w:tcW w:w="725" w:type="pct"/>
            <w:vAlign w:val="center"/>
          </w:tcPr>
          <w:p w14:paraId="19FCF248">
            <w:pPr>
              <w:jc w:val="center"/>
              <w:rPr>
                <w:rFonts w:hint="eastAsia" w:ascii="宋体" w:hAnsi="宋体" w:cs="宋体"/>
                <w:b/>
                <w:color w:val="000000"/>
                <w:sz w:val="24"/>
                <w:szCs w:val="24"/>
              </w:rPr>
            </w:pPr>
            <w:r>
              <w:rPr>
                <w:rFonts w:hint="eastAsia" w:ascii="宋体" w:hAnsi="宋体" w:cs="宋体"/>
                <w:b/>
                <w:color w:val="000000"/>
                <w:sz w:val="24"/>
                <w:szCs w:val="24"/>
              </w:rPr>
              <w:t>样品编号</w:t>
            </w:r>
          </w:p>
        </w:tc>
        <w:tc>
          <w:tcPr>
            <w:tcW w:w="726" w:type="pct"/>
            <w:vAlign w:val="center"/>
          </w:tcPr>
          <w:p w14:paraId="17E77EF0">
            <w:pPr>
              <w:jc w:val="center"/>
              <w:rPr>
                <w:rFonts w:hint="eastAsia" w:ascii="宋体" w:hAnsi="宋体" w:cs="宋体"/>
                <w:b/>
                <w:color w:val="000000"/>
                <w:sz w:val="24"/>
                <w:szCs w:val="24"/>
              </w:rPr>
            </w:pPr>
            <w:r>
              <w:rPr>
                <w:rFonts w:hint="eastAsia" w:ascii="宋体" w:hAnsi="宋体" w:cs="宋体"/>
                <w:b/>
                <w:color w:val="000000"/>
                <w:sz w:val="24"/>
                <w:szCs w:val="24"/>
              </w:rPr>
              <w:t>样品数量</w:t>
            </w:r>
          </w:p>
        </w:tc>
        <w:tc>
          <w:tcPr>
            <w:tcW w:w="2098" w:type="pct"/>
            <w:vAlign w:val="center"/>
          </w:tcPr>
          <w:p w14:paraId="26FD7B4E">
            <w:pPr>
              <w:jc w:val="center"/>
              <w:rPr>
                <w:rFonts w:hint="eastAsia" w:ascii="宋体" w:hAnsi="宋体" w:cs="宋体"/>
                <w:b/>
                <w:color w:val="000000"/>
                <w:sz w:val="24"/>
                <w:szCs w:val="24"/>
              </w:rPr>
            </w:pPr>
            <w:r>
              <w:rPr>
                <w:rFonts w:hint="eastAsia" w:ascii="宋体" w:hAnsi="宋体" w:cs="宋体"/>
                <w:b/>
                <w:color w:val="000000"/>
                <w:sz w:val="24"/>
                <w:szCs w:val="24"/>
              </w:rPr>
              <w:t>检测因子</w:t>
            </w:r>
          </w:p>
        </w:tc>
      </w:tr>
      <w:tr w14:paraId="0F2266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tblHeader/>
          <w:jc w:val="center"/>
        </w:trPr>
        <w:tc>
          <w:tcPr>
            <w:tcW w:w="725" w:type="pct"/>
            <w:vMerge w:val="restart"/>
            <w:vAlign w:val="center"/>
          </w:tcPr>
          <w:p w14:paraId="1AE440D4">
            <w:pPr>
              <w:jc w:val="center"/>
              <w:rPr>
                <w:rFonts w:hint="eastAsia" w:ascii="宋体" w:hAnsi="宋体" w:cs="宋体"/>
                <w:color w:val="000000"/>
                <w:sz w:val="24"/>
                <w:szCs w:val="24"/>
              </w:rPr>
            </w:pPr>
            <w:r>
              <w:rPr>
                <w:rFonts w:hint="eastAsia" w:ascii="宋体" w:hAnsi="宋体" w:cs="宋体"/>
                <w:color w:val="000000"/>
                <w:sz w:val="24"/>
                <w:szCs w:val="24"/>
              </w:rPr>
              <w:t>土壤</w:t>
            </w:r>
          </w:p>
        </w:tc>
        <w:tc>
          <w:tcPr>
            <w:tcW w:w="725" w:type="pct"/>
            <w:vAlign w:val="center"/>
          </w:tcPr>
          <w:p w14:paraId="4197BBB7">
            <w:pPr>
              <w:jc w:val="center"/>
              <w:rPr>
                <w:rFonts w:hint="eastAsia" w:ascii="宋体" w:hAnsi="宋体" w:cs="宋体"/>
                <w:color w:val="000000"/>
                <w:sz w:val="24"/>
                <w:szCs w:val="24"/>
              </w:rPr>
            </w:pPr>
            <w:r>
              <w:rPr>
                <w:rFonts w:hint="eastAsia" w:ascii="宋体" w:hAnsi="宋体" w:cs="宋体"/>
                <w:bCs/>
                <w:color w:val="000000"/>
                <w:sz w:val="24"/>
                <w:szCs w:val="24"/>
              </w:rPr>
              <w:t>原涉事物料堆置区域</w:t>
            </w:r>
          </w:p>
        </w:tc>
        <w:tc>
          <w:tcPr>
            <w:tcW w:w="725" w:type="pct"/>
            <w:vAlign w:val="center"/>
          </w:tcPr>
          <w:p w14:paraId="750925E2">
            <w:pPr>
              <w:jc w:val="center"/>
              <w:rPr>
                <w:rFonts w:hint="eastAsia" w:ascii="宋体" w:hAnsi="宋体" w:cs="宋体"/>
                <w:color w:val="000000"/>
                <w:sz w:val="24"/>
                <w:szCs w:val="24"/>
              </w:rPr>
            </w:pPr>
            <w:r>
              <w:rPr>
                <w:rFonts w:hint="eastAsia" w:ascii="宋体" w:hAnsi="宋体" w:cs="宋体"/>
                <w:color w:val="000000"/>
                <w:sz w:val="24"/>
                <w:szCs w:val="24"/>
              </w:rPr>
              <w:t>T1~T5</w:t>
            </w:r>
          </w:p>
        </w:tc>
        <w:tc>
          <w:tcPr>
            <w:tcW w:w="726" w:type="pct"/>
            <w:vAlign w:val="center"/>
          </w:tcPr>
          <w:p w14:paraId="7AFF3719">
            <w:pPr>
              <w:jc w:val="center"/>
              <w:rPr>
                <w:rFonts w:hint="eastAsia" w:ascii="宋体" w:hAnsi="宋体" w:cs="宋体"/>
                <w:color w:val="000000"/>
                <w:sz w:val="24"/>
                <w:szCs w:val="24"/>
              </w:rPr>
            </w:pPr>
            <w:r>
              <w:rPr>
                <w:rFonts w:hint="eastAsia" w:ascii="宋体" w:hAnsi="宋体" w:cs="宋体"/>
                <w:color w:val="000000"/>
                <w:sz w:val="24"/>
                <w:szCs w:val="24"/>
              </w:rPr>
              <w:t>6</w:t>
            </w:r>
          </w:p>
        </w:tc>
        <w:tc>
          <w:tcPr>
            <w:tcW w:w="2098" w:type="pct"/>
            <w:vMerge w:val="restart"/>
            <w:vAlign w:val="center"/>
          </w:tcPr>
          <w:p w14:paraId="2BF1BEC8">
            <w:pPr>
              <w:rPr>
                <w:rFonts w:hint="eastAsia" w:ascii="宋体" w:hAnsi="宋体" w:cs="宋体"/>
                <w:color w:val="000000"/>
                <w:sz w:val="24"/>
                <w:szCs w:val="24"/>
              </w:rPr>
            </w:pPr>
            <w:r>
              <w:rPr>
                <w:rFonts w:hint="eastAsia" w:ascii="宋体" w:hAnsi="宋体" w:cs="宋体"/>
                <w:color w:val="000000"/>
                <w:sz w:val="24"/>
                <w:szCs w:val="24"/>
              </w:rPr>
              <w:t>①pH检测；</w:t>
            </w:r>
          </w:p>
          <w:p w14:paraId="7430CC81">
            <w:pPr>
              <w:rPr>
                <w:rFonts w:hint="eastAsia" w:ascii="宋体" w:hAnsi="宋体" w:cs="宋体"/>
                <w:color w:val="000000"/>
                <w:sz w:val="24"/>
                <w:szCs w:val="24"/>
              </w:rPr>
            </w:pPr>
            <w:r>
              <w:rPr>
                <w:rFonts w:hint="eastAsia" w:ascii="宋体" w:hAnsi="宋体" w:cs="宋体"/>
                <w:color w:val="000000"/>
                <w:sz w:val="24"/>
                <w:szCs w:val="24"/>
              </w:rPr>
              <w:t>②镍、铜、锌、锰、铬、六价铬、钴、铁、镉、钙、镁、铝、汞、铅、砷、氟化物、氰化物含量检测</w:t>
            </w:r>
          </w:p>
        </w:tc>
      </w:tr>
      <w:tr w14:paraId="324193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tblHeader/>
          <w:jc w:val="center"/>
        </w:trPr>
        <w:tc>
          <w:tcPr>
            <w:tcW w:w="725" w:type="pct"/>
            <w:vMerge w:val="continue"/>
            <w:vAlign w:val="center"/>
          </w:tcPr>
          <w:p w14:paraId="35C31D3C">
            <w:pPr>
              <w:jc w:val="center"/>
              <w:rPr>
                <w:rFonts w:hint="eastAsia" w:ascii="宋体" w:hAnsi="宋体" w:cs="宋体"/>
                <w:color w:val="000000"/>
                <w:sz w:val="24"/>
                <w:szCs w:val="24"/>
              </w:rPr>
            </w:pPr>
          </w:p>
        </w:tc>
        <w:tc>
          <w:tcPr>
            <w:tcW w:w="725" w:type="pct"/>
            <w:vAlign w:val="center"/>
          </w:tcPr>
          <w:p w14:paraId="19454D62">
            <w:pPr>
              <w:jc w:val="center"/>
              <w:rPr>
                <w:rFonts w:hint="eastAsia" w:ascii="宋体" w:hAnsi="宋体" w:cs="宋体"/>
                <w:color w:val="000000"/>
                <w:sz w:val="24"/>
                <w:szCs w:val="24"/>
              </w:rPr>
            </w:pPr>
            <w:r>
              <w:rPr>
                <w:rFonts w:hint="eastAsia" w:ascii="宋体" w:hAnsi="宋体" w:cs="宋体"/>
                <w:color w:val="000000"/>
                <w:sz w:val="24"/>
                <w:szCs w:val="24"/>
              </w:rPr>
              <w:t>对照区域</w:t>
            </w:r>
          </w:p>
        </w:tc>
        <w:tc>
          <w:tcPr>
            <w:tcW w:w="725" w:type="pct"/>
            <w:vAlign w:val="center"/>
          </w:tcPr>
          <w:p w14:paraId="12B66020">
            <w:pPr>
              <w:jc w:val="center"/>
              <w:rPr>
                <w:rFonts w:hint="eastAsia" w:ascii="宋体" w:hAnsi="宋体" w:cs="宋体"/>
                <w:color w:val="000000"/>
                <w:sz w:val="24"/>
                <w:szCs w:val="24"/>
              </w:rPr>
            </w:pPr>
            <w:r>
              <w:rPr>
                <w:rFonts w:hint="eastAsia" w:ascii="宋体" w:hAnsi="宋体" w:cs="宋体"/>
                <w:color w:val="000000"/>
                <w:sz w:val="24"/>
                <w:szCs w:val="24"/>
              </w:rPr>
              <w:t>BT1～BT5</w:t>
            </w:r>
          </w:p>
        </w:tc>
        <w:tc>
          <w:tcPr>
            <w:tcW w:w="726" w:type="pct"/>
            <w:vAlign w:val="center"/>
          </w:tcPr>
          <w:p w14:paraId="799275F3">
            <w:pPr>
              <w:jc w:val="center"/>
              <w:rPr>
                <w:rFonts w:hint="eastAsia" w:ascii="宋体" w:hAnsi="宋体" w:cs="宋体"/>
                <w:bCs/>
                <w:color w:val="000000"/>
                <w:sz w:val="24"/>
                <w:szCs w:val="24"/>
              </w:rPr>
            </w:pPr>
            <w:r>
              <w:rPr>
                <w:rFonts w:hint="eastAsia" w:ascii="宋体" w:hAnsi="宋体" w:cs="宋体"/>
                <w:color w:val="000000"/>
                <w:sz w:val="24"/>
                <w:szCs w:val="24"/>
              </w:rPr>
              <w:t>5</w:t>
            </w:r>
          </w:p>
        </w:tc>
        <w:tc>
          <w:tcPr>
            <w:tcW w:w="2098" w:type="pct"/>
            <w:vMerge w:val="continue"/>
            <w:vAlign w:val="center"/>
          </w:tcPr>
          <w:p w14:paraId="02C3F2AD">
            <w:pPr>
              <w:jc w:val="center"/>
              <w:rPr>
                <w:rFonts w:hint="eastAsia" w:ascii="宋体" w:hAnsi="宋体" w:cs="宋体"/>
                <w:color w:val="000000"/>
                <w:sz w:val="24"/>
                <w:szCs w:val="24"/>
              </w:rPr>
            </w:pPr>
          </w:p>
        </w:tc>
      </w:tr>
    </w:tbl>
    <w:p w14:paraId="18B1D4D4">
      <w:pPr>
        <w:jc w:val="center"/>
        <w:rPr>
          <w:rFonts w:hint="eastAsia" w:ascii="宋体" w:hAnsi="宋体" w:cs="宋体"/>
          <w:sz w:val="24"/>
          <w:szCs w:val="24"/>
          <w14:ligatures w14:val="standardContextual"/>
        </w:rPr>
      </w:pPr>
    </w:p>
    <w:p w14:paraId="793E815C">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drawing>
          <wp:inline distT="0" distB="0" distL="0" distR="0">
            <wp:extent cx="5274310" cy="3016250"/>
            <wp:effectExtent l="0" t="0" r="2540" b="12700"/>
            <wp:docPr id="148386413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4130" name="图片 1" descr="地图&#10;&#10;描述已自动生成"/>
                    <pic:cNvPicPr>
                      <a:picLocks noChangeAspect="1"/>
                    </pic:cNvPicPr>
                  </pic:nvPicPr>
                  <pic:blipFill>
                    <a:blip r:embed="rId10"/>
                    <a:stretch>
                      <a:fillRect/>
                    </a:stretch>
                  </pic:blipFill>
                  <pic:spPr>
                    <a:xfrm>
                      <a:off x="0" y="0"/>
                      <a:ext cx="5274310" cy="3016537"/>
                    </a:xfrm>
                    <a:prstGeom prst="rect">
                      <a:avLst/>
                    </a:prstGeom>
                  </pic:spPr>
                </pic:pic>
              </a:graphicData>
            </a:graphic>
          </wp:inline>
        </w:drawing>
      </w:r>
    </w:p>
    <w:p w14:paraId="6DF59709">
      <w:pPr>
        <w:ind w:firstLine="480"/>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图2 原涉事物料堆放区域土壤采样点位图</w:t>
      </w:r>
    </w:p>
    <w:p w14:paraId="01B034C7">
      <w:pPr>
        <w:ind w:firstLine="480"/>
        <w:jc w:val="center"/>
        <w:rPr>
          <w:rFonts w:hint="eastAsia" w:ascii="宋体" w:hAnsi="宋体" w:cs="宋体"/>
          <w:sz w:val="24"/>
          <w:szCs w:val="24"/>
          <w14:ligatures w14:val="standardContextual"/>
        </w:rPr>
      </w:pPr>
    </w:p>
    <w:p w14:paraId="5FE5572F">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drawing>
          <wp:inline distT="0" distB="0" distL="0" distR="0">
            <wp:extent cx="5274310" cy="3022600"/>
            <wp:effectExtent l="0" t="0" r="2540" b="6350"/>
            <wp:docPr id="109261177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11771" name="图片 1" descr="地图&#10;&#10;描述已自动生成"/>
                    <pic:cNvPicPr>
                      <a:picLocks noChangeAspect="1"/>
                    </pic:cNvPicPr>
                  </pic:nvPicPr>
                  <pic:blipFill>
                    <a:blip r:embed="rId11"/>
                    <a:stretch>
                      <a:fillRect/>
                    </a:stretch>
                  </pic:blipFill>
                  <pic:spPr>
                    <a:xfrm>
                      <a:off x="0" y="0"/>
                      <a:ext cx="5274310" cy="3022722"/>
                    </a:xfrm>
                    <a:prstGeom prst="rect">
                      <a:avLst/>
                    </a:prstGeom>
                  </pic:spPr>
                </pic:pic>
              </a:graphicData>
            </a:graphic>
          </wp:inline>
        </w:drawing>
      </w:r>
    </w:p>
    <w:p w14:paraId="7C4E9C4F">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图3 对照区域土壤采样点位图</w:t>
      </w:r>
    </w:p>
    <w:p w14:paraId="6ECF8BAA">
      <w:pPr>
        <w:jc w:val="center"/>
        <w:rPr>
          <w:rFonts w:hint="eastAsia" w:ascii="宋体" w:hAnsi="宋体" w:cs="宋体"/>
          <w:sz w:val="24"/>
          <w:szCs w:val="24"/>
          <w14:ligatures w14:val="standardContextual"/>
        </w:rPr>
      </w:pPr>
    </w:p>
    <w:p w14:paraId="2B2DFA76">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2、涉事物料性质司法鉴定</w:t>
      </w:r>
    </w:p>
    <w:p w14:paraId="1DEE4488">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（1）工作内容</w:t>
      </w:r>
    </w:p>
    <w:p w14:paraId="58C7C9B4">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按照危险废物鉴别技术规范对连云港鑫昌达新型建材有限公司厂区3处库房和2处天堆放点内的涉事物料进行样品采样并检测分析，明确固废性质。最终出具涉事物料属性司法鉴定意见。本阶段工作成果可作为后续固废清运处置的依据。</w:t>
      </w:r>
    </w:p>
    <w:p w14:paraId="0391F65B">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（2）采样检测方案</w:t>
      </w:r>
    </w:p>
    <w:p w14:paraId="11A4AD1F">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拟计划在连云港鑫昌达新型建材有限公司厂区3处库房和2处天堆放点内采集涉事物料样品进行检测分析，采样检测方案见表3，采样点位示意图见图4。</w:t>
      </w:r>
    </w:p>
    <w:p w14:paraId="75922A3E">
      <w:pPr>
        <w:keepNext/>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表3 涉事物料属性司法鉴定采样检测方案</w:t>
      </w:r>
    </w:p>
    <w:tbl>
      <w:tblPr>
        <w:tblStyle w:val="3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18"/>
        <w:gridCol w:w="1370"/>
        <w:gridCol w:w="1370"/>
        <w:gridCol w:w="1371"/>
        <w:gridCol w:w="2767"/>
      </w:tblGrid>
      <w:tr w14:paraId="5BDB1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1418" w:type="dxa"/>
            <w:vAlign w:val="center"/>
          </w:tcPr>
          <w:p w14:paraId="036B7E45">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工作内容</w:t>
            </w:r>
          </w:p>
        </w:tc>
        <w:tc>
          <w:tcPr>
            <w:tcW w:w="1370" w:type="dxa"/>
            <w:vAlign w:val="center"/>
          </w:tcPr>
          <w:p w14:paraId="4DD7C65A">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采样位置</w:t>
            </w:r>
          </w:p>
        </w:tc>
        <w:tc>
          <w:tcPr>
            <w:tcW w:w="1370" w:type="dxa"/>
            <w:vAlign w:val="center"/>
          </w:tcPr>
          <w:p w14:paraId="69E147C1">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样品编号</w:t>
            </w:r>
          </w:p>
        </w:tc>
        <w:tc>
          <w:tcPr>
            <w:tcW w:w="1371" w:type="dxa"/>
            <w:vAlign w:val="center"/>
          </w:tcPr>
          <w:p w14:paraId="028AA7E2">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样品数量/个</w:t>
            </w:r>
          </w:p>
        </w:tc>
        <w:tc>
          <w:tcPr>
            <w:tcW w:w="2767" w:type="dxa"/>
            <w:vAlign w:val="center"/>
          </w:tcPr>
          <w:p w14:paraId="1C574ABE">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检测因子</w:t>
            </w:r>
          </w:p>
        </w:tc>
      </w:tr>
      <w:tr w14:paraId="4B1D1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Merge w:val="restart"/>
            <w:vAlign w:val="center"/>
          </w:tcPr>
          <w:p w14:paraId="7E74A569">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涉事物料属性司法鉴定</w:t>
            </w:r>
          </w:p>
        </w:tc>
        <w:tc>
          <w:tcPr>
            <w:tcW w:w="1370" w:type="dxa"/>
            <w:vAlign w:val="center"/>
          </w:tcPr>
          <w:p w14:paraId="5BFAB91C">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1#仓库</w:t>
            </w:r>
          </w:p>
        </w:tc>
        <w:tc>
          <w:tcPr>
            <w:tcW w:w="1370" w:type="dxa"/>
            <w:vAlign w:val="center"/>
          </w:tcPr>
          <w:p w14:paraId="3C9C4CB3">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1#-S1~1#-S30</w:t>
            </w:r>
          </w:p>
        </w:tc>
        <w:tc>
          <w:tcPr>
            <w:tcW w:w="1371" w:type="dxa"/>
            <w:vAlign w:val="center"/>
          </w:tcPr>
          <w:p w14:paraId="53374D96">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30</w:t>
            </w:r>
          </w:p>
        </w:tc>
        <w:tc>
          <w:tcPr>
            <w:tcW w:w="2767" w:type="dxa"/>
            <w:vMerge w:val="restart"/>
            <w:vAlign w:val="center"/>
          </w:tcPr>
          <w:p w14:paraId="0BA8562D">
            <w:pPr>
              <w:rPr>
                <w:rFonts w:hint="eastAsia" w:ascii="宋体" w:hAnsi="宋体" w:cs="宋体"/>
                <w:sz w:val="24"/>
                <w:szCs w:val="24"/>
                <w14:ligatures w14:val="standardContextual"/>
              </w:rPr>
            </w:pPr>
            <w:r>
              <w:rPr>
                <w:rFonts w:hint="eastAsia" w:ascii="宋体" w:hAnsi="宋体" w:cs="宋体"/>
                <w:sz w:val="24"/>
                <w:szCs w:val="24"/>
                <w14:ligatures w14:val="standardContextual"/>
              </w:rPr>
              <w:t>①腐蚀性：pH检测；</w:t>
            </w:r>
          </w:p>
          <w:p w14:paraId="53FEB84A">
            <w:pPr>
              <w:rPr>
                <w:rFonts w:hint="eastAsia" w:ascii="宋体" w:hAnsi="宋体" w:cs="宋体"/>
                <w:sz w:val="24"/>
                <w:szCs w:val="24"/>
                <w14:ligatures w14:val="standardContextual"/>
              </w:rPr>
            </w:pPr>
            <w:r>
              <w:rPr>
                <w:rFonts w:hint="eastAsia" w:ascii="宋体" w:hAnsi="宋体" w:cs="宋体"/>
                <w:sz w:val="24"/>
                <w:szCs w:val="24"/>
                <w14:ligatures w14:val="standardContextual"/>
              </w:rPr>
              <w:t>②浸出毒性：镍、铜、锌、锰、铬、六价铬、钴、铁、镉、钙、镁、铝、汞、铅、砷、氟化物、氰化物浸出含量检测；</w:t>
            </w:r>
          </w:p>
          <w:p w14:paraId="6DF0D4B5">
            <w:pPr>
              <w:rPr>
                <w:rFonts w:hint="eastAsia" w:ascii="宋体" w:hAnsi="宋体" w:cs="宋体"/>
                <w:sz w:val="24"/>
                <w:szCs w:val="24"/>
                <w14:ligatures w14:val="standardContextual"/>
              </w:rPr>
            </w:pPr>
            <w:r>
              <w:rPr>
                <w:rFonts w:hint="eastAsia" w:ascii="宋体" w:hAnsi="宋体" w:cs="宋体"/>
                <w:sz w:val="24"/>
                <w:szCs w:val="24"/>
                <w14:ligatures w14:val="standardContextual"/>
              </w:rPr>
              <w:t>③毒性物质含量：镍、铜、锌、锰、铬、六价铬、钴、铁、镉、钙、镁、铝、汞、铅、砷、氟化物、氰化物含量检测</w:t>
            </w:r>
          </w:p>
        </w:tc>
      </w:tr>
      <w:tr w14:paraId="24BA5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Merge w:val="continue"/>
            <w:vAlign w:val="center"/>
          </w:tcPr>
          <w:p w14:paraId="371BE9C9">
            <w:pPr>
              <w:jc w:val="center"/>
              <w:rPr>
                <w:rFonts w:hint="eastAsia" w:ascii="宋体" w:hAnsi="宋体" w:cs="宋体"/>
                <w:sz w:val="24"/>
                <w:szCs w:val="24"/>
                <w14:ligatures w14:val="standardContextual"/>
              </w:rPr>
            </w:pPr>
          </w:p>
        </w:tc>
        <w:tc>
          <w:tcPr>
            <w:tcW w:w="1370" w:type="dxa"/>
            <w:vAlign w:val="center"/>
          </w:tcPr>
          <w:p w14:paraId="44E48F66">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2#仓库</w:t>
            </w:r>
          </w:p>
        </w:tc>
        <w:tc>
          <w:tcPr>
            <w:tcW w:w="1370" w:type="dxa"/>
            <w:vAlign w:val="center"/>
          </w:tcPr>
          <w:p w14:paraId="0F5E0B8F">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2#-S1~2#-S30</w:t>
            </w:r>
          </w:p>
        </w:tc>
        <w:tc>
          <w:tcPr>
            <w:tcW w:w="1371" w:type="dxa"/>
            <w:vAlign w:val="center"/>
          </w:tcPr>
          <w:p w14:paraId="25EE15B6">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30</w:t>
            </w:r>
          </w:p>
        </w:tc>
        <w:tc>
          <w:tcPr>
            <w:tcW w:w="2767" w:type="dxa"/>
            <w:vMerge w:val="continue"/>
            <w:vAlign w:val="center"/>
          </w:tcPr>
          <w:p w14:paraId="39C3B9C4">
            <w:pPr>
              <w:jc w:val="center"/>
              <w:rPr>
                <w:rFonts w:hint="eastAsia" w:ascii="宋体" w:hAnsi="宋体" w:cs="宋体"/>
                <w:sz w:val="24"/>
                <w:szCs w:val="24"/>
                <w14:ligatures w14:val="standardContextual"/>
              </w:rPr>
            </w:pPr>
          </w:p>
        </w:tc>
      </w:tr>
      <w:tr w14:paraId="1129C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Merge w:val="continue"/>
            <w:vAlign w:val="center"/>
          </w:tcPr>
          <w:p w14:paraId="1B5F38BC">
            <w:pPr>
              <w:jc w:val="center"/>
              <w:rPr>
                <w:rFonts w:hint="eastAsia" w:ascii="宋体" w:hAnsi="宋体" w:cs="宋体"/>
                <w:sz w:val="24"/>
                <w:szCs w:val="24"/>
                <w14:ligatures w14:val="standardContextual"/>
              </w:rPr>
            </w:pPr>
          </w:p>
        </w:tc>
        <w:tc>
          <w:tcPr>
            <w:tcW w:w="1370" w:type="dxa"/>
            <w:vAlign w:val="center"/>
          </w:tcPr>
          <w:p w14:paraId="2F1054EC">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3#仓库</w:t>
            </w:r>
          </w:p>
        </w:tc>
        <w:tc>
          <w:tcPr>
            <w:tcW w:w="1370" w:type="dxa"/>
            <w:vAlign w:val="center"/>
          </w:tcPr>
          <w:p w14:paraId="2096A64C">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3#-S1~3#-S30</w:t>
            </w:r>
          </w:p>
        </w:tc>
        <w:tc>
          <w:tcPr>
            <w:tcW w:w="1371" w:type="dxa"/>
            <w:vAlign w:val="center"/>
          </w:tcPr>
          <w:p w14:paraId="4E766CCD">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30</w:t>
            </w:r>
          </w:p>
        </w:tc>
        <w:tc>
          <w:tcPr>
            <w:tcW w:w="2767" w:type="dxa"/>
            <w:vMerge w:val="continue"/>
            <w:vAlign w:val="center"/>
          </w:tcPr>
          <w:p w14:paraId="3038E158">
            <w:pPr>
              <w:jc w:val="center"/>
              <w:rPr>
                <w:rFonts w:hint="eastAsia" w:ascii="宋体" w:hAnsi="宋体" w:cs="宋体"/>
                <w:sz w:val="24"/>
                <w:szCs w:val="24"/>
                <w14:ligatures w14:val="standardContextual"/>
              </w:rPr>
            </w:pPr>
          </w:p>
        </w:tc>
      </w:tr>
      <w:tr w14:paraId="47D15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Merge w:val="continue"/>
            <w:vAlign w:val="center"/>
          </w:tcPr>
          <w:p w14:paraId="0A4CA9EB">
            <w:pPr>
              <w:jc w:val="center"/>
              <w:rPr>
                <w:rFonts w:hint="eastAsia" w:ascii="宋体" w:hAnsi="宋体" w:cs="宋体"/>
                <w:sz w:val="24"/>
                <w:szCs w:val="24"/>
                <w14:ligatures w14:val="standardContextual"/>
              </w:rPr>
            </w:pPr>
          </w:p>
        </w:tc>
        <w:tc>
          <w:tcPr>
            <w:tcW w:w="1370" w:type="dxa"/>
            <w:vAlign w:val="center"/>
          </w:tcPr>
          <w:p w14:paraId="3A1F56AA">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4#露天堆场</w:t>
            </w:r>
          </w:p>
        </w:tc>
        <w:tc>
          <w:tcPr>
            <w:tcW w:w="1370" w:type="dxa"/>
            <w:vAlign w:val="center"/>
          </w:tcPr>
          <w:p w14:paraId="5F4C9DBC">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4#-S1~4#-S20</w:t>
            </w:r>
          </w:p>
        </w:tc>
        <w:tc>
          <w:tcPr>
            <w:tcW w:w="1371" w:type="dxa"/>
            <w:vAlign w:val="center"/>
          </w:tcPr>
          <w:p w14:paraId="194C174E">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20</w:t>
            </w:r>
          </w:p>
        </w:tc>
        <w:tc>
          <w:tcPr>
            <w:tcW w:w="2767" w:type="dxa"/>
            <w:vMerge w:val="continue"/>
            <w:vAlign w:val="center"/>
          </w:tcPr>
          <w:p w14:paraId="1726D54B">
            <w:pPr>
              <w:jc w:val="center"/>
              <w:rPr>
                <w:rFonts w:hint="eastAsia" w:ascii="宋体" w:hAnsi="宋体" w:cs="宋体"/>
                <w:sz w:val="24"/>
                <w:szCs w:val="24"/>
                <w14:ligatures w14:val="standardContextual"/>
              </w:rPr>
            </w:pPr>
          </w:p>
        </w:tc>
      </w:tr>
      <w:tr w14:paraId="51A51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Merge w:val="continue"/>
            <w:vAlign w:val="center"/>
          </w:tcPr>
          <w:p w14:paraId="45D40563">
            <w:pPr>
              <w:jc w:val="center"/>
              <w:rPr>
                <w:rFonts w:hint="eastAsia" w:ascii="宋体" w:hAnsi="宋体" w:cs="宋体"/>
                <w:sz w:val="24"/>
                <w:szCs w:val="24"/>
                <w14:ligatures w14:val="standardContextual"/>
              </w:rPr>
            </w:pPr>
          </w:p>
        </w:tc>
        <w:tc>
          <w:tcPr>
            <w:tcW w:w="1370" w:type="dxa"/>
            <w:vAlign w:val="center"/>
          </w:tcPr>
          <w:p w14:paraId="71DF727D">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5#露天堆场</w:t>
            </w:r>
          </w:p>
        </w:tc>
        <w:tc>
          <w:tcPr>
            <w:tcW w:w="1370" w:type="dxa"/>
            <w:vAlign w:val="center"/>
          </w:tcPr>
          <w:p w14:paraId="24382936">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5#-S1~5#-S20</w:t>
            </w:r>
          </w:p>
        </w:tc>
        <w:tc>
          <w:tcPr>
            <w:tcW w:w="1371" w:type="dxa"/>
            <w:vAlign w:val="center"/>
          </w:tcPr>
          <w:p w14:paraId="1991C394">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20</w:t>
            </w:r>
          </w:p>
        </w:tc>
        <w:tc>
          <w:tcPr>
            <w:tcW w:w="2767" w:type="dxa"/>
            <w:vMerge w:val="continue"/>
            <w:vAlign w:val="center"/>
          </w:tcPr>
          <w:p w14:paraId="0808B8C5">
            <w:pPr>
              <w:jc w:val="center"/>
              <w:rPr>
                <w:rFonts w:hint="eastAsia" w:ascii="宋体" w:hAnsi="宋体" w:cs="宋体"/>
                <w:sz w:val="24"/>
                <w:szCs w:val="24"/>
                <w14:ligatures w14:val="standardContextual"/>
              </w:rPr>
            </w:pPr>
          </w:p>
        </w:tc>
      </w:tr>
    </w:tbl>
    <w:p w14:paraId="44E1E0CA">
      <w:pPr>
        <w:spacing w:line="360" w:lineRule="auto"/>
        <w:rPr>
          <w:rFonts w:hint="eastAsia" w:ascii="宋体" w:hAnsi="宋体" w:cs="宋体"/>
          <w:sz w:val="24"/>
          <w:szCs w:val="24"/>
          <w14:ligatures w14:val="standardContextual"/>
        </w:rPr>
      </w:pPr>
    </w:p>
    <w:p w14:paraId="2879763B">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drawing>
          <wp:inline distT="0" distB="0" distL="0" distR="0">
            <wp:extent cx="5274310" cy="2992120"/>
            <wp:effectExtent l="0" t="0" r="2540" b="17780"/>
            <wp:docPr id="22817855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554" name="图片 1" descr="地图&#10;&#10;描述已自动生成"/>
                    <pic:cNvPicPr>
                      <a:picLocks noChangeAspect="1"/>
                    </pic:cNvPicPr>
                  </pic:nvPicPr>
                  <pic:blipFill>
                    <a:blip r:embed="rId12"/>
                    <a:stretch>
                      <a:fillRect/>
                    </a:stretch>
                  </pic:blipFill>
                  <pic:spPr>
                    <a:xfrm>
                      <a:off x="0" y="0"/>
                      <a:ext cx="5274310" cy="2992731"/>
                    </a:xfrm>
                    <a:prstGeom prst="rect">
                      <a:avLst/>
                    </a:prstGeom>
                  </pic:spPr>
                </pic:pic>
              </a:graphicData>
            </a:graphic>
          </wp:inline>
        </w:drawing>
      </w:r>
    </w:p>
    <w:p w14:paraId="56B98EE6">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图4 司法鉴定阶段采样点位布设图</w:t>
      </w:r>
    </w:p>
    <w:p w14:paraId="27ABE2C0">
      <w:pPr>
        <w:spacing w:before="120" w:beforeLines="50"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3、厂区西侧地块（原涉事物料堆放区域）阶段性生态环境损害评估</w:t>
      </w:r>
    </w:p>
    <w:p w14:paraId="0826A763">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（1）工作内容</w:t>
      </w:r>
    </w:p>
    <w:p w14:paraId="4DF026F4">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厂区西侧地块（原涉事物料堆放区域）部分固废已清运，针对已清运完成的范围进行土壤和地下水生态环境损害评估。</w:t>
      </w:r>
    </w:p>
    <w:p w14:paraId="11133C01">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（2）采样检测方案</w:t>
      </w:r>
    </w:p>
    <w:p w14:paraId="29F1B247">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以事发地基坑已清运部分为损害调查范围，事发地基坑总面积约为3000</w:t>
      </w:r>
      <w:r>
        <w:rPr>
          <w:rFonts w:hint="eastAsia" w:ascii="宋体" w:hAnsi="宋体" w:cs="宋体"/>
          <w:color w:val="000000"/>
          <w:sz w:val="24"/>
          <w:szCs w:val="24"/>
          <w14:ligatures w14:val="standardContextual"/>
        </w:rPr>
        <w:t>m</w:t>
      </w:r>
      <w:r>
        <w:rPr>
          <w:rFonts w:hint="eastAsia" w:ascii="宋体" w:hAnsi="宋体" w:cs="宋体"/>
          <w:color w:val="000000"/>
          <w:sz w:val="24"/>
          <w:szCs w:val="24"/>
          <w:vertAlign w:val="superscript"/>
          <w14:ligatures w14:val="standardContextual"/>
        </w:rPr>
        <w:t>2</w:t>
      </w:r>
      <w:r>
        <w:rPr>
          <w:rFonts w:hint="eastAsia" w:ascii="宋体" w:hAnsi="宋体" w:cs="宋体"/>
          <w:color w:val="000000"/>
          <w:sz w:val="24"/>
          <w:szCs w:val="24"/>
          <w14:ligatures w14:val="standardContextual"/>
        </w:rPr>
        <w:t>，基坑平均深度以1.5米计，以基坑坑底以上1.5米为基准面。在基坑内共布设7个土壤样品采集点位，对各点位地下4.5米范围（即基准面下1.5-6米范围）</w:t>
      </w:r>
      <w:r>
        <w:rPr>
          <w:rFonts w:hint="eastAsia" w:ascii="宋体" w:hAnsi="宋体" w:cs="宋体"/>
          <w:sz w:val="24"/>
          <w:szCs w:val="24"/>
          <w14:ligatures w14:val="standardContextual"/>
        </w:rPr>
        <w:t>内的土壤进行样品采集检测，在基坑内布设2个地下水点位进行样品采集检测。同时在对照区域布设5个土壤样品采集点位和3个地下水样品采集点位，评估已清运范围的生态环境损害。</w:t>
      </w:r>
    </w:p>
    <w:p w14:paraId="3851254F">
      <w:pPr>
        <w:spacing w:line="360" w:lineRule="auto"/>
        <w:ind w:firstLine="480" w:firstLineChars="200"/>
        <w:rPr>
          <w:rFonts w:hint="eastAsia" w:ascii="宋体" w:hAnsi="宋体" w:cs="宋体"/>
          <w:sz w:val="24"/>
          <w:szCs w:val="24"/>
          <w14:ligatures w14:val="standardContextual"/>
        </w:rPr>
      </w:pPr>
      <w:r>
        <w:rPr>
          <w:rFonts w:hint="eastAsia" w:ascii="宋体" w:hAnsi="宋体" w:cs="宋体"/>
          <w:sz w:val="24"/>
          <w:szCs w:val="24"/>
          <w14:ligatures w14:val="standardContextual"/>
        </w:rPr>
        <w:t>事发地和对照区域土壤、地下水采样检测方案见表4，采样点位示意图见图5-7。</w:t>
      </w:r>
    </w:p>
    <w:p w14:paraId="1C112789">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表4 土壤、地下水采样检测方案</w:t>
      </w:r>
    </w:p>
    <w:tbl>
      <w:tblPr>
        <w:tblStyle w:val="3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7"/>
        <w:gridCol w:w="1236"/>
        <w:gridCol w:w="1236"/>
        <w:gridCol w:w="1946"/>
        <w:gridCol w:w="1246"/>
        <w:gridCol w:w="2052"/>
      </w:tblGrid>
      <w:tr w14:paraId="44978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91" w:type="pct"/>
            <w:vAlign w:val="center"/>
          </w:tcPr>
          <w:p w14:paraId="59267275">
            <w:pPr>
              <w:jc w:val="center"/>
              <w:rPr>
                <w:rFonts w:hint="eastAsia" w:ascii="宋体" w:hAnsi="宋体" w:cs="宋体"/>
                <w:b/>
                <w:bCs/>
                <w:sz w:val="24"/>
                <w:szCs w:val="24"/>
                <w14:ligatures w14:val="standardContextual"/>
              </w:rPr>
            </w:pPr>
            <w:bookmarkStart w:id="232" w:name="_Hlk115104409"/>
            <w:r>
              <w:rPr>
                <w:rFonts w:hint="eastAsia" w:ascii="宋体" w:hAnsi="宋体" w:cs="宋体"/>
                <w:b/>
                <w:bCs/>
                <w:sz w:val="24"/>
                <w:szCs w:val="24"/>
                <w14:ligatures w14:val="standardContextual"/>
              </w:rPr>
              <w:t>采样位置</w:t>
            </w:r>
          </w:p>
        </w:tc>
        <w:tc>
          <w:tcPr>
            <w:tcW w:w="690" w:type="pct"/>
            <w:vAlign w:val="center"/>
          </w:tcPr>
          <w:p w14:paraId="3301DB7B">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样品类型</w:t>
            </w:r>
          </w:p>
        </w:tc>
        <w:tc>
          <w:tcPr>
            <w:tcW w:w="690" w:type="pct"/>
            <w:vAlign w:val="center"/>
          </w:tcPr>
          <w:p w14:paraId="694DC384">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采样点位</w:t>
            </w:r>
          </w:p>
        </w:tc>
        <w:tc>
          <w:tcPr>
            <w:tcW w:w="1087" w:type="pct"/>
            <w:vAlign w:val="center"/>
          </w:tcPr>
          <w:p w14:paraId="675283E1">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采样深度/m</w:t>
            </w:r>
          </w:p>
        </w:tc>
        <w:tc>
          <w:tcPr>
            <w:tcW w:w="696" w:type="pct"/>
            <w:vAlign w:val="center"/>
          </w:tcPr>
          <w:p w14:paraId="639A4247">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样品数量/个</w:t>
            </w:r>
          </w:p>
        </w:tc>
        <w:tc>
          <w:tcPr>
            <w:tcW w:w="1146" w:type="pct"/>
            <w:vAlign w:val="center"/>
          </w:tcPr>
          <w:p w14:paraId="2FED7B14">
            <w:pPr>
              <w:jc w:val="center"/>
              <w:rPr>
                <w:rFonts w:hint="eastAsia" w:ascii="宋体" w:hAnsi="宋体" w:cs="宋体"/>
                <w:b/>
                <w:bCs/>
                <w:sz w:val="24"/>
                <w:szCs w:val="24"/>
                <w14:ligatures w14:val="standardContextual"/>
              </w:rPr>
            </w:pPr>
            <w:r>
              <w:rPr>
                <w:rFonts w:hint="eastAsia" w:ascii="宋体" w:hAnsi="宋体" w:cs="宋体"/>
                <w:b/>
                <w:bCs/>
                <w:sz w:val="24"/>
                <w:szCs w:val="24"/>
                <w14:ligatures w14:val="standardContextual"/>
              </w:rPr>
              <w:t>检测方案</w:t>
            </w:r>
          </w:p>
        </w:tc>
      </w:tr>
      <w:tr w14:paraId="750EA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8" w:hRule="atLeast"/>
          <w:jc w:val="center"/>
        </w:trPr>
        <w:tc>
          <w:tcPr>
            <w:tcW w:w="691" w:type="pct"/>
            <w:vAlign w:val="center"/>
          </w:tcPr>
          <w:p w14:paraId="051F1C0B">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原涉事物料堆放区域</w:t>
            </w:r>
          </w:p>
        </w:tc>
        <w:tc>
          <w:tcPr>
            <w:tcW w:w="690" w:type="pct"/>
            <w:vMerge w:val="restart"/>
            <w:vAlign w:val="center"/>
          </w:tcPr>
          <w:p w14:paraId="15838B18">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土壤</w:t>
            </w:r>
          </w:p>
        </w:tc>
        <w:tc>
          <w:tcPr>
            <w:tcW w:w="690" w:type="pct"/>
            <w:vAlign w:val="center"/>
          </w:tcPr>
          <w:p w14:paraId="727BDAED">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7</w:t>
            </w:r>
          </w:p>
        </w:tc>
        <w:tc>
          <w:tcPr>
            <w:tcW w:w="1087" w:type="pct"/>
            <w:vAlign w:val="center"/>
          </w:tcPr>
          <w:p w14:paraId="148AB3AE">
            <w:pPr>
              <w:jc w:val="center"/>
              <w:rPr>
                <w:rFonts w:hint="eastAsia" w:ascii="宋体" w:hAnsi="宋体" w:cs="宋体"/>
                <w:sz w:val="24"/>
                <w:szCs w:val="24"/>
                <w14:ligatures w14:val="standardContextual"/>
              </w:rPr>
            </w:pPr>
            <w:r>
              <w:rPr>
                <w:rFonts w:hint="eastAsia" w:ascii="宋体" w:hAnsi="宋体" w:cs="宋体"/>
                <w:color w:val="000000"/>
                <w:sz w:val="24"/>
                <w:szCs w:val="24"/>
                <w14:ligatures w14:val="standardContextual"/>
              </w:rPr>
              <w:t>1.5-3.0、3.0-4.5、4.5-6.0</w:t>
            </w:r>
          </w:p>
        </w:tc>
        <w:tc>
          <w:tcPr>
            <w:tcW w:w="696" w:type="pct"/>
            <w:vAlign w:val="center"/>
          </w:tcPr>
          <w:p w14:paraId="281BDE2C">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28</w:t>
            </w:r>
          </w:p>
        </w:tc>
        <w:tc>
          <w:tcPr>
            <w:tcW w:w="1146" w:type="pct"/>
            <w:vMerge w:val="restart"/>
            <w:vAlign w:val="center"/>
          </w:tcPr>
          <w:p w14:paraId="50270E28">
            <w:pPr>
              <w:rPr>
                <w:rFonts w:hint="eastAsia" w:ascii="宋体" w:hAnsi="宋体" w:cs="宋体"/>
                <w:sz w:val="24"/>
                <w:szCs w:val="24"/>
                <w14:ligatures w14:val="standardContextual"/>
              </w:rPr>
            </w:pPr>
            <w:r>
              <w:rPr>
                <w:rFonts w:hint="eastAsia" w:ascii="宋体" w:hAnsi="宋体" w:cs="宋体"/>
                <w:sz w:val="24"/>
                <w:szCs w:val="24"/>
                <w14:ligatures w14:val="standardContextual"/>
              </w:rPr>
              <w:t>①pH；</w:t>
            </w:r>
          </w:p>
          <w:p w14:paraId="0556FC03">
            <w:pPr>
              <w:rPr>
                <w:rFonts w:hint="eastAsia" w:ascii="宋体" w:hAnsi="宋体" w:cs="宋体"/>
                <w:sz w:val="24"/>
                <w:szCs w:val="24"/>
                <w14:ligatures w14:val="standardContextual"/>
              </w:rPr>
            </w:pPr>
            <w:r>
              <w:rPr>
                <w:rFonts w:hint="eastAsia" w:ascii="宋体" w:hAnsi="宋体" w:cs="宋体"/>
                <w:sz w:val="24"/>
                <w:szCs w:val="24"/>
                <w14:ligatures w14:val="standardContextual"/>
              </w:rPr>
              <w:t>②铬、铜、锌、镍、钴、锰、铅、镉、钙、镁、铝、铁、汞、砷、六价铬、总氟化物、总氰化物</w:t>
            </w:r>
          </w:p>
        </w:tc>
      </w:tr>
      <w:tr w14:paraId="1D4F7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91" w:type="pct"/>
            <w:vAlign w:val="center"/>
          </w:tcPr>
          <w:p w14:paraId="4F022090">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对照区域</w:t>
            </w:r>
          </w:p>
        </w:tc>
        <w:tc>
          <w:tcPr>
            <w:tcW w:w="690" w:type="pct"/>
            <w:vMerge w:val="continue"/>
            <w:vAlign w:val="center"/>
          </w:tcPr>
          <w:p w14:paraId="1FA82070">
            <w:pPr>
              <w:jc w:val="center"/>
              <w:rPr>
                <w:rFonts w:hint="eastAsia" w:ascii="宋体" w:hAnsi="宋体" w:cs="宋体"/>
                <w:color w:val="000000"/>
                <w:sz w:val="24"/>
                <w:szCs w:val="24"/>
                <w14:ligatures w14:val="standardContextual"/>
              </w:rPr>
            </w:pPr>
          </w:p>
        </w:tc>
        <w:tc>
          <w:tcPr>
            <w:tcW w:w="690" w:type="pct"/>
            <w:vAlign w:val="center"/>
          </w:tcPr>
          <w:p w14:paraId="0FF1204A">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5</w:t>
            </w:r>
          </w:p>
        </w:tc>
        <w:tc>
          <w:tcPr>
            <w:tcW w:w="1087" w:type="pct"/>
            <w:vAlign w:val="center"/>
          </w:tcPr>
          <w:p w14:paraId="307061D1">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0-0.5、0.5-1.5、1.5-3、3-4.5、4.5-6.0</w:t>
            </w:r>
          </w:p>
        </w:tc>
        <w:tc>
          <w:tcPr>
            <w:tcW w:w="696" w:type="pct"/>
            <w:vAlign w:val="center"/>
          </w:tcPr>
          <w:p w14:paraId="62656BD6">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25</w:t>
            </w:r>
          </w:p>
        </w:tc>
        <w:tc>
          <w:tcPr>
            <w:tcW w:w="1146" w:type="pct"/>
            <w:vMerge w:val="continue"/>
            <w:vAlign w:val="center"/>
          </w:tcPr>
          <w:p w14:paraId="67E6D392">
            <w:pPr>
              <w:jc w:val="center"/>
              <w:rPr>
                <w:rFonts w:hint="eastAsia" w:ascii="宋体" w:hAnsi="宋体" w:cs="宋体"/>
                <w:color w:val="000000"/>
                <w:sz w:val="24"/>
                <w:szCs w:val="24"/>
                <w14:ligatures w14:val="standardContextual"/>
              </w:rPr>
            </w:pPr>
          </w:p>
        </w:tc>
      </w:tr>
      <w:tr w14:paraId="1A985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5" w:hRule="atLeast"/>
          <w:jc w:val="center"/>
        </w:trPr>
        <w:tc>
          <w:tcPr>
            <w:tcW w:w="691" w:type="pct"/>
            <w:vAlign w:val="center"/>
          </w:tcPr>
          <w:p w14:paraId="0CC63FBF">
            <w:pPr>
              <w:jc w:val="center"/>
              <w:rPr>
                <w:rFonts w:hint="eastAsia" w:ascii="宋体" w:hAnsi="宋体" w:cs="宋体"/>
                <w:color w:val="000000"/>
                <w:sz w:val="24"/>
                <w:szCs w:val="24"/>
                <w14:ligatures w14:val="standardContextual"/>
              </w:rPr>
            </w:pPr>
            <w:r>
              <w:rPr>
                <w:rFonts w:hint="eastAsia" w:ascii="宋体" w:hAnsi="宋体" w:cs="宋体"/>
                <w:sz w:val="24"/>
                <w:szCs w:val="24"/>
                <w14:ligatures w14:val="standardContextual"/>
              </w:rPr>
              <w:t>原涉事物料堆放区域</w:t>
            </w:r>
          </w:p>
        </w:tc>
        <w:tc>
          <w:tcPr>
            <w:tcW w:w="690" w:type="pct"/>
            <w:vMerge w:val="restart"/>
            <w:vAlign w:val="center"/>
          </w:tcPr>
          <w:p w14:paraId="2C8830D8">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地下水</w:t>
            </w:r>
          </w:p>
        </w:tc>
        <w:tc>
          <w:tcPr>
            <w:tcW w:w="690" w:type="pct"/>
            <w:vAlign w:val="center"/>
          </w:tcPr>
          <w:p w14:paraId="7FC6999E">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2</w:t>
            </w:r>
          </w:p>
        </w:tc>
        <w:tc>
          <w:tcPr>
            <w:tcW w:w="1087" w:type="pct"/>
            <w:vMerge w:val="restart"/>
            <w:vAlign w:val="center"/>
          </w:tcPr>
          <w:p w14:paraId="010049B9">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6.0</w:t>
            </w:r>
          </w:p>
        </w:tc>
        <w:tc>
          <w:tcPr>
            <w:tcW w:w="696" w:type="pct"/>
            <w:vAlign w:val="center"/>
          </w:tcPr>
          <w:p w14:paraId="0318F37C">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2</w:t>
            </w:r>
          </w:p>
        </w:tc>
        <w:tc>
          <w:tcPr>
            <w:tcW w:w="1146" w:type="pct"/>
            <w:vMerge w:val="restart"/>
            <w:vAlign w:val="center"/>
          </w:tcPr>
          <w:p w14:paraId="6F419524">
            <w:pP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①pH；</w:t>
            </w:r>
          </w:p>
          <w:p w14:paraId="42037B27">
            <w:pP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②铬、铜、锌、镍、钴、锰、铅、镉、钙、镁、铝、铁、汞、砷、六价铬、总氟化物、总氰化物</w:t>
            </w:r>
          </w:p>
        </w:tc>
      </w:tr>
      <w:tr w14:paraId="126F2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91" w:type="pct"/>
            <w:vAlign w:val="center"/>
          </w:tcPr>
          <w:p w14:paraId="612AAE47">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对照区域</w:t>
            </w:r>
          </w:p>
        </w:tc>
        <w:tc>
          <w:tcPr>
            <w:tcW w:w="690" w:type="pct"/>
            <w:vMerge w:val="continue"/>
            <w:vAlign w:val="center"/>
          </w:tcPr>
          <w:p w14:paraId="3D6CCD68">
            <w:pPr>
              <w:jc w:val="center"/>
              <w:rPr>
                <w:rFonts w:hint="eastAsia" w:ascii="宋体" w:hAnsi="宋体" w:cs="宋体"/>
                <w:color w:val="000000"/>
                <w:sz w:val="24"/>
                <w:szCs w:val="24"/>
                <w14:ligatures w14:val="standardContextual"/>
              </w:rPr>
            </w:pPr>
          </w:p>
        </w:tc>
        <w:tc>
          <w:tcPr>
            <w:tcW w:w="690" w:type="pct"/>
            <w:vAlign w:val="center"/>
          </w:tcPr>
          <w:p w14:paraId="1210F30A">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3</w:t>
            </w:r>
          </w:p>
        </w:tc>
        <w:tc>
          <w:tcPr>
            <w:tcW w:w="1087" w:type="pct"/>
            <w:vMerge w:val="continue"/>
            <w:vAlign w:val="center"/>
          </w:tcPr>
          <w:p w14:paraId="2F487B75">
            <w:pPr>
              <w:jc w:val="center"/>
              <w:rPr>
                <w:rFonts w:hint="eastAsia" w:ascii="宋体" w:hAnsi="宋体" w:cs="宋体"/>
                <w:color w:val="000000"/>
                <w:sz w:val="24"/>
                <w:szCs w:val="24"/>
                <w14:ligatures w14:val="standardContextual"/>
              </w:rPr>
            </w:pPr>
          </w:p>
        </w:tc>
        <w:tc>
          <w:tcPr>
            <w:tcW w:w="696" w:type="pct"/>
            <w:vAlign w:val="center"/>
          </w:tcPr>
          <w:p w14:paraId="0AB51385">
            <w:pPr>
              <w:jc w:val="center"/>
              <w:rPr>
                <w:rFonts w:hint="eastAsia" w:ascii="宋体" w:hAnsi="宋体" w:cs="宋体"/>
                <w:color w:val="000000"/>
                <w:sz w:val="24"/>
                <w:szCs w:val="24"/>
                <w14:ligatures w14:val="standardContextual"/>
              </w:rPr>
            </w:pPr>
            <w:r>
              <w:rPr>
                <w:rFonts w:hint="eastAsia" w:ascii="宋体" w:hAnsi="宋体" w:cs="宋体"/>
                <w:color w:val="000000"/>
                <w:sz w:val="24"/>
                <w:szCs w:val="24"/>
                <w14:ligatures w14:val="standardContextual"/>
              </w:rPr>
              <w:t>3</w:t>
            </w:r>
          </w:p>
        </w:tc>
        <w:tc>
          <w:tcPr>
            <w:tcW w:w="1146" w:type="pct"/>
            <w:vMerge w:val="continue"/>
            <w:vAlign w:val="center"/>
          </w:tcPr>
          <w:p w14:paraId="5FBA8AE3">
            <w:pPr>
              <w:jc w:val="center"/>
              <w:rPr>
                <w:rFonts w:hint="eastAsia" w:ascii="宋体" w:hAnsi="宋体" w:cs="宋体"/>
                <w:color w:val="000000"/>
                <w:sz w:val="24"/>
                <w:szCs w:val="24"/>
                <w14:ligatures w14:val="standardContextual"/>
              </w:rPr>
            </w:pPr>
          </w:p>
        </w:tc>
      </w:tr>
      <w:bookmarkEnd w:id="232"/>
    </w:tbl>
    <w:p w14:paraId="4C706833">
      <w:pPr>
        <w:spacing w:line="360" w:lineRule="auto"/>
        <w:rPr>
          <w:rFonts w:hint="eastAsia" w:ascii="宋体" w:hAnsi="宋体" w:cs="宋体"/>
          <w:sz w:val="24"/>
          <w:szCs w:val="24"/>
          <w14:ligatures w14:val="standardContextual"/>
        </w:rPr>
      </w:pPr>
    </w:p>
    <w:p w14:paraId="0F5A453F">
      <w:pPr>
        <w:spacing w:line="360" w:lineRule="auto"/>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drawing>
          <wp:inline distT="0" distB="0" distL="0" distR="0">
            <wp:extent cx="5274310" cy="2959735"/>
            <wp:effectExtent l="0" t="0" r="2540" b="12065"/>
            <wp:docPr id="25343994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9948" name="图片 1" descr="地图&#10;&#10;描述已自动生成"/>
                    <pic:cNvPicPr>
                      <a:picLocks noChangeAspect="1"/>
                    </pic:cNvPicPr>
                  </pic:nvPicPr>
                  <pic:blipFill>
                    <a:blip r:embed="rId13"/>
                    <a:stretch>
                      <a:fillRect/>
                    </a:stretch>
                  </pic:blipFill>
                  <pic:spPr>
                    <a:xfrm>
                      <a:off x="0" y="0"/>
                      <a:ext cx="5274310" cy="2960275"/>
                    </a:xfrm>
                    <a:prstGeom prst="rect">
                      <a:avLst/>
                    </a:prstGeom>
                  </pic:spPr>
                </pic:pic>
              </a:graphicData>
            </a:graphic>
          </wp:inline>
        </w:drawing>
      </w:r>
    </w:p>
    <w:p w14:paraId="151F37C3">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图5 事发地土壤采样点位布设图</w:t>
      </w:r>
    </w:p>
    <w:p w14:paraId="69AAFE51">
      <w:pPr>
        <w:spacing w:line="360" w:lineRule="auto"/>
        <w:rPr>
          <w:rFonts w:hint="eastAsia" w:ascii="宋体" w:hAnsi="宋体" w:cs="宋体"/>
          <w:sz w:val="24"/>
          <w:szCs w:val="24"/>
          <w14:ligatures w14:val="standardContextual"/>
        </w:rPr>
      </w:pPr>
    </w:p>
    <w:p w14:paraId="5FEB5865">
      <w:pPr>
        <w:spacing w:line="360" w:lineRule="auto"/>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drawing>
          <wp:inline distT="0" distB="0" distL="0" distR="0">
            <wp:extent cx="5274310" cy="2938145"/>
            <wp:effectExtent l="0" t="0" r="2540" b="14605"/>
            <wp:docPr id="5617280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8010" name="图片 1" descr="地图&#10;&#10;描述已自动生成"/>
                    <pic:cNvPicPr>
                      <a:picLocks noChangeAspect="1"/>
                    </pic:cNvPicPr>
                  </pic:nvPicPr>
                  <pic:blipFill>
                    <a:blip r:embed="rId14"/>
                    <a:stretch>
                      <a:fillRect/>
                    </a:stretch>
                  </pic:blipFill>
                  <pic:spPr>
                    <a:xfrm>
                      <a:off x="0" y="0"/>
                      <a:ext cx="5274310" cy="2938760"/>
                    </a:xfrm>
                    <a:prstGeom prst="rect">
                      <a:avLst/>
                    </a:prstGeom>
                  </pic:spPr>
                </pic:pic>
              </a:graphicData>
            </a:graphic>
          </wp:inline>
        </w:drawing>
      </w:r>
    </w:p>
    <w:p w14:paraId="62AAF4E7">
      <w:pPr>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t>图6 地下水采样点位布设图</w:t>
      </w:r>
    </w:p>
    <w:p w14:paraId="5382366E">
      <w:pPr>
        <w:spacing w:line="360" w:lineRule="auto"/>
        <w:jc w:val="center"/>
        <w:rPr>
          <w:rFonts w:hint="eastAsia" w:ascii="宋体" w:hAnsi="宋体" w:cs="宋体"/>
          <w:sz w:val="24"/>
          <w:szCs w:val="24"/>
          <w14:ligatures w14:val="standardContextual"/>
        </w:rPr>
      </w:pPr>
      <w:r>
        <w:rPr>
          <w:rFonts w:hint="eastAsia" w:ascii="宋体" w:hAnsi="宋体" w:cs="宋体"/>
          <w:sz w:val="24"/>
          <w:szCs w:val="24"/>
          <w14:ligatures w14:val="standardContextual"/>
        </w:rPr>
        <w:drawing>
          <wp:inline distT="0" distB="0" distL="0" distR="0">
            <wp:extent cx="5274310" cy="2935605"/>
            <wp:effectExtent l="0" t="0" r="2540" b="17145"/>
            <wp:docPr id="8446535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5357" name="图片 1" descr="地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36181"/>
                    </a:xfrm>
                    <a:prstGeom prst="rect">
                      <a:avLst/>
                    </a:prstGeom>
                    <a:noFill/>
                  </pic:spPr>
                </pic:pic>
              </a:graphicData>
            </a:graphic>
          </wp:inline>
        </w:drawing>
      </w:r>
    </w:p>
    <w:p w14:paraId="456F051C">
      <w:pPr>
        <w:jc w:val="center"/>
        <w:rPr>
          <w:rFonts w:hint="eastAsia" w:ascii="宋体" w:hAnsi="宋体" w:cs="宋体"/>
          <w:i/>
          <w:iCs/>
          <w:sz w:val="24"/>
          <w:szCs w:val="24"/>
          <w14:ligatures w14:val="standardContextual"/>
        </w:rPr>
      </w:pPr>
      <w:r>
        <w:rPr>
          <w:rFonts w:hint="eastAsia" w:ascii="宋体" w:hAnsi="宋体" w:cs="宋体"/>
          <w:i/>
          <w:iCs/>
          <w:sz w:val="24"/>
          <w:szCs w:val="24"/>
          <w14:ligatures w14:val="standardContextual"/>
        </w:rPr>
        <w:t>图7 对照区域土壤采样点位布设图</w:t>
      </w:r>
    </w:p>
    <w:p w14:paraId="4F23D345">
      <w:pPr>
        <w:spacing w:line="360" w:lineRule="auto"/>
        <w:ind w:firstLine="482" w:firstLineChars="200"/>
        <w:outlineLvl w:val="1"/>
        <w:rPr>
          <w:rFonts w:hint="eastAsia" w:ascii="宋体" w:hAnsi="宋体" w:cs="宋体"/>
          <w:b/>
          <w:i w:val="0"/>
          <w:iCs w:val="0"/>
          <w:sz w:val="24"/>
          <w:szCs w:val="24"/>
        </w:rPr>
      </w:pPr>
      <w:r>
        <w:rPr>
          <w:rFonts w:hint="eastAsia" w:ascii="宋体" w:hAnsi="宋体" w:cs="宋体"/>
          <w:b/>
          <w:i w:val="0"/>
          <w:iCs w:val="0"/>
          <w:sz w:val="24"/>
          <w:szCs w:val="24"/>
          <w:lang w:val="en-US" w:eastAsia="zh-CN"/>
        </w:rPr>
        <w:t>三、</w:t>
      </w:r>
      <w:r>
        <w:rPr>
          <w:rFonts w:hint="eastAsia" w:ascii="宋体" w:hAnsi="宋体" w:cs="宋体"/>
          <w:b/>
          <w:i w:val="0"/>
          <w:iCs w:val="0"/>
          <w:sz w:val="24"/>
          <w:szCs w:val="24"/>
        </w:rPr>
        <w:t>合同履行期限及地点</w:t>
      </w:r>
    </w:p>
    <w:p w14:paraId="2C6CDE93">
      <w:pPr>
        <w:spacing w:line="360" w:lineRule="auto"/>
        <w:ind w:firstLine="482" w:firstLineChars="200"/>
        <w:outlineLvl w:val="1"/>
        <w:rPr>
          <w:rFonts w:hint="eastAsia" w:ascii="宋体" w:hAnsi="宋体" w:cs="宋体"/>
          <w:b/>
          <w:i/>
          <w:iCs/>
          <w:sz w:val="24"/>
          <w:szCs w:val="24"/>
          <w:u w:val="single"/>
        </w:rPr>
      </w:pPr>
      <w:r>
        <w:rPr>
          <w:rFonts w:hint="eastAsia" w:ascii="宋体" w:hAnsi="宋体" w:cs="宋体"/>
          <w:b/>
          <w:i w:val="0"/>
          <w:iCs w:val="0"/>
          <w:sz w:val="24"/>
          <w:szCs w:val="24"/>
        </w:rPr>
        <w:t>合同履行期限</w:t>
      </w:r>
      <w:r>
        <w:rPr>
          <w:rFonts w:hint="eastAsia" w:ascii="宋体" w:hAnsi="宋体" w:cs="宋体"/>
          <w:b/>
          <w:i w:val="0"/>
          <w:iCs w:val="0"/>
          <w:sz w:val="24"/>
          <w:szCs w:val="24"/>
          <w:u w:val="single"/>
        </w:rPr>
        <w:t>：</w:t>
      </w:r>
      <w:r>
        <w:rPr>
          <w:rFonts w:hint="eastAsia" w:ascii="宋体" w:hAnsi="宋体" w:cs="宋体"/>
          <w:b/>
          <w:i/>
          <w:iCs/>
          <w:sz w:val="24"/>
          <w:szCs w:val="24"/>
          <w:u w:val="single"/>
        </w:rPr>
        <w:t>合同签订后5个工作日内完成涉事污染物性质鉴定及环境损害确认调查工作方案编制，15个工作日完成内场地样品采集与检测，20个工作日内完成倾倒固体废物污染物性质鉴定及损害确认报告；30个工作日内完成场地内生态环境损害评估方案编制、样品采集与检测、环境损害评估报告编制及出版工作。在服务期内中标服务单位应按时按质完成招标人提出的司法鉴定意见及评估报告任务并提交相应成果报告。</w:t>
      </w:r>
    </w:p>
    <w:p w14:paraId="67A38571">
      <w:pPr>
        <w:spacing w:line="360" w:lineRule="auto"/>
        <w:ind w:firstLine="482" w:firstLineChars="200"/>
        <w:outlineLvl w:val="1"/>
        <w:rPr>
          <w:rFonts w:hint="eastAsia" w:ascii="宋体" w:hAnsi="宋体" w:cs="宋体"/>
          <w:b/>
          <w:i w:val="0"/>
          <w:iCs w:val="0"/>
          <w:sz w:val="24"/>
          <w:szCs w:val="24"/>
        </w:rPr>
      </w:pPr>
      <w:r>
        <w:rPr>
          <w:rFonts w:hint="eastAsia" w:ascii="宋体" w:hAnsi="宋体" w:cs="宋体"/>
          <w:b/>
          <w:i w:val="0"/>
          <w:iCs w:val="0"/>
          <w:sz w:val="24"/>
          <w:szCs w:val="24"/>
        </w:rPr>
        <w:t>地点：</w:t>
      </w:r>
      <w:r>
        <w:rPr>
          <w:rFonts w:hint="eastAsia" w:ascii="宋体" w:hAnsi="宋体" w:cs="宋体"/>
          <w:b/>
          <w:i/>
          <w:iCs/>
          <w:sz w:val="24"/>
          <w:szCs w:val="24"/>
          <w:u w:val="single"/>
        </w:rPr>
        <w:t>采购方指定地点</w:t>
      </w:r>
      <w:r>
        <w:rPr>
          <w:rFonts w:hint="eastAsia" w:ascii="宋体" w:hAnsi="宋体" w:cs="宋体"/>
          <w:b/>
          <w:i w:val="0"/>
          <w:iCs w:val="0"/>
          <w:sz w:val="24"/>
          <w:szCs w:val="24"/>
        </w:rPr>
        <w:t>。</w:t>
      </w:r>
    </w:p>
    <w:p w14:paraId="6A769776">
      <w:pPr>
        <w:rPr>
          <w:rFonts w:hint="eastAsia" w:ascii="宋体" w:hAnsi="宋体" w:cs="宋体"/>
          <w:color w:val="000000"/>
          <w:sz w:val="36"/>
          <w:szCs w:val="36"/>
        </w:rPr>
      </w:pPr>
      <w:r>
        <w:rPr>
          <w:rFonts w:hint="eastAsia" w:ascii="宋体" w:hAnsi="宋体" w:cs="宋体"/>
          <w:color w:val="000000"/>
          <w:sz w:val="36"/>
          <w:szCs w:val="36"/>
        </w:rPr>
        <w:br w:type="page"/>
      </w:r>
    </w:p>
    <w:p w14:paraId="36BA952E">
      <w:pPr>
        <w:jc w:val="center"/>
        <w:rPr>
          <w:rFonts w:hint="eastAsia" w:ascii="宋体" w:hAnsi="宋体" w:cs="宋体"/>
          <w:color w:val="000000"/>
          <w:sz w:val="36"/>
          <w:szCs w:val="36"/>
        </w:rPr>
      </w:pPr>
      <w:r>
        <w:rPr>
          <w:rFonts w:hint="eastAsia" w:ascii="宋体" w:hAnsi="宋体" w:cs="宋体"/>
          <w:color w:val="000000"/>
          <w:sz w:val="36"/>
          <w:szCs w:val="36"/>
        </w:rPr>
        <w:t>项目实施</w:t>
      </w:r>
    </w:p>
    <w:tbl>
      <w:tblPr>
        <w:tblStyle w:val="262"/>
        <w:tblW w:w="51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3"/>
        <w:gridCol w:w="2214"/>
        <w:gridCol w:w="1312"/>
        <w:gridCol w:w="5069"/>
      </w:tblGrid>
      <w:tr w14:paraId="549E3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tblHeader/>
          <w:jc w:val="center"/>
        </w:trPr>
        <w:tc>
          <w:tcPr>
            <w:tcW w:w="333" w:type="pct"/>
            <w:tcBorders>
              <w:left w:val="single" w:color="auto" w:sz="12" w:space="0"/>
              <w:bottom w:val="single" w:color="auto" w:sz="12" w:space="0"/>
              <w:right w:val="single" w:color="auto" w:sz="12" w:space="0"/>
            </w:tcBorders>
            <w:vAlign w:val="center"/>
          </w:tcPr>
          <w:p w14:paraId="2EF9CAF2">
            <w:pPr>
              <w:jc w:val="center"/>
              <w:rPr>
                <w:rFonts w:hint="eastAsia" w:ascii="宋体" w:hAnsi="宋体" w:cs="宋体"/>
                <w:b/>
                <w:color w:val="000000"/>
                <w:sz w:val="24"/>
                <w:szCs w:val="24"/>
              </w:rPr>
            </w:pPr>
            <w:r>
              <w:rPr>
                <w:rFonts w:hint="eastAsia" w:ascii="宋体" w:hAnsi="宋体" w:cs="宋体"/>
                <w:b/>
                <w:color w:val="000000"/>
                <w:sz w:val="24"/>
                <w:szCs w:val="24"/>
              </w:rPr>
              <w:t>序号</w:t>
            </w:r>
          </w:p>
        </w:tc>
        <w:tc>
          <w:tcPr>
            <w:tcW w:w="1202" w:type="pct"/>
            <w:tcBorders>
              <w:left w:val="single" w:color="auto" w:sz="12" w:space="0"/>
              <w:bottom w:val="single" w:color="auto" w:sz="12" w:space="0"/>
              <w:right w:val="single" w:color="auto" w:sz="12" w:space="0"/>
            </w:tcBorders>
            <w:vAlign w:val="center"/>
          </w:tcPr>
          <w:p w14:paraId="3FEB7976">
            <w:pPr>
              <w:jc w:val="center"/>
              <w:rPr>
                <w:rFonts w:hint="eastAsia" w:ascii="宋体" w:hAnsi="宋体" w:cs="宋体"/>
                <w:b/>
                <w:color w:val="000000"/>
                <w:sz w:val="24"/>
                <w:szCs w:val="24"/>
              </w:rPr>
            </w:pPr>
            <w:r>
              <w:rPr>
                <w:rFonts w:hint="eastAsia" w:ascii="宋体" w:hAnsi="宋体" w:cs="宋体"/>
                <w:b/>
                <w:color w:val="000000"/>
                <w:sz w:val="24"/>
                <w:szCs w:val="24"/>
              </w:rPr>
              <w:t>工程名称</w:t>
            </w:r>
          </w:p>
        </w:tc>
        <w:tc>
          <w:tcPr>
            <w:tcW w:w="712" w:type="pct"/>
            <w:tcBorders>
              <w:left w:val="single" w:color="auto" w:sz="12" w:space="0"/>
              <w:bottom w:val="single" w:color="auto" w:sz="12" w:space="0"/>
              <w:right w:val="single" w:color="auto" w:sz="12" w:space="0"/>
            </w:tcBorders>
            <w:vAlign w:val="center"/>
          </w:tcPr>
          <w:p w14:paraId="479F6BA6">
            <w:pPr>
              <w:jc w:val="center"/>
              <w:rPr>
                <w:rFonts w:hint="eastAsia" w:ascii="宋体" w:hAnsi="宋体" w:cs="宋体"/>
                <w:b/>
                <w:color w:val="000000"/>
                <w:sz w:val="24"/>
                <w:szCs w:val="24"/>
              </w:rPr>
            </w:pPr>
            <w:r>
              <w:rPr>
                <w:rFonts w:hint="eastAsia" w:ascii="宋体" w:hAnsi="宋体" w:cs="宋体"/>
                <w:b/>
                <w:color w:val="000000"/>
                <w:sz w:val="24"/>
                <w:szCs w:val="24"/>
              </w:rPr>
              <w:t>工作类型</w:t>
            </w:r>
          </w:p>
        </w:tc>
        <w:tc>
          <w:tcPr>
            <w:tcW w:w="2752" w:type="pct"/>
            <w:tcBorders>
              <w:left w:val="single" w:color="auto" w:sz="12" w:space="0"/>
              <w:bottom w:val="single" w:color="auto" w:sz="12" w:space="0"/>
              <w:right w:val="single" w:color="auto" w:sz="12" w:space="0"/>
            </w:tcBorders>
            <w:vAlign w:val="center"/>
          </w:tcPr>
          <w:p w14:paraId="49F19998">
            <w:pPr>
              <w:jc w:val="center"/>
              <w:rPr>
                <w:rFonts w:hint="eastAsia" w:ascii="宋体" w:hAnsi="宋体" w:cs="宋体"/>
                <w:b/>
                <w:color w:val="000000"/>
                <w:sz w:val="24"/>
                <w:szCs w:val="24"/>
              </w:rPr>
            </w:pPr>
            <w:r>
              <w:rPr>
                <w:rFonts w:hint="eastAsia" w:ascii="宋体" w:hAnsi="宋体" w:cs="宋体"/>
                <w:b/>
                <w:color w:val="000000"/>
                <w:sz w:val="24"/>
                <w:szCs w:val="24"/>
              </w:rPr>
              <w:t>项目内容</w:t>
            </w:r>
          </w:p>
        </w:tc>
      </w:tr>
      <w:tr w14:paraId="3AE23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16" w:hRule="atLeast"/>
          <w:jc w:val="center"/>
        </w:trPr>
        <w:tc>
          <w:tcPr>
            <w:tcW w:w="333" w:type="pct"/>
            <w:tcBorders>
              <w:top w:val="single" w:color="auto" w:sz="12" w:space="0"/>
              <w:left w:val="single" w:color="auto" w:sz="12" w:space="0"/>
              <w:bottom w:val="single" w:color="auto" w:sz="12" w:space="0"/>
              <w:right w:val="single" w:color="auto" w:sz="12" w:space="0"/>
            </w:tcBorders>
            <w:vAlign w:val="center"/>
          </w:tcPr>
          <w:p w14:paraId="53D79745">
            <w:pPr>
              <w:jc w:val="center"/>
              <w:rPr>
                <w:rFonts w:hint="eastAsia" w:ascii="宋体" w:hAnsi="宋体" w:cs="宋体"/>
                <w:color w:val="000000"/>
                <w:sz w:val="24"/>
                <w:szCs w:val="24"/>
              </w:rPr>
            </w:pPr>
            <w:r>
              <w:rPr>
                <w:rFonts w:hint="eastAsia" w:ascii="宋体" w:hAnsi="宋体" w:cs="宋体"/>
                <w:color w:val="000000"/>
                <w:sz w:val="24"/>
                <w:szCs w:val="24"/>
              </w:rPr>
              <w:t>1</w:t>
            </w:r>
          </w:p>
        </w:tc>
        <w:tc>
          <w:tcPr>
            <w:tcW w:w="1202" w:type="pct"/>
            <w:tcBorders>
              <w:top w:val="single" w:color="auto" w:sz="12" w:space="0"/>
              <w:left w:val="single" w:color="auto" w:sz="12" w:space="0"/>
              <w:bottom w:val="single" w:color="auto" w:sz="12" w:space="0"/>
              <w:right w:val="single" w:color="auto" w:sz="12" w:space="0"/>
            </w:tcBorders>
            <w:vAlign w:val="center"/>
          </w:tcPr>
          <w:p w14:paraId="10D3028B">
            <w:pPr>
              <w:jc w:val="center"/>
              <w:rPr>
                <w:rFonts w:hint="eastAsia" w:ascii="宋体" w:hAnsi="宋体" w:cs="宋体"/>
                <w:color w:val="000000"/>
                <w:sz w:val="24"/>
                <w:szCs w:val="24"/>
              </w:rPr>
            </w:pPr>
            <w:r>
              <w:rPr>
                <w:rFonts w:hint="eastAsia" w:ascii="宋体" w:hAnsi="宋体" w:cs="宋体"/>
                <w:color w:val="000000"/>
                <w:sz w:val="24"/>
                <w:szCs w:val="24"/>
              </w:rPr>
              <w:t>固废性质初步认定及生态环境损害确认</w:t>
            </w:r>
          </w:p>
        </w:tc>
        <w:tc>
          <w:tcPr>
            <w:tcW w:w="712" w:type="pct"/>
            <w:tcBorders>
              <w:top w:val="single" w:color="auto" w:sz="12" w:space="0"/>
              <w:left w:val="single" w:color="auto" w:sz="12" w:space="0"/>
              <w:bottom w:val="single" w:color="auto" w:sz="12" w:space="0"/>
              <w:right w:val="single" w:color="auto" w:sz="12" w:space="0"/>
            </w:tcBorders>
            <w:vAlign w:val="center"/>
          </w:tcPr>
          <w:p w14:paraId="0A15451F">
            <w:pPr>
              <w:jc w:val="center"/>
              <w:rPr>
                <w:rFonts w:hint="eastAsia" w:ascii="宋体" w:hAnsi="宋体" w:cs="宋体"/>
                <w:color w:val="000000"/>
                <w:sz w:val="24"/>
                <w:szCs w:val="24"/>
              </w:rPr>
            </w:pPr>
            <w:r>
              <w:rPr>
                <w:rFonts w:hint="eastAsia" w:ascii="宋体" w:hAnsi="宋体" w:cs="宋体"/>
                <w:color w:val="000000"/>
                <w:sz w:val="24"/>
                <w:szCs w:val="24"/>
              </w:rPr>
              <w:t>采样检测</w:t>
            </w:r>
          </w:p>
        </w:tc>
        <w:tc>
          <w:tcPr>
            <w:tcW w:w="2752" w:type="pct"/>
            <w:tcBorders>
              <w:top w:val="single" w:color="auto" w:sz="12" w:space="0"/>
              <w:left w:val="single" w:color="auto" w:sz="12" w:space="0"/>
              <w:bottom w:val="single" w:color="auto" w:sz="12" w:space="0"/>
              <w:right w:val="single" w:color="auto" w:sz="12" w:space="0"/>
            </w:tcBorders>
            <w:vAlign w:val="center"/>
          </w:tcPr>
          <w:p w14:paraId="6D0979B2">
            <w:pPr>
              <w:rPr>
                <w:rFonts w:hint="eastAsia" w:ascii="宋体" w:hAnsi="宋体" w:cs="宋体"/>
                <w:color w:val="000000"/>
                <w:sz w:val="24"/>
                <w:szCs w:val="24"/>
              </w:rPr>
            </w:pPr>
            <w:r>
              <w:rPr>
                <w:rFonts w:hint="eastAsia" w:ascii="宋体" w:hAnsi="宋体" w:cs="宋体"/>
                <w:color w:val="000000"/>
                <w:sz w:val="24"/>
                <w:szCs w:val="24"/>
              </w:rPr>
              <w:t>①固废采样总数为10个，检测项目见表1；</w:t>
            </w:r>
          </w:p>
          <w:p w14:paraId="1F8E8DCA">
            <w:pPr>
              <w:rPr>
                <w:rFonts w:hint="eastAsia" w:ascii="宋体" w:hAnsi="宋体" w:cs="宋体"/>
                <w:color w:val="000000"/>
                <w:sz w:val="24"/>
                <w:szCs w:val="24"/>
              </w:rPr>
            </w:pPr>
            <w:r>
              <w:rPr>
                <w:rFonts w:hint="eastAsia" w:ascii="宋体" w:hAnsi="宋体" w:cs="宋体"/>
                <w:color w:val="000000"/>
                <w:sz w:val="24"/>
                <w:szCs w:val="24"/>
              </w:rPr>
              <w:t>②土壤采样总数为10个，检测项目见表2</w:t>
            </w:r>
          </w:p>
        </w:tc>
      </w:tr>
      <w:tr w14:paraId="13485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tcBorders>
              <w:top w:val="single" w:color="auto" w:sz="12" w:space="0"/>
              <w:left w:val="single" w:color="auto" w:sz="12" w:space="0"/>
              <w:bottom w:val="single" w:color="auto" w:sz="12" w:space="0"/>
              <w:right w:val="single" w:color="auto" w:sz="12" w:space="0"/>
            </w:tcBorders>
            <w:vAlign w:val="center"/>
          </w:tcPr>
          <w:p w14:paraId="13408F5B">
            <w:pPr>
              <w:jc w:val="center"/>
              <w:rPr>
                <w:rFonts w:hint="eastAsia" w:ascii="宋体" w:hAnsi="宋体" w:cs="宋体"/>
                <w:color w:val="000000"/>
                <w:sz w:val="24"/>
                <w:szCs w:val="24"/>
              </w:rPr>
            </w:pPr>
            <w:r>
              <w:rPr>
                <w:rFonts w:hint="eastAsia" w:ascii="宋体" w:hAnsi="宋体" w:cs="宋体"/>
                <w:color w:val="000000"/>
                <w:sz w:val="24"/>
                <w:szCs w:val="24"/>
              </w:rPr>
              <w:t>2</w:t>
            </w:r>
          </w:p>
        </w:tc>
        <w:tc>
          <w:tcPr>
            <w:tcW w:w="1202" w:type="pct"/>
            <w:tcBorders>
              <w:top w:val="single" w:color="auto" w:sz="12" w:space="0"/>
              <w:left w:val="single" w:color="auto" w:sz="12" w:space="0"/>
              <w:bottom w:val="single" w:color="auto" w:sz="12" w:space="0"/>
              <w:right w:val="single" w:color="auto" w:sz="12" w:space="0"/>
            </w:tcBorders>
            <w:vAlign w:val="center"/>
          </w:tcPr>
          <w:p w14:paraId="2EC8487D">
            <w:pPr>
              <w:jc w:val="center"/>
              <w:rPr>
                <w:rFonts w:hint="eastAsia" w:ascii="宋体" w:hAnsi="宋体" w:cs="宋体"/>
                <w:color w:val="000000"/>
                <w:sz w:val="24"/>
                <w:szCs w:val="24"/>
              </w:rPr>
            </w:pPr>
            <w:r>
              <w:rPr>
                <w:rFonts w:hint="eastAsia" w:ascii="宋体" w:hAnsi="宋体" w:cs="宋体"/>
                <w:color w:val="000000"/>
                <w:sz w:val="24"/>
                <w:szCs w:val="24"/>
              </w:rPr>
              <w:t>涉事物料性质司法鉴定</w:t>
            </w:r>
          </w:p>
        </w:tc>
        <w:tc>
          <w:tcPr>
            <w:tcW w:w="712" w:type="pct"/>
            <w:tcBorders>
              <w:top w:val="single" w:color="auto" w:sz="12" w:space="0"/>
              <w:left w:val="single" w:color="auto" w:sz="12" w:space="0"/>
              <w:bottom w:val="single" w:color="auto" w:sz="12" w:space="0"/>
              <w:right w:val="single" w:color="auto" w:sz="12" w:space="0"/>
            </w:tcBorders>
            <w:vAlign w:val="center"/>
          </w:tcPr>
          <w:p w14:paraId="5491A040">
            <w:pPr>
              <w:jc w:val="center"/>
              <w:rPr>
                <w:rFonts w:hint="eastAsia" w:ascii="宋体" w:hAnsi="宋体" w:cs="宋体"/>
                <w:color w:val="000000"/>
                <w:sz w:val="24"/>
                <w:szCs w:val="24"/>
              </w:rPr>
            </w:pPr>
            <w:r>
              <w:rPr>
                <w:rFonts w:hint="eastAsia" w:ascii="宋体" w:hAnsi="宋体" w:cs="宋体"/>
                <w:color w:val="000000"/>
                <w:sz w:val="24"/>
                <w:szCs w:val="24"/>
              </w:rPr>
              <w:t>采样检测</w:t>
            </w:r>
          </w:p>
        </w:tc>
        <w:tc>
          <w:tcPr>
            <w:tcW w:w="2752" w:type="pct"/>
            <w:tcBorders>
              <w:top w:val="single" w:color="auto" w:sz="12" w:space="0"/>
              <w:left w:val="single" w:color="auto" w:sz="12" w:space="0"/>
              <w:bottom w:val="single" w:color="auto" w:sz="12" w:space="0"/>
              <w:right w:val="single" w:color="auto" w:sz="12" w:space="0"/>
            </w:tcBorders>
            <w:vAlign w:val="center"/>
          </w:tcPr>
          <w:p w14:paraId="71BDA3F8">
            <w:pPr>
              <w:rPr>
                <w:rFonts w:hint="eastAsia" w:ascii="宋体" w:hAnsi="宋体" w:cs="宋体"/>
                <w:color w:val="000000"/>
                <w:sz w:val="24"/>
                <w:szCs w:val="24"/>
              </w:rPr>
            </w:pPr>
            <w:r>
              <w:rPr>
                <w:rFonts w:hint="eastAsia" w:ascii="宋体" w:hAnsi="宋体" w:cs="宋体"/>
                <w:color w:val="000000"/>
                <w:sz w:val="24"/>
                <w:szCs w:val="24"/>
              </w:rPr>
              <w:t>固废采样总数为130个，检测项目见表3</w:t>
            </w:r>
          </w:p>
        </w:tc>
      </w:tr>
      <w:tr w14:paraId="5CFDE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8" w:hRule="atLeast"/>
          <w:jc w:val="center"/>
        </w:trPr>
        <w:tc>
          <w:tcPr>
            <w:tcW w:w="333" w:type="pct"/>
            <w:vMerge w:val="restart"/>
            <w:tcBorders>
              <w:top w:val="single" w:color="auto" w:sz="12" w:space="0"/>
              <w:left w:val="single" w:color="auto" w:sz="12" w:space="0"/>
              <w:bottom w:val="single" w:color="auto" w:sz="12" w:space="0"/>
              <w:right w:val="single" w:color="auto" w:sz="12" w:space="0"/>
            </w:tcBorders>
            <w:vAlign w:val="center"/>
          </w:tcPr>
          <w:p w14:paraId="5842AF87">
            <w:pPr>
              <w:jc w:val="center"/>
              <w:rPr>
                <w:rFonts w:hint="eastAsia" w:ascii="宋体" w:hAnsi="宋体" w:cs="宋体"/>
                <w:color w:val="000000"/>
                <w:sz w:val="24"/>
                <w:szCs w:val="24"/>
              </w:rPr>
            </w:pPr>
            <w:r>
              <w:rPr>
                <w:rFonts w:hint="eastAsia" w:ascii="宋体" w:hAnsi="宋体" w:cs="宋体"/>
                <w:color w:val="000000"/>
                <w:sz w:val="24"/>
                <w:szCs w:val="24"/>
              </w:rPr>
              <w:t>3</w:t>
            </w:r>
          </w:p>
        </w:tc>
        <w:tc>
          <w:tcPr>
            <w:tcW w:w="1202" w:type="pct"/>
            <w:vMerge w:val="restart"/>
            <w:tcBorders>
              <w:top w:val="single" w:color="auto" w:sz="12" w:space="0"/>
              <w:left w:val="single" w:color="auto" w:sz="12" w:space="0"/>
              <w:bottom w:val="single" w:color="auto" w:sz="12" w:space="0"/>
              <w:right w:val="single" w:color="auto" w:sz="12" w:space="0"/>
            </w:tcBorders>
            <w:vAlign w:val="center"/>
          </w:tcPr>
          <w:p w14:paraId="1154BBE4">
            <w:pPr>
              <w:jc w:val="center"/>
              <w:rPr>
                <w:rFonts w:hint="eastAsia" w:ascii="宋体" w:hAnsi="宋体" w:cs="宋体"/>
                <w:color w:val="000000"/>
                <w:sz w:val="24"/>
                <w:szCs w:val="24"/>
              </w:rPr>
            </w:pPr>
            <w:r>
              <w:rPr>
                <w:rFonts w:hint="eastAsia" w:ascii="宋体" w:hAnsi="宋体" w:cs="宋体"/>
                <w:color w:val="000000"/>
                <w:sz w:val="24"/>
                <w:szCs w:val="24"/>
              </w:rPr>
              <w:t>厂区西侧地块（原涉事物料堆放区域）阶段性生态环境损害评估</w:t>
            </w:r>
          </w:p>
        </w:tc>
        <w:tc>
          <w:tcPr>
            <w:tcW w:w="712" w:type="pct"/>
            <w:tcBorders>
              <w:top w:val="single" w:color="auto" w:sz="12" w:space="0"/>
              <w:left w:val="single" w:color="auto" w:sz="12" w:space="0"/>
              <w:bottom w:val="single" w:color="auto" w:sz="12" w:space="0"/>
              <w:right w:val="single" w:color="auto" w:sz="12" w:space="0"/>
            </w:tcBorders>
            <w:vAlign w:val="center"/>
          </w:tcPr>
          <w:p w14:paraId="7AB8D83D">
            <w:pPr>
              <w:jc w:val="center"/>
              <w:rPr>
                <w:rFonts w:hint="eastAsia" w:ascii="宋体" w:hAnsi="宋体" w:cs="宋体"/>
                <w:color w:val="000000"/>
                <w:sz w:val="24"/>
                <w:szCs w:val="24"/>
              </w:rPr>
            </w:pPr>
            <w:r>
              <w:rPr>
                <w:rFonts w:hint="eastAsia" w:ascii="宋体" w:hAnsi="宋体" w:cs="宋体"/>
                <w:color w:val="000000"/>
                <w:sz w:val="24"/>
                <w:szCs w:val="24"/>
              </w:rPr>
              <w:t>钻探</w:t>
            </w:r>
          </w:p>
        </w:tc>
        <w:tc>
          <w:tcPr>
            <w:tcW w:w="2752" w:type="pct"/>
            <w:tcBorders>
              <w:top w:val="single" w:color="auto" w:sz="12" w:space="0"/>
              <w:left w:val="single" w:color="auto" w:sz="12" w:space="0"/>
              <w:bottom w:val="single" w:color="auto" w:sz="12" w:space="0"/>
              <w:right w:val="single" w:color="auto" w:sz="12" w:space="0"/>
            </w:tcBorders>
            <w:vAlign w:val="center"/>
          </w:tcPr>
          <w:p w14:paraId="204CA821">
            <w:pPr>
              <w:rPr>
                <w:rFonts w:hint="eastAsia" w:ascii="宋体" w:hAnsi="宋体" w:cs="宋体"/>
                <w:color w:val="000000"/>
                <w:sz w:val="24"/>
                <w:szCs w:val="24"/>
              </w:rPr>
            </w:pPr>
            <w:r>
              <w:rPr>
                <w:rFonts w:hint="eastAsia" w:ascii="宋体" w:hAnsi="宋体" w:cs="宋体"/>
                <w:color w:val="000000"/>
                <w:sz w:val="24"/>
                <w:szCs w:val="24"/>
              </w:rPr>
              <w:t>①事发地基坑布设7个土壤点位，钻探深度4.5m；对照区域布设5个土壤点位，钻探深度6米。</w:t>
            </w:r>
          </w:p>
          <w:p w14:paraId="37DAB927">
            <w:pPr>
              <w:rPr>
                <w:rFonts w:hint="eastAsia" w:ascii="宋体" w:hAnsi="宋体" w:cs="宋体"/>
                <w:color w:val="000000"/>
                <w:sz w:val="24"/>
                <w:szCs w:val="24"/>
              </w:rPr>
            </w:pPr>
            <w:r>
              <w:rPr>
                <w:rFonts w:hint="eastAsia" w:ascii="宋体" w:hAnsi="宋体" w:cs="宋体"/>
                <w:color w:val="000000"/>
                <w:sz w:val="24"/>
                <w:szCs w:val="24"/>
              </w:rPr>
              <w:t>②事发地和对照区域共布设5个地下水点位，每个点位钻探6米。</w:t>
            </w:r>
          </w:p>
        </w:tc>
      </w:tr>
      <w:tr w14:paraId="4096C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33" w:type="pct"/>
            <w:vMerge w:val="continue"/>
            <w:tcBorders>
              <w:top w:val="single" w:color="auto" w:sz="12" w:space="0"/>
              <w:left w:val="single" w:color="auto" w:sz="12" w:space="0"/>
              <w:bottom w:val="single" w:color="auto" w:sz="12" w:space="0"/>
              <w:right w:val="single" w:color="auto" w:sz="12" w:space="0"/>
            </w:tcBorders>
            <w:vAlign w:val="center"/>
          </w:tcPr>
          <w:p w14:paraId="14492141">
            <w:pPr>
              <w:jc w:val="center"/>
              <w:rPr>
                <w:rFonts w:hint="eastAsia" w:ascii="宋体" w:hAnsi="宋体" w:cs="宋体"/>
                <w:color w:val="000000"/>
                <w:sz w:val="24"/>
                <w:szCs w:val="24"/>
              </w:rPr>
            </w:pPr>
          </w:p>
        </w:tc>
        <w:tc>
          <w:tcPr>
            <w:tcW w:w="1202" w:type="pct"/>
            <w:vMerge w:val="continue"/>
            <w:tcBorders>
              <w:top w:val="single" w:color="auto" w:sz="12" w:space="0"/>
              <w:left w:val="single" w:color="auto" w:sz="12" w:space="0"/>
              <w:bottom w:val="single" w:color="auto" w:sz="12" w:space="0"/>
              <w:right w:val="single" w:color="auto" w:sz="12" w:space="0"/>
            </w:tcBorders>
            <w:vAlign w:val="center"/>
          </w:tcPr>
          <w:p w14:paraId="548D768E">
            <w:pPr>
              <w:jc w:val="center"/>
              <w:rPr>
                <w:rFonts w:hint="eastAsia" w:ascii="宋体" w:hAnsi="宋体" w:cs="宋体"/>
                <w:color w:val="000000"/>
                <w:sz w:val="24"/>
                <w:szCs w:val="24"/>
              </w:rPr>
            </w:pPr>
          </w:p>
        </w:tc>
        <w:tc>
          <w:tcPr>
            <w:tcW w:w="712" w:type="pct"/>
            <w:tcBorders>
              <w:top w:val="single" w:color="auto" w:sz="12" w:space="0"/>
              <w:left w:val="single" w:color="auto" w:sz="12" w:space="0"/>
              <w:bottom w:val="single" w:color="auto" w:sz="12" w:space="0"/>
              <w:right w:val="single" w:color="auto" w:sz="12" w:space="0"/>
            </w:tcBorders>
            <w:vAlign w:val="center"/>
          </w:tcPr>
          <w:p w14:paraId="520A0B6A">
            <w:pPr>
              <w:jc w:val="center"/>
              <w:rPr>
                <w:rFonts w:hint="eastAsia" w:ascii="宋体" w:hAnsi="宋体" w:cs="宋体"/>
                <w:color w:val="000000"/>
                <w:sz w:val="24"/>
                <w:szCs w:val="24"/>
              </w:rPr>
            </w:pPr>
            <w:r>
              <w:rPr>
                <w:rFonts w:hint="eastAsia" w:ascii="宋体" w:hAnsi="宋体" w:cs="宋体"/>
                <w:color w:val="000000"/>
                <w:sz w:val="24"/>
                <w:szCs w:val="24"/>
              </w:rPr>
              <w:t>采样检测</w:t>
            </w:r>
          </w:p>
        </w:tc>
        <w:tc>
          <w:tcPr>
            <w:tcW w:w="2752" w:type="pct"/>
            <w:tcBorders>
              <w:top w:val="single" w:color="auto" w:sz="12" w:space="0"/>
              <w:left w:val="single" w:color="auto" w:sz="12" w:space="0"/>
              <w:bottom w:val="single" w:color="auto" w:sz="12" w:space="0"/>
              <w:right w:val="single" w:color="auto" w:sz="12" w:space="0"/>
            </w:tcBorders>
            <w:vAlign w:val="center"/>
          </w:tcPr>
          <w:p w14:paraId="6664B593">
            <w:pPr>
              <w:rPr>
                <w:rFonts w:hint="eastAsia" w:ascii="宋体" w:hAnsi="宋体" w:cs="宋体"/>
                <w:color w:val="000000"/>
                <w:sz w:val="24"/>
                <w:szCs w:val="24"/>
              </w:rPr>
            </w:pPr>
            <w:r>
              <w:rPr>
                <w:rFonts w:hint="eastAsia" w:ascii="宋体" w:hAnsi="宋体" w:cs="宋体"/>
                <w:color w:val="000000"/>
                <w:sz w:val="24"/>
                <w:szCs w:val="24"/>
              </w:rPr>
              <w:t>采集53个土壤样品和5个地下水样品检测项目见表4</w:t>
            </w:r>
          </w:p>
        </w:tc>
      </w:tr>
      <w:tr w14:paraId="31314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2247" w:type="pct"/>
            <w:gridSpan w:val="3"/>
            <w:tcBorders>
              <w:top w:val="single" w:color="auto" w:sz="12" w:space="0"/>
              <w:left w:val="single" w:color="auto" w:sz="12" w:space="0"/>
              <w:right w:val="single" w:color="auto" w:sz="12" w:space="0"/>
            </w:tcBorders>
            <w:vAlign w:val="center"/>
          </w:tcPr>
          <w:p w14:paraId="7275812B">
            <w:pPr>
              <w:jc w:val="center"/>
              <w:rPr>
                <w:rFonts w:hint="eastAsia" w:ascii="宋体" w:hAnsi="宋体" w:cs="宋体"/>
                <w:b/>
                <w:bCs/>
                <w:color w:val="000000"/>
                <w:sz w:val="24"/>
                <w:szCs w:val="24"/>
              </w:rPr>
            </w:pPr>
            <w:r>
              <w:rPr>
                <w:rFonts w:hint="eastAsia" w:ascii="宋体" w:hAnsi="宋体" w:cs="宋体"/>
                <w:b/>
                <w:bCs/>
                <w:color w:val="000000"/>
                <w:sz w:val="24"/>
                <w:szCs w:val="24"/>
              </w:rPr>
              <w:t>总费用合计</w:t>
            </w:r>
          </w:p>
        </w:tc>
        <w:tc>
          <w:tcPr>
            <w:tcW w:w="2752" w:type="pct"/>
            <w:tcBorders>
              <w:top w:val="single" w:color="auto" w:sz="12" w:space="0"/>
              <w:left w:val="single" w:color="auto" w:sz="12" w:space="0"/>
              <w:right w:val="single" w:color="auto" w:sz="12" w:space="0"/>
            </w:tcBorders>
            <w:vAlign w:val="center"/>
          </w:tcPr>
          <w:p w14:paraId="20E94CBA">
            <w:pPr>
              <w:rPr>
                <w:rFonts w:hint="eastAsia" w:ascii="宋体" w:hAnsi="宋体" w:cs="宋体"/>
                <w:b/>
                <w:bCs/>
                <w:color w:val="000000"/>
                <w:sz w:val="24"/>
                <w:szCs w:val="24"/>
              </w:rPr>
            </w:pPr>
            <w:r>
              <w:rPr>
                <w:rFonts w:hint="eastAsia" w:ascii="宋体" w:hAnsi="宋体" w:cs="宋体"/>
                <w:b/>
                <w:bCs/>
                <w:color w:val="000000"/>
                <w:sz w:val="24"/>
                <w:szCs w:val="24"/>
              </w:rPr>
              <w:t>包括固废性质初步认定及生态环境损害确认、涉事物料性质司法鉴定、阶段性生态环境损害评估</w:t>
            </w:r>
          </w:p>
        </w:tc>
      </w:tr>
    </w:tbl>
    <w:p w14:paraId="2E2741F0">
      <w:pPr>
        <w:spacing w:line="360" w:lineRule="auto"/>
        <w:ind w:firstLine="482"/>
        <w:outlineLvl w:val="1"/>
        <w:rPr>
          <w:rFonts w:hint="eastAsia" w:ascii="宋体" w:hAnsi="宋体" w:cs="宋体"/>
          <w:b/>
          <w:sz w:val="24"/>
          <w:szCs w:val="24"/>
        </w:rPr>
      </w:pPr>
      <w:r>
        <w:rPr>
          <w:rFonts w:hint="eastAsia" w:ascii="宋体" w:hAnsi="宋体" w:cs="宋体"/>
          <w:b/>
          <w:sz w:val="24"/>
          <w:szCs w:val="24"/>
        </w:rPr>
        <w:t>四、付款方式与履约保证金</w:t>
      </w:r>
    </w:p>
    <w:p w14:paraId="33194FD5">
      <w:pPr>
        <w:spacing w:line="360" w:lineRule="auto"/>
        <w:ind w:firstLine="480" w:firstLineChars="200"/>
        <w:outlineLvl w:val="1"/>
        <w:rPr>
          <w:rFonts w:hint="eastAsia" w:ascii="宋体" w:hAnsi="宋体" w:cs="宋体"/>
          <w:b w:val="0"/>
          <w:bCs/>
          <w:i/>
          <w:iCs/>
          <w:sz w:val="24"/>
          <w:szCs w:val="24"/>
          <w:u w:val="single"/>
        </w:rPr>
      </w:pPr>
      <w:r>
        <w:rPr>
          <w:rFonts w:hint="eastAsia" w:ascii="宋体" w:hAnsi="宋体" w:cs="宋体"/>
          <w:b w:val="0"/>
          <w:bCs/>
          <w:i/>
          <w:iCs/>
          <w:sz w:val="24"/>
          <w:szCs w:val="24"/>
          <w:u w:val="single"/>
        </w:rPr>
        <w:t>1、付款方式：</w:t>
      </w:r>
      <w:r>
        <w:rPr>
          <w:rFonts w:hint="eastAsia" w:ascii="宋体" w:hAnsi="宋体" w:cs="宋体"/>
          <w:b w:val="0"/>
          <w:bCs/>
          <w:i/>
          <w:iCs/>
          <w:color w:val="auto"/>
          <w:sz w:val="24"/>
          <w:szCs w:val="24"/>
          <w:u w:val="single"/>
        </w:rPr>
        <w:t>项目通过验收后</w:t>
      </w:r>
      <w:r>
        <w:rPr>
          <w:rFonts w:hint="eastAsia" w:ascii="宋体" w:hAnsi="宋体" w:cs="宋体"/>
          <w:b w:val="0"/>
          <w:bCs/>
          <w:i/>
          <w:iCs/>
          <w:color w:val="auto"/>
          <w:sz w:val="24"/>
          <w:szCs w:val="24"/>
          <w:u w:val="single"/>
          <w:lang w:val="en-US" w:eastAsia="zh-CN"/>
        </w:rPr>
        <w:t>30日</w:t>
      </w:r>
      <w:r>
        <w:rPr>
          <w:rFonts w:hint="eastAsia" w:ascii="宋体" w:hAnsi="宋体" w:cs="宋体"/>
          <w:b w:val="0"/>
          <w:bCs/>
          <w:i/>
          <w:iCs/>
          <w:color w:val="auto"/>
          <w:sz w:val="24"/>
          <w:szCs w:val="24"/>
          <w:u w:val="single"/>
        </w:rPr>
        <w:t>支付合同金额的100%。</w:t>
      </w:r>
    </w:p>
    <w:p w14:paraId="6D186855">
      <w:pPr>
        <w:spacing w:line="360" w:lineRule="auto"/>
        <w:ind w:firstLine="480" w:firstLineChars="200"/>
        <w:outlineLvl w:val="1"/>
        <w:rPr>
          <w:rFonts w:hint="eastAsia" w:ascii="宋体" w:hAnsi="宋体" w:cs="宋体"/>
          <w:b w:val="0"/>
          <w:bCs/>
          <w:i/>
          <w:iCs/>
          <w:sz w:val="24"/>
          <w:szCs w:val="24"/>
          <w:u w:val="single"/>
        </w:rPr>
      </w:pPr>
      <w:r>
        <w:rPr>
          <w:rFonts w:hint="eastAsia" w:ascii="宋体" w:hAnsi="宋体" w:cs="宋体"/>
          <w:b w:val="0"/>
          <w:bCs/>
          <w:i/>
          <w:iCs/>
          <w:sz w:val="24"/>
          <w:szCs w:val="24"/>
          <w:u w:val="single"/>
        </w:rPr>
        <w:t>2、履约保证金：</w:t>
      </w:r>
    </w:p>
    <w:p w14:paraId="697A21AC">
      <w:pPr>
        <w:keepNext w:val="0"/>
        <w:keepLines w:val="0"/>
        <w:pageBreakBefore w:val="0"/>
        <w:widowControl w:val="0"/>
        <w:spacing w:line="520" w:lineRule="exact"/>
        <w:ind w:left="0" w:firstLine="480"/>
        <w:rPr>
          <w:rFonts w:hint="eastAsia" w:ascii="宋体" w:hAnsi="宋体" w:cs="宋体"/>
          <w:b w:val="0"/>
          <w:bCs/>
          <w:i/>
          <w:iCs/>
          <w:sz w:val="24"/>
          <w:szCs w:val="24"/>
          <w:u w:val="single"/>
        </w:rPr>
      </w:pPr>
      <w:r>
        <w:rPr>
          <w:rFonts w:hint="eastAsia" w:ascii="宋体" w:hAnsi="宋体" w:cs="宋体"/>
          <w:b w:val="0"/>
          <w:bCs/>
          <w:i/>
          <w:iCs/>
          <w:sz w:val="24"/>
          <w:szCs w:val="24"/>
          <w:u w:val="single"/>
          <w:lang w:eastAsia="zh-CN"/>
        </w:rPr>
        <w:t>（</w:t>
      </w:r>
      <w:r>
        <w:rPr>
          <w:rFonts w:hint="eastAsia" w:ascii="宋体" w:hAnsi="宋体" w:cs="宋体"/>
          <w:b w:val="0"/>
          <w:bCs/>
          <w:i/>
          <w:iCs/>
          <w:sz w:val="24"/>
          <w:szCs w:val="24"/>
          <w:u w:val="single"/>
          <w:lang w:val="en-US" w:eastAsia="zh-CN"/>
        </w:rPr>
        <w:t>1</w:t>
      </w:r>
      <w:r>
        <w:rPr>
          <w:rFonts w:hint="eastAsia" w:ascii="宋体" w:hAnsi="宋体" w:cs="宋体"/>
          <w:b w:val="0"/>
          <w:bCs/>
          <w:i/>
          <w:iCs/>
          <w:sz w:val="24"/>
          <w:szCs w:val="24"/>
          <w:u w:val="single"/>
          <w:lang w:eastAsia="zh-CN"/>
        </w:rPr>
        <w:t>）</w:t>
      </w:r>
      <w:r>
        <w:rPr>
          <w:rFonts w:hint="eastAsia" w:ascii="宋体" w:hAnsi="宋体" w:cs="宋体"/>
          <w:b w:val="0"/>
          <w:bCs/>
          <w:i/>
          <w:iCs/>
          <w:sz w:val="24"/>
          <w:szCs w:val="24"/>
          <w:u w:val="single"/>
        </w:rPr>
        <w:t>履约保证金的金额：中标价的10%；</w:t>
      </w:r>
    </w:p>
    <w:p w14:paraId="57D4166B">
      <w:pPr>
        <w:keepNext w:val="0"/>
        <w:keepLines w:val="0"/>
        <w:pageBreakBefore w:val="0"/>
        <w:widowControl w:val="0"/>
        <w:spacing w:line="520" w:lineRule="exact"/>
        <w:ind w:left="0" w:firstLine="480"/>
        <w:rPr>
          <w:rFonts w:hint="eastAsia" w:ascii="宋体" w:hAnsi="宋体" w:eastAsia="宋体" w:cs="宋体"/>
          <w:b w:val="0"/>
          <w:bCs/>
          <w:i/>
          <w:iCs/>
          <w:color w:val="auto"/>
          <w:sz w:val="24"/>
          <w:szCs w:val="24"/>
          <w:highlight w:val="none"/>
          <w:u w:val="single"/>
          <w:lang w:val="zh-TW" w:eastAsia="zh-TW"/>
        </w:rPr>
      </w:pP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en-US" w:eastAsia="zh-CN"/>
        </w:rPr>
        <w:t>2</w:t>
      </w: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zh-TW" w:eastAsia="zh-TW"/>
        </w:rPr>
        <w:t>履约保证金</w:t>
      </w:r>
      <w:r>
        <w:rPr>
          <w:rFonts w:hint="eastAsia" w:ascii="宋体" w:hAnsi="宋体" w:eastAsia="宋体" w:cs="宋体"/>
          <w:b w:val="0"/>
          <w:bCs/>
          <w:i/>
          <w:iCs/>
          <w:color w:val="auto"/>
          <w:sz w:val="24"/>
          <w:szCs w:val="24"/>
          <w:highlight w:val="none"/>
          <w:u w:val="single"/>
          <w:lang w:val="en-US" w:eastAsia="zh-CN"/>
        </w:rPr>
        <w:t>提交形式：</w:t>
      </w:r>
      <w:r>
        <w:rPr>
          <w:rFonts w:hint="eastAsia" w:ascii="宋体" w:hAnsi="宋体" w:eastAsia="宋体" w:cs="宋体"/>
          <w:b w:val="0"/>
          <w:bCs/>
          <w:i/>
          <w:iCs/>
          <w:color w:val="auto"/>
          <w:sz w:val="24"/>
          <w:szCs w:val="24"/>
          <w:highlight w:val="none"/>
          <w:u w:val="single"/>
          <w:lang w:val="zh-TW" w:eastAsia="zh-TW"/>
        </w:rPr>
        <w:t>中标人应当以</w:t>
      </w:r>
      <w:r>
        <w:rPr>
          <w:rFonts w:hint="eastAsia" w:ascii="宋体" w:hAnsi="宋体" w:eastAsia="宋体" w:cs="宋体"/>
          <w:b w:val="0"/>
          <w:bCs/>
          <w:i/>
          <w:iCs/>
          <w:color w:val="auto"/>
          <w:sz w:val="24"/>
          <w:szCs w:val="24"/>
          <w:highlight w:val="none"/>
          <w:u w:val="single"/>
          <w:lang w:val="en-US" w:eastAsia="zh-CN"/>
        </w:rPr>
        <w:t>汇款、</w:t>
      </w:r>
      <w:r>
        <w:rPr>
          <w:rFonts w:hint="eastAsia" w:ascii="宋体" w:hAnsi="宋体" w:eastAsia="宋体" w:cs="宋体"/>
          <w:b w:val="0"/>
          <w:bCs/>
          <w:i/>
          <w:iCs/>
          <w:color w:val="auto"/>
          <w:sz w:val="24"/>
          <w:szCs w:val="24"/>
          <w:highlight w:val="none"/>
          <w:u w:val="single"/>
          <w:lang w:val="zh-TW" w:eastAsia="zh-TW"/>
        </w:rPr>
        <w:t>支票、汇票、本票或者金融机构、担保机构出具的保函等非现金形式在合同签订前提交(中标人可自愿使用履约保函(保险)代替交纳约保证金，详情请见《关于在全省政府采购领域推行电子履约保函(保险)的通知》(苏财购(2023)150 号)规定)。</w:t>
      </w:r>
    </w:p>
    <w:p w14:paraId="4C748429">
      <w:pPr>
        <w:keepNext w:val="0"/>
        <w:keepLines w:val="0"/>
        <w:pageBreakBefore w:val="0"/>
        <w:widowControl w:val="0"/>
        <w:spacing w:line="520" w:lineRule="exact"/>
        <w:ind w:left="0" w:firstLine="480"/>
        <w:rPr>
          <w:rFonts w:hint="eastAsia" w:ascii="宋体" w:hAnsi="宋体" w:eastAsia="宋体" w:cs="宋体"/>
          <w:b w:val="0"/>
          <w:bCs/>
          <w:i/>
          <w:iCs/>
          <w:color w:val="auto"/>
          <w:sz w:val="24"/>
          <w:szCs w:val="24"/>
          <w:highlight w:val="none"/>
          <w:u w:val="single"/>
          <w:lang w:val="zh-TW" w:eastAsia="zh-TW"/>
        </w:rPr>
      </w:pP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en-US" w:eastAsia="zh-CN"/>
        </w:rPr>
        <w:t>3</w:t>
      </w: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zh-TW" w:eastAsia="zh-TW"/>
        </w:rPr>
        <w:t>履约保证金</w:t>
      </w:r>
      <w:r>
        <w:rPr>
          <w:rFonts w:hint="eastAsia" w:ascii="宋体" w:hAnsi="宋体" w:eastAsia="宋体" w:cs="宋体"/>
          <w:b w:val="0"/>
          <w:bCs/>
          <w:i/>
          <w:iCs/>
          <w:color w:val="auto"/>
          <w:sz w:val="24"/>
          <w:szCs w:val="24"/>
          <w:highlight w:val="none"/>
          <w:u w:val="single"/>
          <w:lang w:val="en-US" w:eastAsia="zh-CN"/>
        </w:rPr>
        <w:t>退还时间：</w:t>
      </w:r>
      <w:r>
        <w:rPr>
          <w:rFonts w:hint="eastAsia" w:ascii="宋体" w:hAnsi="宋体" w:eastAsia="宋体" w:cs="宋体"/>
          <w:b w:val="0"/>
          <w:bCs/>
          <w:i/>
          <w:iCs/>
          <w:color w:val="auto"/>
          <w:sz w:val="24"/>
          <w:szCs w:val="24"/>
          <w:highlight w:val="none"/>
          <w:u w:val="single"/>
          <w:lang w:val="zh-TW" w:eastAsia="zh-TW"/>
        </w:rPr>
        <w:t>履约保证金自合同生效之日起至合同约定的中标人主要义务履行完毕止</w:t>
      </w:r>
      <w:r>
        <w:rPr>
          <w:rFonts w:hint="eastAsia" w:ascii="宋体" w:hAnsi="宋体" w:eastAsia="宋体" w:cs="宋体"/>
          <w:b w:val="0"/>
          <w:bCs/>
          <w:i/>
          <w:iCs/>
          <w:color w:val="auto"/>
          <w:sz w:val="24"/>
          <w:szCs w:val="24"/>
          <w:highlight w:val="none"/>
          <w:u w:val="single"/>
          <w:lang w:val="en-US" w:eastAsia="zh-CN"/>
        </w:rPr>
        <w:t>十个工作日之内</w:t>
      </w:r>
      <w:r>
        <w:rPr>
          <w:rFonts w:hint="eastAsia" w:ascii="宋体" w:hAnsi="宋体" w:eastAsia="宋体" w:cs="宋体"/>
          <w:b w:val="0"/>
          <w:bCs/>
          <w:i/>
          <w:iCs/>
          <w:color w:val="auto"/>
          <w:sz w:val="24"/>
          <w:szCs w:val="24"/>
          <w:highlight w:val="none"/>
          <w:u w:val="single"/>
          <w:lang w:val="zh-TW" w:eastAsia="zh-TW"/>
        </w:rPr>
        <w:t>，采购人以非现金形式一次性退还履约保证金。</w:t>
      </w:r>
    </w:p>
    <w:p w14:paraId="158D8154">
      <w:pPr>
        <w:keepNext w:val="0"/>
        <w:keepLines w:val="0"/>
        <w:pageBreakBefore w:val="0"/>
        <w:widowControl w:val="0"/>
        <w:spacing w:line="520" w:lineRule="exact"/>
        <w:ind w:left="0" w:firstLine="480"/>
        <w:rPr>
          <w:rFonts w:hint="eastAsia" w:ascii="宋体" w:hAnsi="宋体" w:eastAsia="宋体" w:cs="宋体"/>
          <w:b w:val="0"/>
          <w:bCs/>
          <w:i/>
          <w:iCs/>
          <w:color w:val="auto"/>
          <w:sz w:val="24"/>
          <w:szCs w:val="24"/>
          <w:highlight w:val="none"/>
          <w:u w:val="single"/>
          <w:lang w:val="zh-TW" w:eastAsia="zh-TW"/>
        </w:rPr>
      </w:pPr>
      <w:r>
        <w:rPr>
          <w:rFonts w:hint="eastAsia" w:ascii="宋体" w:hAnsi="宋体" w:eastAsia="宋体" w:cs="宋体"/>
          <w:b w:val="0"/>
          <w:bCs/>
          <w:i/>
          <w:iCs/>
          <w:color w:val="auto"/>
          <w:sz w:val="24"/>
          <w:szCs w:val="24"/>
          <w:highlight w:val="none"/>
          <w:u w:val="single"/>
          <w:lang w:val="en-US" w:eastAsia="zh-CN"/>
        </w:rPr>
        <w:t>（4）</w:t>
      </w:r>
      <w:r>
        <w:rPr>
          <w:rFonts w:hint="eastAsia" w:ascii="宋体" w:hAnsi="宋体" w:eastAsia="宋体" w:cs="宋体"/>
          <w:b w:val="0"/>
          <w:bCs/>
          <w:i/>
          <w:iCs/>
          <w:color w:val="auto"/>
          <w:sz w:val="24"/>
          <w:szCs w:val="24"/>
          <w:highlight w:val="none"/>
          <w:u w:val="single"/>
          <w:lang w:val="zh-TW" w:eastAsia="zh-TW"/>
        </w:rPr>
        <w:t>履约保证金</w:t>
      </w:r>
      <w:r>
        <w:rPr>
          <w:rFonts w:hint="eastAsia" w:ascii="宋体" w:hAnsi="宋体" w:eastAsia="宋体" w:cs="宋体"/>
          <w:b w:val="0"/>
          <w:bCs/>
          <w:i/>
          <w:iCs/>
          <w:color w:val="auto"/>
          <w:sz w:val="24"/>
          <w:szCs w:val="24"/>
          <w:highlight w:val="none"/>
          <w:u w:val="single"/>
          <w:lang w:val="en-US" w:eastAsia="zh-CN"/>
        </w:rPr>
        <w:t>退还方式：按照供应商缴纳方式退还。</w:t>
      </w:r>
    </w:p>
    <w:p w14:paraId="0080D370">
      <w:pPr>
        <w:keepNext w:val="0"/>
        <w:keepLines w:val="0"/>
        <w:pageBreakBefore w:val="0"/>
        <w:widowControl w:val="0"/>
        <w:spacing w:line="520" w:lineRule="exact"/>
        <w:ind w:left="0" w:firstLine="480"/>
        <w:rPr>
          <w:rFonts w:hint="eastAsia" w:ascii="宋体" w:hAnsi="宋体" w:eastAsia="宋体" w:cs="宋体"/>
          <w:b w:val="0"/>
          <w:bCs/>
          <w:i/>
          <w:iCs/>
          <w:color w:val="auto"/>
          <w:sz w:val="24"/>
          <w:szCs w:val="24"/>
          <w:highlight w:val="none"/>
          <w:u w:val="single"/>
          <w:lang w:val="zh-TW" w:eastAsia="zh-TW"/>
        </w:rPr>
      </w:pP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en-US" w:eastAsia="zh-CN"/>
        </w:rPr>
        <w:t>5</w:t>
      </w: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zh-TW" w:eastAsia="zh-TW"/>
        </w:rPr>
        <w:t>中标人违约</w:t>
      </w:r>
      <w:r>
        <w:rPr>
          <w:rFonts w:hint="eastAsia" w:ascii="宋体" w:hAnsi="宋体" w:eastAsia="宋体" w:cs="宋体"/>
          <w:b w:val="0"/>
          <w:bCs/>
          <w:i/>
          <w:iCs/>
          <w:color w:val="auto"/>
          <w:sz w:val="24"/>
          <w:szCs w:val="24"/>
          <w:highlight w:val="none"/>
          <w:u w:val="single"/>
          <w:lang w:val="en-US" w:eastAsia="zh-CN"/>
        </w:rPr>
        <w:t>的，</w:t>
      </w:r>
      <w:r>
        <w:rPr>
          <w:rFonts w:hint="eastAsia" w:ascii="宋体" w:hAnsi="宋体" w:eastAsia="宋体" w:cs="宋体"/>
          <w:b w:val="0"/>
          <w:bCs/>
          <w:i/>
          <w:iCs/>
          <w:color w:val="auto"/>
          <w:sz w:val="24"/>
          <w:szCs w:val="24"/>
          <w:highlight w:val="none"/>
          <w:u w:val="single"/>
          <w:lang w:val="zh-TW" w:eastAsia="zh-TW"/>
        </w:rPr>
        <w:t>采购人将按照合同约定扣除其全部或部分履约保证金。如中标人违约给采购人造成的损失超过履约保证金的，应当依法赔偿超过部分的损失。</w:t>
      </w:r>
    </w:p>
    <w:p w14:paraId="7DE24621">
      <w:pPr>
        <w:keepNext w:val="0"/>
        <w:keepLines w:val="0"/>
        <w:pageBreakBefore w:val="0"/>
        <w:widowControl w:val="0"/>
        <w:spacing w:line="520" w:lineRule="exact"/>
        <w:ind w:left="0" w:firstLine="480"/>
        <w:rPr>
          <w:rFonts w:ascii="宋体" w:hAnsi="宋体" w:eastAsia="宋体" w:cs="Times New Roman"/>
          <w:b w:val="0"/>
          <w:bCs/>
          <w:i/>
          <w:iCs/>
          <w:color w:val="auto"/>
          <w:sz w:val="24"/>
          <w:szCs w:val="24"/>
          <w:highlight w:val="none"/>
          <w:u w:val="single"/>
        </w:rPr>
      </w:pP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en-US" w:eastAsia="zh-CN"/>
        </w:rPr>
        <w:t>6</w:t>
      </w:r>
      <w:r>
        <w:rPr>
          <w:rFonts w:hint="eastAsia" w:ascii="宋体" w:hAnsi="宋体" w:eastAsia="宋体" w:cs="宋体"/>
          <w:b w:val="0"/>
          <w:bCs/>
          <w:i/>
          <w:iCs/>
          <w:color w:val="auto"/>
          <w:sz w:val="24"/>
          <w:szCs w:val="24"/>
          <w:highlight w:val="none"/>
          <w:u w:val="single"/>
          <w:lang w:val="zh-TW" w:eastAsia="zh-CN"/>
        </w:rPr>
        <w:t>）</w:t>
      </w:r>
      <w:r>
        <w:rPr>
          <w:rFonts w:hint="eastAsia" w:ascii="宋体" w:hAnsi="宋体" w:eastAsia="宋体" w:cs="宋体"/>
          <w:b w:val="0"/>
          <w:bCs/>
          <w:i/>
          <w:iCs/>
          <w:color w:val="auto"/>
          <w:sz w:val="24"/>
          <w:szCs w:val="24"/>
          <w:highlight w:val="none"/>
          <w:u w:val="single"/>
          <w:lang w:val="en-US" w:eastAsia="zh-CN"/>
        </w:rPr>
        <w:t>逾期退还履约保证金的采购人承担违约责任，按照中国人民银行同期贷款基准利率支付超期资金占用费。</w:t>
      </w:r>
    </w:p>
    <w:p w14:paraId="4C0775F8">
      <w:pPr>
        <w:spacing w:line="360" w:lineRule="auto"/>
        <w:ind w:firstLine="482"/>
        <w:outlineLvl w:val="1"/>
        <w:rPr>
          <w:rFonts w:hint="eastAsia" w:ascii="宋体" w:hAnsi="宋体" w:cs="宋体"/>
          <w:b/>
          <w:sz w:val="24"/>
          <w:szCs w:val="24"/>
        </w:rPr>
      </w:pPr>
      <w:r>
        <w:rPr>
          <w:rFonts w:hint="eastAsia" w:ascii="宋体" w:hAnsi="宋体" w:cs="宋体"/>
          <w:b/>
          <w:sz w:val="24"/>
          <w:szCs w:val="24"/>
        </w:rPr>
        <w:t>五、响应报价要求</w:t>
      </w:r>
    </w:p>
    <w:p w14:paraId="55459916">
      <w:pPr>
        <w:spacing w:line="360" w:lineRule="auto"/>
        <w:ind w:firstLine="480"/>
        <w:rPr>
          <w:rFonts w:hint="eastAsia" w:ascii="宋体" w:hAnsi="宋体" w:cs="宋体"/>
          <w:sz w:val="24"/>
          <w:szCs w:val="24"/>
        </w:rPr>
      </w:pPr>
      <w:r>
        <w:rPr>
          <w:rFonts w:hint="eastAsia" w:ascii="宋体" w:hAnsi="宋体" w:cs="宋体"/>
          <w:sz w:val="24"/>
          <w:szCs w:val="24"/>
        </w:rPr>
        <w:t>1、报价包含完成本项目的全部费用，总价包干</w:t>
      </w:r>
      <w:r>
        <w:rPr>
          <w:rFonts w:hint="eastAsia" w:ascii="宋体" w:hAnsi="宋体" w:cs="宋体"/>
          <w:sz w:val="24"/>
          <w:szCs w:val="24"/>
          <w:lang w:eastAsia="zh-CN"/>
        </w:rPr>
        <w:t>，</w:t>
      </w:r>
      <w:r>
        <w:rPr>
          <w:rFonts w:hint="eastAsia" w:ascii="宋体" w:hAnsi="宋体" w:cs="宋体"/>
          <w:sz w:val="24"/>
          <w:szCs w:val="24"/>
        </w:rPr>
        <w:t>后期不再增加。</w:t>
      </w:r>
    </w:p>
    <w:p w14:paraId="6A0ED3B5">
      <w:pPr>
        <w:spacing w:line="360" w:lineRule="auto"/>
        <w:ind w:firstLine="480"/>
        <w:rPr>
          <w:rFonts w:hint="eastAsia" w:ascii="宋体" w:hAnsi="宋体" w:cs="宋体"/>
          <w:sz w:val="24"/>
          <w:szCs w:val="24"/>
        </w:rPr>
      </w:pPr>
      <w:r>
        <w:rPr>
          <w:rFonts w:hint="eastAsia" w:ascii="宋体" w:hAnsi="宋体" w:cs="宋体"/>
          <w:sz w:val="24"/>
          <w:szCs w:val="24"/>
        </w:rPr>
        <w:t>2、报价内容应包括但不限于人员工资、加班费、临时突击费用、社会保障缴费、福利、工具、通讯设施、办公设备、器材、保险、物资消耗、管理费、利润、税费、验收产生费用、政策性文件规定及合同包含的所有风险、责任等。要充分考虑所有工作人员的值休、轮休、法定假日休息以及岗位顶班、日常机动人员的配备，以上所有费用均计入总价。</w:t>
      </w:r>
    </w:p>
    <w:p w14:paraId="55DCA41D">
      <w:pPr>
        <w:spacing w:line="360" w:lineRule="auto"/>
        <w:ind w:firstLine="480"/>
        <w:rPr>
          <w:rFonts w:hint="eastAsia" w:ascii="宋体" w:hAnsi="宋体" w:cs="宋体"/>
          <w:sz w:val="24"/>
          <w:szCs w:val="24"/>
        </w:rPr>
      </w:pPr>
      <w:r>
        <w:rPr>
          <w:rFonts w:hint="eastAsia" w:ascii="宋体" w:hAnsi="宋体" w:cs="宋体"/>
          <w:sz w:val="24"/>
          <w:szCs w:val="24"/>
        </w:rPr>
        <w:t>3、供应商应对所投项目的全部内容进行报价，完成采购文件规定的服务工作所涉及的一切相关费用。</w:t>
      </w:r>
    </w:p>
    <w:p w14:paraId="0C90D2D1">
      <w:pPr>
        <w:spacing w:line="360" w:lineRule="auto"/>
        <w:ind w:firstLine="480"/>
        <w:rPr>
          <w:rFonts w:hint="eastAsia" w:ascii="宋体" w:hAnsi="宋体" w:cs="宋体"/>
          <w:sz w:val="24"/>
          <w:szCs w:val="24"/>
          <w:highlight w:val="yellow"/>
        </w:rPr>
      </w:pPr>
      <w:r>
        <w:rPr>
          <w:rFonts w:hint="eastAsia" w:ascii="宋体" w:hAnsi="宋体" w:cs="宋体"/>
          <w:bCs/>
          <w:sz w:val="24"/>
          <w:szCs w:val="24"/>
          <w:highlight w:val="none"/>
        </w:rPr>
        <w:t>4、供应商应采用分项报价最终汇总的方式进行，标明拟提供服务的单价和总价，详细分析各项费用组成。</w:t>
      </w:r>
    </w:p>
    <w:p w14:paraId="2AF44D15">
      <w:pPr>
        <w:spacing w:line="360" w:lineRule="auto"/>
        <w:ind w:firstLine="482"/>
        <w:outlineLvl w:val="1"/>
        <w:rPr>
          <w:rFonts w:hint="eastAsia" w:ascii="宋体" w:hAnsi="宋体" w:cs="宋体"/>
          <w:b/>
          <w:sz w:val="24"/>
          <w:szCs w:val="24"/>
        </w:rPr>
      </w:pPr>
      <w:r>
        <w:rPr>
          <w:rFonts w:hint="eastAsia" w:ascii="宋体" w:hAnsi="宋体" w:cs="宋体"/>
          <w:b/>
          <w:sz w:val="24"/>
          <w:szCs w:val="24"/>
        </w:rPr>
        <w:t>六、其他</w:t>
      </w:r>
    </w:p>
    <w:p w14:paraId="793DD819">
      <w:pPr>
        <w:spacing w:line="360" w:lineRule="auto"/>
        <w:ind w:firstLine="480"/>
        <w:rPr>
          <w:rFonts w:hint="eastAsia" w:ascii="宋体" w:hAnsi="宋体" w:cs="宋体"/>
          <w:sz w:val="24"/>
          <w:szCs w:val="24"/>
        </w:rPr>
      </w:pPr>
      <w:r>
        <w:rPr>
          <w:rFonts w:hint="eastAsia" w:ascii="宋体" w:hAnsi="宋体" w:cs="宋体"/>
          <w:sz w:val="24"/>
          <w:szCs w:val="24"/>
        </w:rPr>
        <w:t>本项目报价不得超过最高限价。</w:t>
      </w:r>
    </w:p>
    <w:p w14:paraId="7770B575">
      <w:pPr>
        <w:spacing w:line="460" w:lineRule="exact"/>
        <w:ind w:firstLine="564" w:firstLineChars="235"/>
        <w:rPr>
          <w:rFonts w:hint="default" w:ascii="宋体" w:hAnsi="宋体" w:cs="宋体"/>
          <w:sz w:val="24"/>
          <w:lang w:val="en-US" w:eastAsia="zh-CN"/>
        </w:rPr>
      </w:pPr>
      <w:r>
        <w:rPr>
          <w:rFonts w:hint="eastAsia" w:ascii="宋体" w:hAnsi="宋体" w:cs="宋体"/>
          <w:sz w:val="24"/>
        </w:rPr>
        <w:t>工作中涉及的敏感资料、电子数据等相关信息，成交供应商应严格执行保密的相关规定，不得以任何方式向任何第三人披露、泄露或许可第三人使用，否则追究其相应法律责任。</w:t>
      </w:r>
      <w:r>
        <w:rPr>
          <w:rFonts w:hint="default" w:ascii="宋体" w:hAnsi="宋体" w:cs="宋体"/>
          <w:sz w:val="24"/>
          <w:lang w:val="en-US" w:eastAsia="zh-CN"/>
        </w:rPr>
        <w:br w:type="page"/>
      </w:r>
    </w:p>
    <w:p w14:paraId="22191EC4">
      <w:pPr>
        <w:pStyle w:val="192"/>
        <w:rPr>
          <w:rFonts w:hint="eastAsia" w:ascii="黑体" w:eastAsia="黑体"/>
          <w:bCs/>
          <w:color w:val="auto"/>
          <w:sz w:val="44"/>
          <w:highlight w:val="none"/>
        </w:rPr>
      </w:pPr>
      <w:bookmarkStart w:id="233" w:name="_Toc32632"/>
      <w:bookmarkStart w:id="234" w:name="_Toc3139"/>
      <w:bookmarkStart w:id="235" w:name="_Toc120614281"/>
      <w:r>
        <w:rPr>
          <w:rFonts w:hint="eastAsia" w:ascii="黑体" w:hAnsi="Times New Roman" w:eastAsia="黑体" w:cs="Times New Roman"/>
          <w:color w:val="auto"/>
          <w:sz w:val="44"/>
          <w:szCs w:val="44"/>
          <w:highlight w:val="none"/>
        </w:rPr>
        <w:t>第五章评标方法与评标标准</w:t>
      </w:r>
      <w:bookmarkEnd w:id="233"/>
      <w:bookmarkEnd w:id="234"/>
    </w:p>
    <w:p w14:paraId="12D2B6DD">
      <w:pPr>
        <w:rPr>
          <w:rFonts w:hint="eastAsia"/>
          <w:color w:val="auto"/>
          <w:highlight w:val="none"/>
        </w:rPr>
      </w:pPr>
    </w:p>
    <w:p w14:paraId="7E5CFA87">
      <w:pPr>
        <w:widowControl/>
        <w:spacing w:line="360" w:lineRule="auto"/>
        <w:ind w:firstLine="482"/>
        <w:rPr>
          <w:rFonts w:ascii="宋体" w:hAnsi="宋体"/>
          <w:b/>
          <w:color w:val="auto"/>
          <w:sz w:val="24"/>
          <w:highlight w:val="none"/>
        </w:rPr>
      </w:pPr>
      <w:r>
        <w:rPr>
          <w:rFonts w:hint="eastAsia" w:ascii="宋体" w:hAnsi="宋体"/>
          <w:b/>
          <w:color w:val="auto"/>
          <w:sz w:val="24"/>
          <w:highlight w:val="none"/>
        </w:rPr>
        <w:t>一、评标方法：综合评分法</w:t>
      </w:r>
    </w:p>
    <w:p w14:paraId="40750C86">
      <w:pPr>
        <w:widowControl/>
        <w:spacing w:line="360" w:lineRule="auto"/>
        <w:ind w:firstLine="480"/>
        <w:rPr>
          <w:rFonts w:ascii="宋体" w:hAnsi="宋体"/>
          <w:color w:val="auto"/>
          <w:sz w:val="24"/>
          <w:highlight w:val="none"/>
        </w:rPr>
      </w:pPr>
      <w:r>
        <w:rPr>
          <w:rFonts w:hint="eastAsia" w:ascii="宋体" w:hAnsi="宋体"/>
          <w:color w:val="auto"/>
          <w:sz w:val="24"/>
          <w:highlight w:val="none"/>
        </w:rPr>
        <w:t>综合评分法，是指投标文件满足招标文件全部实质性要求，且按照评审因素的量化指标评审得分最高的投标人为中标候选人的评标办法。</w:t>
      </w:r>
    </w:p>
    <w:p w14:paraId="27D1A05E">
      <w:pPr>
        <w:widowControl/>
        <w:spacing w:line="360" w:lineRule="auto"/>
        <w:ind w:firstLine="482"/>
        <w:rPr>
          <w:rFonts w:ascii="宋体" w:hAnsi="宋体"/>
          <w:color w:val="auto"/>
          <w:sz w:val="24"/>
          <w:highlight w:val="none"/>
        </w:rPr>
      </w:pPr>
      <w:r>
        <w:rPr>
          <w:rFonts w:hint="eastAsia" w:ascii="宋体" w:hAnsi="宋体"/>
          <w:b/>
          <w:color w:val="auto"/>
          <w:sz w:val="24"/>
          <w:highlight w:val="none"/>
        </w:rPr>
        <w:t>二、评标原则</w:t>
      </w:r>
      <w:r>
        <w:rPr>
          <w:rFonts w:hint="eastAsia" w:ascii="宋体" w:hAnsi="宋体"/>
          <w:color w:val="auto"/>
          <w:sz w:val="24"/>
          <w:highlight w:val="none"/>
        </w:rPr>
        <w:t>：评标委员会必须公平、公正、客观，不带任何倾向性和启发性；不得向外界透露任何与评标有关的内容；任何单位和个人不得干扰、影响评标的正常进行；评标委员会及有关工作人员不得私下与供应商接触。</w:t>
      </w:r>
    </w:p>
    <w:p w14:paraId="0FABEE99">
      <w:pPr>
        <w:widowControl/>
        <w:spacing w:line="360" w:lineRule="auto"/>
        <w:ind w:firstLine="482"/>
        <w:rPr>
          <w:rFonts w:ascii="宋体" w:hAnsi="宋体"/>
          <w:b/>
          <w:color w:val="auto"/>
          <w:sz w:val="24"/>
          <w:highlight w:val="none"/>
        </w:rPr>
      </w:pPr>
      <w:r>
        <w:rPr>
          <w:rFonts w:hint="eastAsia" w:ascii="宋体" w:hAnsi="宋体"/>
          <w:b/>
          <w:color w:val="auto"/>
          <w:sz w:val="24"/>
          <w:highlight w:val="none"/>
        </w:rPr>
        <w:t>三、评标标准：</w:t>
      </w:r>
    </w:p>
    <w:p w14:paraId="57C2FA62">
      <w:pPr>
        <w:widowControl/>
        <w:spacing w:line="360" w:lineRule="auto"/>
        <w:ind w:firstLine="480"/>
        <w:rPr>
          <w:rFonts w:ascii="宋体" w:hAnsi="宋体"/>
          <w:color w:val="auto"/>
          <w:sz w:val="24"/>
          <w:highlight w:val="none"/>
        </w:rPr>
      </w:pPr>
      <w:r>
        <w:rPr>
          <w:rFonts w:hint="eastAsia" w:ascii="宋体" w:hAnsi="宋体"/>
          <w:color w:val="auto"/>
          <w:sz w:val="24"/>
          <w:highlight w:val="none"/>
        </w:rPr>
        <w:t>1、评标时，评标委员会以招标文件为评标依据，评标委员会各成员独立对每个投标人的投标文件进行评价，并汇总每个投标人的得分。</w:t>
      </w:r>
    </w:p>
    <w:p w14:paraId="6E91E083">
      <w:pPr>
        <w:widowControl/>
        <w:spacing w:line="360" w:lineRule="auto"/>
        <w:ind w:firstLine="480"/>
        <w:rPr>
          <w:rFonts w:ascii="宋体" w:hAnsi="宋体"/>
          <w:color w:val="auto"/>
          <w:sz w:val="24"/>
          <w:highlight w:val="none"/>
        </w:rPr>
      </w:pPr>
      <w:r>
        <w:rPr>
          <w:rFonts w:hint="eastAsia" w:ascii="宋体" w:hAnsi="宋体"/>
          <w:color w:val="auto"/>
          <w:sz w:val="24"/>
          <w:highlight w:val="none"/>
        </w:rPr>
        <w:t>2、本项目评分总分为100分，按四舍五入取至小数点后两位。</w:t>
      </w:r>
    </w:p>
    <w:p w14:paraId="0A15F79C">
      <w:pPr>
        <w:widowControl/>
        <w:spacing w:line="360" w:lineRule="auto"/>
        <w:ind w:firstLine="480"/>
        <w:rPr>
          <w:rFonts w:ascii="宋体" w:hAnsi="宋体"/>
          <w:color w:val="auto"/>
          <w:sz w:val="24"/>
          <w:highlight w:val="none"/>
        </w:rPr>
      </w:pPr>
      <w:r>
        <w:rPr>
          <w:rFonts w:hint="eastAsia" w:ascii="宋体" w:hAnsi="宋体"/>
          <w:color w:val="auto"/>
          <w:sz w:val="24"/>
          <w:highlight w:val="none"/>
        </w:rPr>
        <w:t>3、总得分=价格分+商务技术分</w:t>
      </w:r>
    </w:p>
    <w:p w14:paraId="5CA456F1">
      <w:pPr>
        <w:widowControl/>
        <w:spacing w:line="360" w:lineRule="auto"/>
        <w:ind w:firstLine="480"/>
        <w:rPr>
          <w:rFonts w:hint="eastAsia" w:ascii="宋体" w:hAnsi="宋体" w:eastAsia="宋体" w:cs="Times New Roman"/>
          <w:color w:val="auto"/>
          <w:sz w:val="24"/>
          <w:highlight w:val="none"/>
          <w:lang w:eastAsia="zh-CN"/>
        </w:rPr>
      </w:pPr>
      <w:r>
        <w:rPr>
          <w:rFonts w:hint="eastAsia" w:ascii="宋体" w:hAnsi="宋体"/>
          <w:color w:val="auto"/>
          <w:sz w:val="24"/>
          <w:highlight w:val="none"/>
        </w:rPr>
        <w:t>4、中标标准：</w:t>
      </w:r>
      <w:r>
        <w:rPr>
          <w:rFonts w:hint="eastAsia" w:ascii="宋体" w:hAnsi="宋体" w:eastAsia="宋体" w:cs="Times New Roman"/>
          <w:color w:val="auto"/>
          <w:sz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Times New Roman"/>
          <w:color w:val="auto"/>
          <w:sz w:val="24"/>
          <w:highlight w:val="none"/>
          <w:lang w:eastAsia="zh-CN"/>
        </w:rPr>
        <w:t>。</w:t>
      </w:r>
    </w:p>
    <w:p w14:paraId="2B5F8EBD">
      <w:pPr>
        <w:spacing w:before="120" w:after="120" w:line="500" w:lineRule="exact"/>
        <w:ind w:firstLine="422"/>
        <w:jc w:val="left"/>
        <w:rPr>
          <w:b/>
          <w:bCs/>
          <w:sz w:val="24"/>
          <w:szCs w:val="24"/>
        </w:rPr>
      </w:pPr>
      <w:r>
        <w:rPr>
          <w:b/>
          <w:bCs/>
          <w:sz w:val="24"/>
          <w:szCs w:val="24"/>
        </w:rPr>
        <w:t>1、价格分：10分</w:t>
      </w:r>
    </w:p>
    <w:p w14:paraId="7026817F">
      <w:pPr>
        <w:spacing w:line="360" w:lineRule="auto"/>
        <w:ind w:firstLine="420"/>
        <w:rPr>
          <w:rFonts w:hint="eastAsia" w:ascii="宋体" w:hAnsi="宋体" w:eastAsia="宋体"/>
          <w:sz w:val="24"/>
          <w:szCs w:val="24"/>
        </w:rPr>
      </w:pPr>
      <w:r>
        <w:rPr>
          <w:rFonts w:hint="eastAsia" w:ascii="宋体" w:hAnsi="宋体" w:eastAsia="宋体"/>
          <w:sz w:val="24"/>
          <w:szCs w:val="24"/>
        </w:rPr>
        <w:t>采用低价优先法计算，即满足招标文件要求且投标价格最低的投标报价为评标基准价，其价格分为满分。其他投标人的价格分统一按照下列公式计算：</w:t>
      </w:r>
    </w:p>
    <w:p w14:paraId="6A3C5F1B">
      <w:pPr>
        <w:spacing w:line="360" w:lineRule="auto"/>
        <w:ind w:firstLine="420"/>
        <w:rPr>
          <w:rFonts w:hint="eastAsia" w:ascii="宋体" w:hAnsi="宋体" w:eastAsia="宋体"/>
          <w:sz w:val="24"/>
          <w:szCs w:val="24"/>
        </w:rPr>
      </w:pPr>
      <w:r>
        <w:rPr>
          <w:rFonts w:hint="eastAsia" w:ascii="宋体" w:hAnsi="宋体" w:eastAsia="宋体"/>
          <w:sz w:val="24"/>
          <w:szCs w:val="24"/>
        </w:rPr>
        <w:t xml:space="preserve">投标报价得分=（评标基准价/投标报价）× </w:t>
      </w:r>
      <w:r>
        <w:rPr>
          <w:rFonts w:hint="eastAsia" w:ascii="宋体" w:hAnsi="宋体"/>
          <w:sz w:val="24"/>
          <w:szCs w:val="24"/>
          <w:lang w:val="en-US" w:eastAsia="zh-CN"/>
        </w:rPr>
        <w:t>1</w:t>
      </w:r>
      <w:r>
        <w:rPr>
          <w:rFonts w:hint="eastAsia" w:ascii="宋体" w:hAnsi="宋体" w:eastAsia="宋体"/>
          <w:sz w:val="24"/>
          <w:szCs w:val="24"/>
          <w:lang w:val="en-US" w:eastAsia="zh-CN"/>
        </w:rPr>
        <w:t>0</w:t>
      </w:r>
      <w:r>
        <w:rPr>
          <w:rFonts w:hint="eastAsia" w:ascii="宋体" w:hAnsi="宋体" w:eastAsia="宋体"/>
          <w:sz w:val="24"/>
          <w:szCs w:val="24"/>
        </w:rPr>
        <w:t>分。</w:t>
      </w:r>
    </w:p>
    <w:p w14:paraId="13C98D30">
      <w:pPr>
        <w:widowControl/>
        <w:spacing w:line="360" w:lineRule="auto"/>
        <w:ind w:firstLine="420"/>
        <w:rPr>
          <w:rFonts w:hint="eastAsia" w:ascii="宋体" w:hAnsi="宋体" w:eastAsia="宋体"/>
          <w:sz w:val="24"/>
          <w:szCs w:val="24"/>
        </w:rPr>
      </w:pPr>
      <w:r>
        <w:rPr>
          <w:rFonts w:hint="eastAsia" w:ascii="宋体" w:hAnsi="宋体" w:eastAsia="宋体"/>
          <w:sz w:val="24"/>
          <w:szCs w:val="24"/>
        </w:rPr>
        <w:t>评标过程中，不得去掉报价中的最高报价和最低报价。</w:t>
      </w:r>
    </w:p>
    <w:p w14:paraId="3BC89E8D">
      <w:pPr>
        <w:widowControl/>
        <w:spacing w:line="360" w:lineRule="auto"/>
        <w:ind w:firstLine="420"/>
        <w:rPr>
          <w:rFonts w:hint="eastAsia" w:ascii="宋体" w:hAnsi="宋体" w:eastAsia="宋体"/>
          <w:sz w:val="24"/>
          <w:szCs w:val="24"/>
        </w:rPr>
      </w:pPr>
      <w:r>
        <w:rPr>
          <w:rFonts w:hint="eastAsia" w:ascii="宋体" w:hAnsi="宋体" w:eastAsia="宋体"/>
          <w:sz w:val="24"/>
          <w:szCs w:val="24"/>
        </w:rPr>
        <w:t>因落实采购政策进行价格调整的，以调整后的价格计算评标基准价和投标报价。</w:t>
      </w:r>
    </w:p>
    <w:p w14:paraId="33D987C3">
      <w:pPr>
        <w:spacing w:line="500" w:lineRule="exact"/>
        <w:ind w:left="420"/>
        <w:rPr>
          <w:sz w:val="24"/>
          <w:szCs w:val="24"/>
        </w:rPr>
      </w:pPr>
      <w:r>
        <w:rPr>
          <w:b/>
          <w:sz w:val="24"/>
          <w:szCs w:val="24"/>
        </w:rPr>
        <w:t>2.商务技术分：90分</w:t>
      </w:r>
    </w:p>
    <w:tbl>
      <w:tblPr>
        <w:tblStyle w:val="36"/>
        <w:tblW w:w="105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3"/>
        <w:gridCol w:w="735"/>
        <w:gridCol w:w="1395"/>
        <w:gridCol w:w="7983"/>
      </w:tblGrid>
      <w:tr w14:paraId="02A950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423" w:type="dxa"/>
            <w:tcBorders>
              <w:top w:val="single" w:color="auto" w:sz="4" w:space="0"/>
              <w:bottom w:val="single" w:color="auto" w:sz="4" w:space="0"/>
              <w:right w:val="single" w:color="auto" w:sz="4" w:space="0"/>
            </w:tcBorders>
            <w:vAlign w:val="center"/>
          </w:tcPr>
          <w:p w14:paraId="3B3A17D6">
            <w:pPr>
              <w:widowControl/>
              <w:spacing w:line="360" w:lineRule="auto"/>
              <w:jc w:val="left"/>
              <w:rPr>
                <w:rFonts w:hint="eastAsia" w:ascii="宋体" w:hAnsi="宋体" w:cs="宋体"/>
                <w:b/>
                <w:bCs/>
                <w:sz w:val="24"/>
                <w:szCs w:val="24"/>
              </w:rPr>
            </w:pPr>
            <w:bookmarkStart w:id="236" w:name="_Hlk72328258"/>
            <w:r>
              <w:rPr>
                <w:rFonts w:hint="eastAsia" w:ascii="宋体" w:hAnsi="宋体" w:cs="宋体"/>
                <w:b/>
                <w:bCs/>
                <w:sz w:val="24"/>
                <w:szCs w:val="24"/>
              </w:rPr>
              <w:t>序号</w:t>
            </w:r>
          </w:p>
        </w:tc>
        <w:tc>
          <w:tcPr>
            <w:tcW w:w="735" w:type="dxa"/>
            <w:tcBorders>
              <w:top w:val="single" w:color="auto" w:sz="4" w:space="0"/>
              <w:bottom w:val="single" w:color="auto" w:sz="4" w:space="0"/>
              <w:right w:val="single" w:color="auto" w:sz="4" w:space="0"/>
            </w:tcBorders>
            <w:vAlign w:val="center"/>
          </w:tcPr>
          <w:p w14:paraId="3EB137F8">
            <w:pPr>
              <w:widowControl/>
              <w:spacing w:line="360" w:lineRule="auto"/>
              <w:jc w:val="left"/>
              <w:rPr>
                <w:rFonts w:hint="eastAsia" w:ascii="宋体" w:hAnsi="宋体" w:cs="宋体"/>
                <w:b/>
                <w:bCs/>
                <w:sz w:val="24"/>
                <w:szCs w:val="24"/>
              </w:rPr>
            </w:pPr>
            <w:r>
              <w:rPr>
                <w:rFonts w:hint="eastAsia" w:ascii="宋体" w:hAnsi="宋体" w:cs="宋体"/>
                <w:b/>
                <w:bCs/>
                <w:sz w:val="24"/>
                <w:szCs w:val="24"/>
              </w:rPr>
              <w:t>评审项目</w:t>
            </w:r>
          </w:p>
        </w:tc>
        <w:tc>
          <w:tcPr>
            <w:tcW w:w="9378" w:type="dxa"/>
            <w:gridSpan w:val="2"/>
            <w:tcBorders>
              <w:top w:val="single" w:color="auto" w:sz="4" w:space="0"/>
              <w:left w:val="single" w:color="auto" w:sz="4" w:space="0"/>
              <w:bottom w:val="single" w:color="auto" w:sz="4" w:space="0"/>
              <w:right w:val="single" w:color="auto" w:sz="4" w:space="0"/>
            </w:tcBorders>
            <w:vAlign w:val="center"/>
          </w:tcPr>
          <w:p w14:paraId="2FBD0D05">
            <w:pPr>
              <w:widowControl/>
              <w:spacing w:line="360" w:lineRule="auto"/>
              <w:jc w:val="left"/>
              <w:rPr>
                <w:rFonts w:hint="eastAsia" w:ascii="宋体" w:hAnsi="宋体" w:cs="宋体"/>
                <w:b/>
                <w:bCs/>
                <w:sz w:val="24"/>
                <w:szCs w:val="24"/>
              </w:rPr>
            </w:pPr>
            <w:r>
              <w:rPr>
                <w:rFonts w:hint="eastAsia" w:ascii="宋体" w:hAnsi="宋体" w:cs="宋体"/>
                <w:b/>
                <w:bCs/>
                <w:sz w:val="24"/>
                <w:szCs w:val="24"/>
              </w:rPr>
              <w:t>评分细则</w:t>
            </w:r>
          </w:p>
        </w:tc>
      </w:tr>
      <w:tr w14:paraId="2E4E2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3" w:hRule="atLeast"/>
          <w:jc w:val="center"/>
        </w:trPr>
        <w:tc>
          <w:tcPr>
            <w:tcW w:w="423" w:type="dxa"/>
            <w:vMerge w:val="restart"/>
            <w:tcBorders>
              <w:top w:val="single" w:color="auto" w:sz="4" w:space="0"/>
              <w:right w:val="single" w:color="auto" w:sz="4" w:space="0"/>
            </w:tcBorders>
            <w:vAlign w:val="center"/>
          </w:tcPr>
          <w:p w14:paraId="6C43370E">
            <w:pPr>
              <w:widowControl/>
              <w:spacing w:line="360" w:lineRule="auto"/>
              <w:jc w:val="left"/>
              <w:rPr>
                <w:rFonts w:hint="eastAsia" w:ascii="宋体" w:hAnsi="宋体" w:cs="宋体"/>
                <w:sz w:val="24"/>
                <w:szCs w:val="24"/>
              </w:rPr>
            </w:pPr>
            <w:r>
              <w:rPr>
                <w:rFonts w:hint="eastAsia" w:ascii="宋体" w:hAnsi="宋体" w:cs="宋体"/>
                <w:sz w:val="24"/>
                <w:szCs w:val="24"/>
              </w:rPr>
              <w:t>2</w:t>
            </w:r>
          </w:p>
        </w:tc>
        <w:tc>
          <w:tcPr>
            <w:tcW w:w="735" w:type="dxa"/>
            <w:vMerge w:val="restart"/>
            <w:tcBorders>
              <w:top w:val="single" w:color="auto" w:sz="4" w:space="0"/>
              <w:right w:val="single" w:color="auto" w:sz="4" w:space="0"/>
            </w:tcBorders>
            <w:vAlign w:val="center"/>
          </w:tcPr>
          <w:p w14:paraId="69A403CD">
            <w:pPr>
              <w:widowControl/>
              <w:spacing w:line="360" w:lineRule="auto"/>
              <w:jc w:val="left"/>
              <w:rPr>
                <w:rFonts w:hint="eastAsia" w:ascii="宋体" w:hAnsi="宋体" w:cs="宋体"/>
                <w:sz w:val="24"/>
                <w:szCs w:val="24"/>
              </w:rPr>
            </w:pPr>
            <w:r>
              <w:rPr>
                <w:rFonts w:hint="eastAsia" w:ascii="宋体" w:hAnsi="宋体" w:cs="宋体"/>
                <w:sz w:val="24"/>
                <w:szCs w:val="24"/>
              </w:rPr>
              <w:t>企业实力</w:t>
            </w:r>
          </w:p>
          <w:p w14:paraId="5432C915">
            <w:pPr>
              <w:widowControl/>
              <w:spacing w:line="360" w:lineRule="auto"/>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24</w:t>
            </w:r>
            <w:r>
              <w:rPr>
                <w:rFonts w:hint="eastAsia" w:ascii="宋体" w:hAnsi="宋体" w:cs="宋体"/>
                <w:sz w:val="24"/>
                <w:szCs w:val="24"/>
              </w:rPr>
              <w:t>分）</w:t>
            </w:r>
          </w:p>
        </w:tc>
        <w:tc>
          <w:tcPr>
            <w:tcW w:w="1395" w:type="dxa"/>
            <w:tcBorders>
              <w:top w:val="single" w:color="auto" w:sz="4" w:space="0"/>
              <w:left w:val="single" w:color="auto" w:sz="4" w:space="0"/>
              <w:bottom w:val="single" w:color="auto" w:sz="4" w:space="0"/>
              <w:right w:val="single" w:color="auto" w:sz="4" w:space="0"/>
            </w:tcBorders>
            <w:vAlign w:val="center"/>
          </w:tcPr>
          <w:p w14:paraId="2179C3D8">
            <w:pPr>
              <w:widowControl/>
              <w:adjustRightInd w:val="0"/>
              <w:snapToGrid w:val="0"/>
              <w:jc w:val="left"/>
              <w:rPr>
                <w:rFonts w:hint="eastAsia" w:ascii="宋体" w:hAnsi="宋体" w:cs="宋体"/>
                <w:sz w:val="24"/>
                <w:szCs w:val="24"/>
              </w:rPr>
            </w:pPr>
            <w:r>
              <w:rPr>
                <w:rFonts w:hint="eastAsia" w:ascii="宋体" w:hAnsi="宋体" w:cs="宋体"/>
                <w:sz w:val="24"/>
                <w:szCs w:val="24"/>
              </w:rPr>
              <w:t>资质证书</w:t>
            </w:r>
          </w:p>
          <w:p w14:paraId="5D172949">
            <w:pPr>
              <w:widowControl/>
              <w:adjustRightInd w:val="0"/>
              <w:snapToGrid w:val="0"/>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1613CC8C">
            <w:pPr>
              <w:widowControl/>
              <w:spacing w:line="360" w:lineRule="auto"/>
              <w:jc w:val="left"/>
              <w:rPr>
                <w:rFonts w:hint="eastAsia" w:ascii="宋体" w:hAnsi="宋体" w:cs="宋体"/>
                <w:sz w:val="24"/>
                <w:szCs w:val="24"/>
              </w:rPr>
            </w:pPr>
            <w:r>
              <w:rPr>
                <w:rFonts w:hint="eastAsia" w:ascii="宋体" w:hAnsi="宋体" w:cs="宋体"/>
                <w:sz w:val="24"/>
                <w:szCs w:val="24"/>
              </w:rPr>
              <w:t>1、供应商具备实验室CMA</w:t>
            </w:r>
            <w:r>
              <w:rPr>
                <w:rFonts w:hint="eastAsia" w:ascii="宋体" w:hAnsi="宋体" w:cs="宋体"/>
                <w:sz w:val="24"/>
                <w:szCs w:val="24"/>
                <w:lang w:val="en-US" w:eastAsia="zh-CN"/>
              </w:rPr>
              <w:t>或CNAS</w:t>
            </w:r>
            <w:r>
              <w:rPr>
                <w:rFonts w:hint="eastAsia" w:ascii="宋体" w:hAnsi="宋体" w:cs="宋体"/>
                <w:sz w:val="24"/>
                <w:szCs w:val="24"/>
              </w:rPr>
              <w:t>认证资质的，得2分；</w:t>
            </w:r>
          </w:p>
          <w:p w14:paraId="78A6D8A7">
            <w:pPr>
              <w:widowControl/>
              <w:spacing w:line="360" w:lineRule="auto"/>
              <w:jc w:val="left"/>
              <w:rPr>
                <w:rFonts w:hint="eastAsia" w:ascii="宋体" w:hAnsi="宋体" w:cs="宋体"/>
                <w:sz w:val="24"/>
                <w:szCs w:val="24"/>
              </w:rPr>
            </w:pPr>
            <w:r>
              <w:rPr>
                <w:rFonts w:hint="eastAsia" w:ascii="宋体" w:hAnsi="宋体" w:cs="宋体"/>
                <w:sz w:val="24"/>
                <w:szCs w:val="24"/>
              </w:rPr>
              <w:t>2、供应商的司法鉴定许可证范围包含污染物性质鉴定和环境损害鉴定的得3分，司法鉴定许可证范围只包含污染物性质鉴定的得1分，司法鉴定许可证范围不包含污染物性质鉴定或环境损害鉴定的不得分。</w:t>
            </w:r>
          </w:p>
          <w:p w14:paraId="73A87C5D">
            <w:pPr>
              <w:widowControl/>
              <w:spacing w:line="360" w:lineRule="auto"/>
              <w:jc w:val="left"/>
              <w:rPr>
                <w:rFonts w:hint="eastAsia" w:ascii="宋体" w:hAnsi="宋体" w:cs="宋体"/>
                <w:sz w:val="24"/>
                <w:szCs w:val="24"/>
              </w:rPr>
            </w:pPr>
            <w:r>
              <w:rPr>
                <w:rFonts w:hint="eastAsia" w:ascii="宋体" w:hAnsi="宋体" w:cs="宋体"/>
                <w:sz w:val="24"/>
                <w:szCs w:val="24"/>
              </w:rPr>
              <w:t>注：须提供相关资质证书原件彩色扫描件并加盖投标人公章，否则不得分。</w:t>
            </w:r>
          </w:p>
        </w:tc>
      </w:tr>
      <w:tr w14:paraId="36D649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423" w:type="dxa"/>
            <w:vMerge w:val="continue"/>
            <w:tcBorders>
              <w:right w:val="single" w:color="auto" w:sz="4" w:space="0"/>
            </w:tcBorders>
            <w:vAlign w:val="center"/>
          </w:tcPr>
          <w:p w14:paraId="0832B40A">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20B6807B">
            <w:pPr>
              <w:widowControl/>
              <w:spacing w:line="360" w:lineRule="auto"/>
              <w:jc w:val="left"/>
              <w:rPr>
                <w:rFonts w:hint="eastAsia" w:ascii="宋体" w:hAnsi="宋体" w:cs="宋体"/>
                <w:sz w:val="24"/>
                <w:szCs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7EF74163">
            <w:pPr>
              <w:adjustRightInd w:val="0"/>
              <w:snapToGrid w:val="0"/>
              <w:jc w:val="both"/>
              <w:rPr>
                <w:rFonts w:hint="eastAsia" w:ascii="宋体" w:hAnsi="宋体" w:cs="宋体"/>
                <w:sz w:val="24"/>
                <w:szCs w:val="24"/>
              </w:rPr>
            </w:pPr>
            <w:r>
              <w:rPr>
                <w:rFonts w:hint="eastAsia" w:ascii="宋体" w:hAnsi="宋体" w:cs="宋体"/>
                <w:sz w:val="24"/>
                <w:szCs w:val="24"/>
              </w:rPr>
              <w:t>危废鉴别相关科研课题（2分）</w:t>
            </w:r>
          </w:p>
        </w:tc>
        <w:tc>
          <w:tcPr>
            <w:tcW w:w="7983" w:type="dxa"/>
            <w:tcBorders>
              <w:top w:val="single" w:color="auto" w:sz="4" w:space="0"/>
              <w:left w:val="single" w:color="auto" w:sz="4" w:space="0"/>
              <w:bottom w:val="single" w:color="auto" w:sz="4" w:space="0"/>
              <w:right w:val="single" w:color="auto" w:sz="4" w:space="0"/>
            </w:tcBorders>
            <w:vAlign w:val="center"/>
          </w:tcPr>
          <w:p w14:paraId="38EDCF59">
            <w:pPr>
              <w:adjustRightInd w:val="0"/>
              <w:snapToGrid w:val="0"/>
              <w:rPr>
                <w:rFonts w:hint="eastAsia" w:ascii="宋体" w:hAnsi="宋体" w:cs="宋体"/>
                <w:sz w:val="24"/>
                <w:szCs w:val="24"/>
              </w:rPr>
            </w:pPr>
            <w:r>
              <w:rPr>
                <w:rFonts w:hint="eastAsia" w:ascii="宋体" w:hAnsi="宋体" w:cs="宋体"/>
                <w:sz w:val="24"/>
                <w:szCs w:val="24"/>
              </w:rPr>
              <w:t>投标人具有市级及以上危废鉴别相关科研课题的，得2</w:t>
            </w:r>
            <w:r>
              <w:rPr>
                <w:rFonts w:ascii="宋体" w:hAnsi="宋体" w:cs="宋体"/>
                <w:sz w:val="24"/>
                <w:szCs w:val="24"/>
              </w:rPr>
              <w:t>分</w:t>
            </w:r>
            <w:r>
              <w:rPr>
                <w:rFonts w:hint="eastAsia" w:ascii="宋体" w:hAnsi="宋体" w:cs="宋体"/>
                <w:sz w:val="24"/>
                <w:szCs w:val="24"/>
              </w:rPr>
              <w:t>，否则不得分。</w:t>
            </w:r>
          </w:p>
          <w:p w14:paraId="674735C9">
            <w:pPr>
              <w:adjustRightInd w:val="0"/>
              <w:snapToGrid w:val="0"/>
              <w:rPr>
                <w:rFonts w:hint="eastAsia" w:ascii="宋体" w:hAnsi="宋体" w:cs="宋体"/>
                <w:sz w:val="24"/>
                <w:szCs w:val="24"/>
              </w:rPr>
            </w:pPr>
            <w:r>
              <w:rPr>
                <w:rFonts w:hint="eastAsia" w:ascii="宋体" w:hAnsi="宋体" w:cs="宋体"/>
                <w:sz w:val="24"/>
                <w:szCs w:val="24"/>
              </w:rPr>
              <w:t>提供科研课题相关证明材料复印件、电子件或扫描件，加盖投标人公章。</w:t>
            </w:r>
          </w:p>
        </w:tc>
      </w:tr>
      <w:tr w14:paraId="193812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7" w:hRule="atLeast"/>
          <w:jc w:val="center"/>
        </w:trPr>
        <w:tc>
          <w:tcPr>
            <w:tcW w:w="423" w:type="dxa"/>
            <w:vMerge w:val="continue"/>
            <w:tcBorders>
              <w:right w:val="single" w:color="auto" w:sz="4" w:space="0"/>
            </w:tcBorders>
            <w:vAlign w:val="center"/>
          </w:tcPr>
          <w:p w14:paraId="64A14100">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55DD2A50">
            <w:pPr>
              <w:widowControl/>
              <w:spacing w:line="360" w:lineRule="auto"/>
              <w:ind w:firstLine="480"/>
              <w:jc w:val="left"/>
              <w:rPr>
                <w:rFonts w:hint="eastAsia" w:ascii="宋体" w:hAnsi="宋体" w:cs="宋体"/>
                <w:sz w:val="24"/>
                <w:szCs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2B61EA70">
            <w:pPr>
              <w:widowControl/>
              <w:spacing w:line="360" w:lineRule="auto"/>
              <w:jc w:val="left"/>
              <w:rPr>
                <w:rFonts w:hint="eastAsia" w:ascii="宋体" w:hAnsi="宋体" w:cs="宋体"/>
                <w:sz w:val="24"/>
                <w:szCs w:val="24"/>
              </w:rPr>
            </w:pPr>
            <w:r>
              <w:rPr>
                <w:rFonts w:hint="eastAsia" w:ascii="宋体" w:hAnsi="宋体" w:cs="宋体"/>
                <w:sz w:val="24"/>
                <w:szCs w:val="24"/>
              </w:rPr>
              <w:t>业绩（</w:t>
            </w:r>
            <w:r>
              <w:rPr>
                <w:rFonts w:hint="eastAsia" w:ascii="宋体" w:hAnsi="宋体" w:cs="宋体"/>
                <w:sz w:val="24"/>
                <w:szCs w:val="24"/>
                <w:lang w:val="en-US" w:eastAsia="zh-CN"/>
              </w:rPr>
              <w:t>9</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666B8BA6">
            <w:pPr>
              <w:widowControl/>
              <w:spacing w:line="360" w:lineRule="auto"/>
              <w:jc w:val="left"/>
              <w:rPr>
                <w:rFonts w:hint="eastAsia" w:ascii="宋体" w:hAnsi="宋体" w:cs="宋体"/>
                <w:sz w:val="24"/>
                <w:szCs w:val="24"/>
              </w:rPr>
            </w:pPr>
            <w:r>
              <w:rPr>
                <w:rFonts w:hint="eastAsia" w:ascii="宋体" w:hAnsi="宋体" w:cs="宋体"/>
                <w:sz w:val="24"/>
                <w:szCs w:val="24"/>
              </w:rPr>
              <w:t>投标人提供自2019年1月1日以来（合同签订时间为准）承担过类似业绩案例，每提供一个业绩案例得</w:t>
            </w:r>
            <w:r>
              <w:rPr>
                <w:rFonts w:hint="eastAsia" w:ascii="宋体" w:hAnsi="宋体" w:cs="宋体"/>
                <w:sz w:val="24"/>
                <w:szCs w:val="24"/>
                <w:lang w:val="en-US" w:eastAsia="zh-CN"/>
              </w:rPr>
              <w:t>3</w:t>
            </w:r>
            <w:r>
              <w:rPr>
                <w:rFonts w:hint="eastAsia" w:ascii="宋体" w:hAnsi="宋体" w:cs="宋体"/>
                <w:sz w:val="24"/>
                <w:szCs w:val="24"/>
              </w:rPr>
              <w:t>分，本项最高</w:t>
            </w:r>
            <w:r>
              <w:rPr>
                <w:rFonts w:hint="eastAsia" w:ascii="宋体" w:hAnsi="宋体" w:cs="宋体"/>
                <w:sz w:val="24"/>
                <w:szCs w:val="24"/>
                <w:lang w:val="en-US" w:eastAsia="zh-CN"/>
              </w:rPr>
              <w:t>9</w:t>
            </w:r>
            <w:r>
              <w:rPr>
                <w:rFonts w:hint="eastAsia" w:ascii="宋体" w:hAnsi="宋体" w:cs="宋体"/>
                <w:sz w:val="24"/>
                <w:szCs w:val="24"/>
              </w:rPr>
              <w:t>分。</w:t>
            </w:r>
          </w:p>
          <w:p w14:paraId="46D94BA7">
            <w:pPr>
              <w:widowControl/>
              <w:spacing w:line="360" w:lineRule="auto"/>
              <w:jc w:val="left"/>
              <w:rPr>
                <w:rFonts w:hint="eastAsia" w:ascii="宋体" w:hAnsi="宋体" w:cs="宋体"/>
                <w:sz w:val="24"/>
                <w:szCs w:val="24"/>
              </w:rPr>
            </w:pPr>
            <w:r>
              <w:rPr>
                <w:rFonts w:hint="eastAsia" w:ascii="宋体" w:hAnsi="宋体" w:cs="宋体"/>
                <w:sz w:val="24"/>
                <w:szCs w:val="24"/>
              </w:rPr>
              <w:t>注：须提供完整且无涂改的合同原件彩色扫描件并加盖投标人公章，否则不得分。</w:t>
            </w:r>
          </w:p>
        </w:tc>
      </w:tr>
      <w:tr w14:paraId="143CA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423" w:type="dxa"/>
            <w:vMerge w:val="continue"/>
            <w:tcBorders>
              <w:bottom w:val="single" w:color="auto" w:sz="4" w:space="0"/>
              <w:right w:val="single" w:color="auto" w:sz="4" w:space="0"/>
            </w:tcBorders>
            <w:vAlign w:val="center"/>
          </w:tcPr>
          <w:p w14:paraId="171DE6EC">
            <w:pPr>
              <w:widowControl/>
              <w:spacing w:line="360" w:lineRule="auto"/>
              <w:jc w:val="left"/>
              <w:rPr>
                <w:rFonts w:hint="eastAsia" w:ascii="宋体" w:hAnsi="宋体" w:cs="宋体"/>
                <w:sz w:val="24"/>
                <w:szCs w:val="24"/>
              </w:rPr>
            </w:pPr>
          </w:p>
        </w:tc>
        <w:tc>
          <w:tcPr>
            <w:tcW w:w="735" w:type="dxa"/>
            <w:vMerge w:val="continue"/>
            <w:tcBorders>
              <w:bottom w:val="single" w:color="auto" w:sz="4" w:space="0"/>
              <w:right w:val="single" w:color="auto" w:sz="4" w:space="0"/>
            </w:tcBorders>
            <w:vAlign w:val="center"/>
          </w:tcPr>
          <w:p w14:paraId="7130A367">
            <w:pPr>
              <w:widowControl/>
              <w:spacing w:line="360" w:lineRule="auto"/>
              <w:ind w:firstLine="480"/>
              <w:jc w:val="left"/>
              <w:rPr>
                <w:rFonts w:hint="eastAsia" w:ascii="宋体" w:hAnsi="宋体" w:cs="宋体"/>
                <w:sz w:val="24"/>
                <w:szCs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73F50312">
            <w:pPr>
              <w:widowControl/>
              <w:adjustRightInd w:val="0"/>
              <w:snapToGrid w:val="0"/>
              <w:jc w:val="left"/>
              <w:rPr>
                <w:rFonts w:hint="eastAsia" w:ascii="宋体" w:hAnsi="宋体" w:cs="宋体"/>
                <w:sz w:val="24"/>
                <w:szCs w:val="24"/>
              </w:rPr>
            </w:pPr>
            <w:r>
              <w:rPr>
                <w:rFonts w:hint="eastAsia" w:ascii="宋体" w:hAnsi="宋体" w:cs="宋体"/>
                <w:sz w:val="24"/>
                <w:szCs w:val="24"/>
              </w:rPr>
              <w:t>体系认证</w:t>
            </w:r>
          </w:p>
          <w:p w14:paraId="53E638AA">
            <w:pPr>
              <w:widowControl/>
              <w:adjustRightInd w:val="0"/>
              <w:snapToGrid w:val="0"/>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015EE8E9">
            <w:pPr>
              <w:widowControl/>
              <w:spacing w:line="360" w:lineRule="auto"/>
              <w:jc w:val="left"/>
              <w:rPr>
                <w:rFonts w:hint="eastAsia" w:ascii="宋体" w:hAnsi="宋体" w:cs="宋体"/>
                <w:sz w:val="24"/>
                <w:szCs w:val="24"/>
              </w:rPr>
            </w:pPr>
            <w:r>
              <w:rPr>
                <w:rFonts w:hint="eastAsia" w:ascii="宋体" w:hAnsi="宋体" w:cs="宋体"/>
                <w:sz w:val="24"/>
                <w:szCs w:val="24"/>
              </w:rPr>
              <w:t>供应商具备环境管理体系认证、质量管理体系认证、职业健康安全管理体系认证、</w:t>
            </w:r>
            <w:r>
              <w:rPr>
                <w:rFonts w:hint="eastAsia" w:ascii="宋体" w:hAnsi="宋体" w:cs="宋体"/>
                <w:sz w:val="24"/>
                <w:szCs w:val="24"/>
                <w:lang w:val="en-US" w:eastAsia="zh-CN"/>
              </w:rPr>
              <w:t>中</w:t>
            </w:r>
            <w:r>
              <w:rPr>
                <w:rFonts w:hint="eastAsia" w:ascii="宋体" w:hAnsi="宋体" w:cs="宋体"/>
                <w:sz w:val="24"/>
                <w:szCs w:val="24"/>
              </w:rPr>
              <w:t>国环境服务认证，每提供一个得</w:t>
            </w:r>
            <w:r>
              <w:rPr>
                <w:rFonts w:hint="eastAsia" w:ascii="宋体" w:hAnsi="宋体" w:cs="宋体"/>
                <w:sz w:val="24"/>
                <w:szCs w:val="24"/>
                <w:lang w:val="en-US" w:eastAsia="zh-CN"/>
              </w:rPr>
              <w:t>2</w:t>
            </w:r>
            <w:r>
              <w:rPr>
                <w:rFonts w:hint="eastAsia" w:ascii="宋体" w:hAnsi="宋体" w:cs="宋体"/>
                <w:sz w:val="24"/>
                <w:szCs w:val="24"/>
              </w:rPr>
              <w:t>分，没有不得分。</w:t>
            </w:r>
          </w:p>
          <w:p w14:paraId="3FAEDB55">
            <w:pPr>
              <w:widowControl/>
              <w:spacing w:line="360" w:lineRule="auto"/>
              <w:jc w:val="left"/>
              <w:rPr>
                <w:rFonts w:hint="eastAsia" w:ascii="宋体" w:hAnsi="宋体" w:cs="宋体"/>
                <w:sz w:val="24"/>
                <w:szCs w:val="24"/>
              </w:rPr>
            </w:pPr>
            <w:r>
              <w:rPr>
                <w:rFonts w:hint="eastAsia" w:ascii="宋体" w:hAnsi="宋体" w:cs="宋体"/>
                <w:sz w:val="24"/>
                <w:szCs w:val="24"/>
              </w:rPr>
              <w:t>注：须提供相关证书原件彩色扫描件，并加盖投标人公章，否则不得分。</w:t>
            </w:r>
          </w:p>
        </w:tc>
      </w:tr>
      <w:tr w14:paraId="058016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2" w:hRule="atLeast"/>
          <w:jc w:val="center"/>
        </w:trPr>
        <w:tc>
          <w:tcPr>
            <w:tcW w:w="423" w:type="dxa"/>
            <w:tcBorders>
              <w:bottom w:val="single" w:color="auto" w:sz="4" w:space="0"/>
              <w:right w:val="single" w:color="auto" w:sz="4" w:space="0"/>
            </w:tcBorders>
            <w:vAlign w:val="center"/>
          </w:tcPr>
          <w:p w14:paraId="7714931C">
            <w:pPr>
              <w:widowControl/>
              <w:spacing w:line="360" w:lineRule="auto"/>
              <w:jc w:val="left"/>
              <w:rPr>
                <w:rFonts w:hint="eastAsia" w:ascii="宋体" w:hAnsi="宋体" w:cs="宋体"/>
                <w:sz w:val="24"/>
                <w:szCs w:val="24"/>
              </w:rPr>
            </w:pPr>
            <w:r>
              <w:rPr>
                <w:rFonts w:hint="eastAsia" w:ascii="宋体" w:hAnsi="宋体" w:cs="宋体"/>
                <w:sz w:val="24"/>
                <w:szCs w:val="24"/>
              </w:rPr>
              <w:t>3</w:t>
            </w:r>
          </w:p>
        </w:tc>
        <w:tc>
          <w:tcPr>
            <w:tcW w:w="735" w:type="dxa"/>
            <w:vMerge w:val="restart"/>
            <w:tcBorders>
              <w:right w:val="single" w:color="auto" w:sz="4" w:space="0"/>
            </w:tcBorders>
            <w:vAlign w:val="center"/>
          </w:tcPr>
          <w:p w14:paraId="189D8656">
            <w:pPr>
              <w:widowControl/>
              <w:spacing w:line="360" w:lineRule="auto"/>
              <w:jc w:val="left"/>
              <w:rPr>
                <w:rFonts w:hint="eastAsia" w:ascii="宋体" w:hAnsi="宋体" w:cs="宋体"/>
                <w:sz w:val="24"/>
                <w:szCs w:val="24"/>
              </w:rPr>
            </w:pPr>
            <w:r>
              <w:rPr>
                <w:rFonts w:hint="eastAsia" w:ascii="宋体" w:hAnsi="宋体" w:cs="宋体"/>
                <w:sz w:val="24"/>
                <w:szCs w:val="24"/>
              </w:rPr>
              <w:t>人员配备</w:t>
            </w:r>
          </w:p>
          <w:p w14:paraId="6E374025">
            <w:pPr>
              <w:widowControl/>
              <w:spacing w:line="360" w:lineRule="auto"/>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19</w:t>
            </w:r>
            <w:r>
              <w:rPr>
                <w:rFonts w:hint="eastAsia" w:ascii="宋体" w:hAnsi="宋体" w:cs="宋体"/>
                <w:sz w:val="24"/>
                <w:szCs w:val="24"/>
              </w:rPr>
              <w:t>分）</w:t>
            </w:r>
          </w:p>
        </w:tc>
        <w:tc>
          <w:tcPr>
            <w:tcW w:w="1395" w:type="dxa"/>
            <w:tcBorders>
              <w:top w:val="single" w:color="auto" w:sz="4" w:space="0"/>
              <w:left w:val="single" w:color="auto" w:sz="4" w:space="0"/>
              <w:bottom w:val="single" w:color="auto" w:sz="4" w:space="0"/>
              <w:right w:val="single" w:color="auto" w:sz="4" w:space="0"/>
            </w:tcBorders>
            <w:vAlign w:val="center"/>
          </w:tcPr>
          <w:p w14:paraId="216D477A">
            <w:pPr>
              <w:widowControl/>
              <w:adjustRightInd w:val="0"/>
              <w:snapToGrid w:val="0"/>
              <w:jc w:val="left"/>
              <w:rPr>
                <w:rFonts w:hint="eastAsia" w:ascii="宋体" w:hAnsi="宋体" w:cs="宋体"/>
                <w:sz w:val="24"/>
                <w:szCs w:val="24"/>
              </w:rPr>
            </w:pPr>
          </w:p>
          <w:p w14:paraId="314D428D">
            <w:pPr>
              <w:widowControl/>
              <w:adjustRightInd w:val="0"/>
              <w:snapToGrid w:val="0"/>
              <w:jc w:val="left"/>
              <w:rPr>
                <w:rFonts w:hint="eastAsia" w:ascii="宋体" w:hAnsi="宋体" w:cs="宋体"/>
                <w:b/>
                <w:bCs/>
                <w:sz w:val="24"/>
                <w:szCs w:val="24"/>
              </w:rPr>
            </w:pPr>
            <w:r>
              <w:rPr>
                <w:rFonts w:hint="eastAsia" w:ascii="宋体" w:hAnsi="宋体" w:cs="宋体"/>
                <w:sz w:val="24"/>
                <w:szCs w:val="24"/>
              </w:rPr>
              <w:t>项目负责人（9分）</w:t>
            </w:r>
          </w:p>
        </w:tc>
        <w:tc>
          <w:tcPr>
            <w:tcW w:w="7983" w:type="dxa"/>
            <w:tcBorders>
              <w:top w:val="single" w:color="auto" w:sz="4" w:space="0"/>
              <w:left w:val="single" w:color="auto" w:sz="4" w:space="0"/>
              <w:bottom w:val="single" w:color="auto" w:sz="4" w:space="0"/>
              <w:right w:val="single" w:color="auto" w:sz="4" w:space="0"/>
            </w:tcBorders>
            <w:vAlign w:val="center"/>
          </w:tcPr>
          <w:p w14:paraId="63AAC0B6">
            <w:pPr>
              <w:widowControl/>
              <w:spacing w:line="360" w:lineRule="auto"/>
              <w:jc w:val="left"/>
              <w:rPr>
                <w:rFonts w:hint="eastAsia" w:ascii="宋体" w:hAnsi="宋体" w:cs="宋体"/>
                <w:sz w:val="24"/>
                <w:szCs w:val="24"/>
              </w:rPr>
            </w:pPr>
            <w:r>
              <w:rPr>
                <w:rFonts w:hint="eastAsia" w:ascii="宋体" w:hAnsi="宋体" w:cs="宋体"/>
                <w:sz w:val="24"/>
                <w:szCs w:val="24"/>
              </w:rPr>
              <w:t>本项目需提供1名项目负责人。</w:t>
            </w:r>
          </w:p>
          <w:p w14:paraId="05DA9934">
            <w:pPr>
              <w:widowControl/>
              <w:spacing w:line="360" w:lineRule="auto"/>
              <w:jc w:val="left"/>
              <w:rPr>
                <w:rFonts w:hint="eastAsia" w:ascii="宋体" w:hAnsi="宋体" w:cs="宋体"/>
                <w:sz w:val="24"/>
                <w:szCs w:val="24"/>
              </w:rPr>
            </w:pPr>
            <w:r>
              <w:rPr>
                <w:rFonts w:hint="eastAsia" w:ascii="宋体" w:hAnsi="宋体" w:cs="宋体"/>
                <w:sz w:val="24"/>
                <w:szCs w:val="24"/>
              </w:rPr>
              <w:t>1、项目负责人具备环保类高级</w:t>
            </w:r>
            <w:r>
              <w:rPr>
                <w:rFonts w:hint="eastAsia" w:ascii="宋体" w:hAnsi="宋体" w:cs="宋体"/>
                <w:sz w:val="24"/>
                <w:szCs w:val="24"/>
                <w:lang w:val="en-US" w:eastAsia="zh-CN"/>
              </w:rPr>
              <w:t>及以上</w:t>
            </w:r>
            <w:r>
              <w:rPr>
                <w:rFonts w:hint="eastAsia" w:ascii="宋体" w:hAnsi="宋体" w:cs="宋体"/>
                <w:sz w:val="24"/>
                <w:szCs w:val="24"/>
              </w:rPr>
              <w:t>工程师职称的得3分</w:t>
            </w:r>
            <w:r>
              <w:rPr>
                <w:rFonts w:hint="eastAsia" w:ascii="宋体" w:hAnsi="宋体" w:cs="宋体"/>
                <w:sz w:val="24"/>
                <w:szCs w:val="24"/>
                <w:lang w:eastAsia="zh-CN"/>
              </w:rPr>
              <w:t>；</w:t>
            </w:r>
            <w:r>
              <w:rPr>
                <w:rFonts w:hint="eastAsia" w:ascii="宋体" w:hAnsi="宋体" w:cs="宋体"/>
                <w:sz w:val="24"/>
                <w:szCs w:val="24"/>
              </w:rPr>
              <w:t>具备环保类中级</w:t>
            </w:r>
            <w:r>
              <w:rPr>
                <w:rFonts w:hint="eastAsia" w:ascii="宋体" w:hAnsi="宋体" w:cs="宋体"/>
                <w:sz w:val="24"/>
                <w:szCs w:val="24"/>
                <w:lang w:val="en-US" w:eastAsia="zh-CN"/>
              </w:rPr>
              <w:t>及以上</w:t>
            </w:r>
            <w:r>
              <w:rPr>
                <w:rFonts w:hint="eastAsia" w:ascii="宋体" w:hAnsi="宋体" w:cs="宋体"/>
                <w:sz w:val="24"/>
                <w:szCs w:val="24"/>
              </w:rPr>
              <w:t>工程师职称的得2分；</w:t>
            </w:r>
          </w:p>
          <w:p w14:paraId="3363C7C4">
            <w:pPr>
              <w:widowControl/>
              <w:spacing w:line="360" w:lineRule="auto"/>
              <w:jc w:val="left"/>
              <w:rPr>
                <w:rFonts w:hint="eastAsia" w:ascii="宋体" w:hAnsi="宋体" w:cs="宋体"/>
                <w:sz w:val="24"/>
                <w:szCs w:val="24"/>
              </w:rPr>
            </w:pPr>
            <w:r>
              <w:rPr>
                <w:rFonts w:hint="eastAsia" w:ascii="宋体" w:hAnsi="宋体" w:cs="宋体"/>
                <w:sz w:val="24"/>
                <w:szCs w:val="24"/>
              </w:rPr>
              <w:t>2、项目负责人具备注册环保工程师的，得3分；</w:t>
            </w:r>
          </w:p>
          <w:p w14:paraId="433608C9">
            <w:pPr>
              <w:widowControl/>
              <w:spacing w:line="360" w:lineRule="auto"/>
              <w:jc w:val="left"/>
              <w:rPr>
                <w:rFonts w:hint="eastAsia" w:ascii="宋体" w:hAnsi="宋体" w:cs="宋体"/>
                <w:sz w:val="24"/>
                <w:szCs w:val="24"/>
              </w:rPr>
            </w:pPr>
            <w:r>
              <w:rPr>
                <w:rFonts w:hint="eastAsia" w:ascii="宋体" w:hAnsi="宋体" w:cs="宋体"/>
                <w:sz w:val="24"/>
                <w:szCs w:val="24"/>
              </w:rPr>
              <w:t>3、项目负责人具备注册环境影响评价工程师，得3分。</w:t>
            </w:r>
          </w:p>
          <w:p w14:paraId="5EA12CFE">
            <w:pPr>
              <w:widowControl/>
              <w:spacing w:line="360" w:lineRule="auto"/>
              <w:jc w:val="left"/>
              <w:rPr>
                <w:rFonts w:hint="eastAsia" w:ascii="宋体" w:hAnsi="宋体" w:cs="宋体"/>
                <w:sz w:val="24"/>
                <w:szCs w:val="24"/>
              </w:rPr>
            </w:pPr>
            <w:r>
              <w:rPr>
                <w:rFonts w:hint="eastAsia" w:ascii="宋体" w:hAnsi="宋体" w:cs="宋体"/>
                <w:sz w:val="24"/>
                <w:szCs w:val="24"/>
              </w:rPr>
              <w:t>注：须提供项目负责人相关证书复印件并加盖单位公章，否则不得分。</w:t>
            </w:r>
          </w:p>
        </w:tc>
      </w:tr>
      <w:tr w14:paraId="3C2A9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8" w:hRule="atLeast"/>
          <w:jc w:val="center"/>
        </w:trPr>
        <w:tc>
          <w:tcPr>
            <w:tcW w:w="423" w:type="dxa"/>
            <w:tcBorders>
              <w:bottom w:val="single" w:color="auto" w:sz="4" w:space="0"/>
              <w:right w:val="single" w:color="auto" w:sz="4" w:space="0"/>
            </w:tcBorders>
            <w:vAlign w:val="center"/>
          </w:tcPr>
          <w:p w14:paraId="1DE9D2BB">
            <w:pPr>
              <w:widowControl/>
              <w:spacing w:line="360" w:lineRule="auto"/>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735" w:type="dxa"/>
            <w:vMerge w:val="continue"/>
            <w:tcBorders>
              <w:bottom w:val="single" w:color="auto" w:sz="4" w:space="0"/>
              <w:right w:val="single" w:color="auto" w:sz="4" w:space="0"/>
            </w:tcBorders>
            <w:vAlign w:val="center"/>
          </w:tcPr>
          <w:p w14:paraId="2E461611">
            <w:pPr>
              <w:widowControl/>
              <w:spacing w:line="360" w:lineRule="auto"/>
              <w:jc w:val="left"/>
              <w:rPr>
                <w:rFonts w:hint="eastAsia" w:ascii="宋体" w:hAnsi="宋体" w:cs="宋体"/>
                <w:sz w:val="24"/>
                <w:szCs w:val="24"/>
              </w:rPr>
            </w:pPr>
          </w:p>
        </w:tc>
        <w:tc>
          <w:tcPr>
            <w:tcW w:w="1395" w:type="dxa"/>
            <w:tcBorders>
              <w:top w:val="single" w:color="auto" w:sz="4" w:space="0"/>
              <w:left w:val="single" w:color="auto" w:sz="4" w:space="0"/>
              <w:bottom w:val="single" w:color="auto" w:sz="4" w:space="0"/>
              <w:right w:val="single" w:color="auto" w:sz="4" w:space="0"/>
            </w:tcBorders>
            <w:vAlign w:val="center"/>
          </w:tcPr>
          <w:p w14:paraId="5B93BABA">
            <w:pPr>
              <w:widowControl/>
              <w:adjustRightInd w:val="0"/>
              <w:snapToGrid w:val="0"/>
              <w:jc w:val="left"/>
              <w:rPr>
                <w:rFonts w:hint="eastAsia" w:ascii="宋体" w:hAnsi="宋体" w:cs="宋体"/>
                <w:sz w:val="24"/>
                <w:szCs w:val="24"/>
              </w:rPr>
            </w:pPr>
            <w:r>
              <w:rPr>
                <w:rFonts w:hint="eastAsia" w:ascii="宋体" w:hAnsi="宋体" w:cs="宋体"/>
                <w:sz w:val="24"/>
                <w:szCs w:val="24"/>
              </w:rPr>
              <w:t>项目组成员（1</w:t>
            </w:r>
            <w:r>
              <w:rPr>
                <w:rFonts w:hint="eastAsia" w:ascii="宋体" w:hAnsi="宋体" w:cs="宋体"/>
                <w:sz w:val="24"/>
                <w:szCs w:val="24"/>
                <w:lang w:val="en-US" w:eastAsia="zh-CN"/>
              </w:rPr>
              <w:t>0</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0865F641">
            <w:pPr>
              <w:widowControl/>
              <w:spacing w:line="360" w:lineRule="auto"/>
              <w:jc w:val="left"/>
              <w:rPr>
                <w:rFonts w:hint="eastAsia" w:ascii="宋体" w:hAnsi="宋体" w:cs="宋体"/>
                <w:sz w:val="24"/>
                <w:szCs w:val="24"/>
              </w:rPr>
            </w:pPr>
            <w:r>
              <w:rPr>
                <w:rFonts w:hint="eastAsia" w:ascii="宋体" w:hAnsi="宋体" w:cs="宋体"/>
                <w:sz w:val="24"/>
                <w:szCs w:val="24"/>
              </w:rPr>
              <w:t>1、项目组成员中（除项目负责人外）有</w:t>
            </w:r>
            <w:r>
              <w:rPr>
                <w:rFonts w:hint="eastAsia" w:ascii="微软雅黑" w:hAnsi="微软雅黑" w:eastAsia="微软雅黑" w:cs="微软雅黑"/>
                <w:sz w:val="24"/>
                <w:szCs w:val="24"/>
              </w:rPr>
              <w:t>&gt;</w:t>
            </w:r>
            <w:r>
              <w:rPr>
                <w:rFonts w:hint="eastAsia" w:ascii="宋体" w:hAnsi="宋体" w:cs="宋体"/>
                <w:sz w:val="24"/>
                <w:szCs w:val="24"/>
              </w:rPr>
              <w:t>3名环保类高级</w:t>
            </w:r>
            <w:r>
              <w:rPr>
                <w:rFonts w:hint="eastAsia" w:ascii="宋体" w:hAnsi="宋体" w:cs="宋体"/>
                <w:sz w:val="24"/>
                <w:szCs w:val="24"/>
                <w:lang w:val="en-US" w:eastAsia="zh-CN"/>
              </w:rPr>
              <w:t>及以上</w:t>
            </w:r>
            <w:r>
              <w:rPr>
                <w:rFonts w:hint="eastAsia" w:ascii="宋体" w:hAnsi="宋体" w:cs="宋体"/>
                <w:sz w:val="24"/>
                <w:szCs w:val="24"/>
              </w:rPr>
              <w:t>工程师，得</w:t>
            </w:r>
            <w:r>
              <w:rPr>
                <w:rFonts w:hint="eastAsia" w:ascii="宋体" w:hAnsi="宋体" w:cs="宋体"/>
                <w:sz w:val="24"/>
                <w:szCs w:val="24"/>
                <w:lang w:val="en-US" w:eastAsia="zh-CN"/>
              </w:rPr>
              <w:t>4</w:t>
            </w:r>
            <w:r>
              <w:rPr>
                <w:rFonts w:hint="eastAsia" w:ascii="宋体" w:hAnsi="宋体" w:cs="宋体"/>
                <w:sz w:val="24"/>
                <w:szCs w:val="24"/>
              </w:rPr>
              <w:t>分；项目组成员中有</w:t>
            </w:r>
            <w:r>
              <w:rPr>
                <w:rFonts w:hint="eastAsia" w:ascii="微软雅黑" w:hAnsi="微软雅黑" w:eastAsia="微软雅黑" w:cs="微软雅黑"/>
                <w:sz w:val="24"/>
                <w:szCs w:val="24"/>
              </w:rPr>
              <w:t>&gt;</w:t>
            </w:r>
            <w:r>
              <w:rPr>
                <w:rFonts w:hint="eastAsia" w:ascii="宋体" w:hAnsi="宋体" w:cs="宋体"/>
                <w:sz w:val="24"/>
                <w:szCs w:val="24"/>
              </w:rPr>
              <w:t>2名环保类高级</w:t>
            </w:r>
            <w:r>
              <w:rPr>
                <w:rFonts w:hint="eastAsia" w:ascii="宋体" w:hAnsi="宋体" w:cs="宋体"/>
                <w:sz w:val="24"/>
                <w:szCs w:val="24"/>
                <w:lang w:val="en-US" w:eastAsia="zh-CN"/>
              </w:rPr>
              <w:t>及以上</w:t>
            </w:r>
            <w:r>
              <w:rPr>
                <w:rFonts w:hint="eastAsia" w:ascii="宋体" w:hAnsi="宋体" w:cs="宋体"/>
                <w:sz w:val="24"/>
                <w:szCs w:val="24"/>
              </w:rPr>
              <w:t>工程师，得3分；</w:t>
            </w:r>
            <w:r>
              <w:rPr>
                <w:rFonts w:hint="eastAsia" w:ascii="微软雅黑" w:hAnsi="微软雅黑" w:eastAsia="微软雅黑" w:cs="微软雅黑"/>
                <w:sz w:val="24"/>
                <w:szCs w:val="24"/>
              </w:rPr>
              <w:t>&gt;</w:t>
            </w:r>
            <w:r>
              <w:rPr>
                <w:rFonts w:hint="eastAsia" w:ascii="宋体" w:hAnsi="宋体" w:cs="宋体"/>
                <w:sz w:val="24"/>
                <w:szCs w:val="24"/>
              </w:rPr>
              <w:t>1名环保类高级</w:t>
            </w:r>
            <w:r>
              <w:rPr>
                <w:rFonts w:hint="eastAsia" w:ascii="宋体" w:hAnsi="宋体" w:cs="宋体"/>
                <w:sz w:val="24"/>
                <w:szCs w:val="24"/>
                <w:lang w:val="en-US" w:eastAsia="zh-CN"/>
              </w:rPr>
              <w:t>及以上</w:t>
            </w:r>
            <w:r>
              <w:rPr>
                <w:rFonts w:hint="eastAsia" w:ascii="宋体" w:hAnsi="宋体" w:cs="宋体"/>
                <w:sz w:val="24"/>
                <w:szCs w:val="24"/>
              </w:rPr>
              <w:t>工程师得</w:t>
            </w:r>
            <w:r>
              <w:rPr>
                <w:rFonts w:hint="eastAsia" w:ascii="宋体" w:hAnsi="宋体" w:cs="宋体"/>
                <w:sz w:val="24"/>
                <w:szCs w:val="24"/>
                <w:lang w:val="en-US" w:eastAsia="zh-CN"/>
              </w:rPr>
              <w:t>2</w:t>
            </w:r>
            <w:r>
              <w:rPr>
                <w:rFonts w:hint="eastAsia" w:ascii="宋体" w:hAnsi="宋体" w:cs="宋体"/>
                <w:sz w:val="24"/>
                <w:szCs w:val="24"/>
              </w:rPr>
              <w:t>分，</w:t>
            </w:r>
            <w:r>
              <w:rPr>
                <w:rFonts w:hint="eastAsia" w:ascii="宋体" w:hAnsi="宋体" w:cs="宋体"/>
                <w:sz w:val="24"/>
                <w:szCs w:val="24"/>
                <w:lang w:val="en-US" w:eastAsia="zh-CN"/>
              </w:rPr>
              <w:t>其余</w:t>
            </w:r>
            <w:r>
              <w:rPr>
                <w:rFonts w:hint="eastAsia" w:ascii="宋体" w:hAnsi="宋体" w:cs="宋体"/>
                <w:sz w:val="24"/>
                <w:szCs w:val="24"/>
              </w:rPr>
              <w:t>不得分。</w:t>
            </w:r>
          </w:p>
          <w:p w14:paraId="3DEBE3A2">
            <w:pPr>
              <w:widowControl/>
              <w:spacing w:line="360" w:lineRule="auto"/>
              <w:jc w:val="left"/>
              <w:rPr>
                <w:rFonts w:hint="eastAsia" w:ascii="宋体" w:hAnsi="宋体" w:cs="宋体"/>
                <w:sz w:val="24"/>
                <w:szCs w:val="24"/>
              </w:rPr>
            </w:pPr>
            <w:r>
              <w:rPr>
                <w:rFonts w:hint="eastAsia" w:ascii="宋体" w:hAnsi="宋体" w:cs="宋体"/>
                <w:sz w:val="24"/>
                <w:szCs w:val="24"/>
              </w:rPr>
              <w:t>2、项目组成员（除项目负责人外）具备注册环保工程师或者注册环境影响评价工程师，3名以上得</w:t>
            </w:r>
            <w:r>
              <w:rPr>
                <w:rFonts w:hint="eastAsia" w:ascii="宋体" w:hAnsi="宋体" w:cs="宋体"/>
                <w:sz w:val="24"/>
                <w:szCs w:val="24"/>
                <w:lang w:val="en-US" w:eastAsia="zh-CN"/>
              </w:rPr>
              <w:t>4</w:t>
            </w:r>
            <w:r>
              <w:rPr>
                <w:rFonts w:hint="eastAsia" w:ascii="宋体" w:hAnsi="宋体" w:cs="宋体"/>
                <w:sz w:val="24"/>
                <w:szCs w:val="24"/>
              </w:rPr>
              <w:t>分，2名以上成员得3分，1名以上成员得</w:t>
            </w:r>
            <w:r>
              <w:rPr>
                <w:rFonts w:hint="eastAsia" w:ascii="宋体" w:hAnsi="宋体" w:cs="宋体"/>
                <w:sz w:val="24"/>
                <w:szCs w:val="24"/>
                <w:lang w:val="en-US" w:eastAsia="zh-CN"/>
              </w:rPr>
              <w:t>2</w:t>
            </w:r>
            <w:r>
              <w:rPr>
                <w:rFonts w:hint="eastAsia" w:ascii="宋体" w:hAnsi="宋体" w:cs="宋体"/>
                <w:sz w:val="24"/>
                <w:szCs w:val="24"/>
              </w:rPr>
              <w:t>分，</w:t>
            </w:r>
            <w:r>
              <w:rPr>
                <w:rFonts w:hint="eastAsia" w:ascii="宋体" w:hAnsi="宋体" w:cs="宋体"/>
                <w:sz w:val="24"/>
                <w:szCs w:val="24"/>
                <w:lang w:val="en-US" w:eastAsia="zh-CN"/>
              </w:rPr>
              <w:t>其余</w:t>
            </w:r>
            <w:r>
              <w:rPr>
                <w:rFonts w:hint="eastAsia" w:ascii="宋体" w:hAnsi="宋体" w:cs="宋体"/>
                <w:sz w:val="24"/>
                <w:szCs w:val="24"/>
              </w:rPr>
              <w:t>不得分。</w:t>
            </w:r>
          </w:p>
          <w:p w14:paraId="134270F8">
            <w:pPr>
              <w:widowControl/>
              <w:spacing w:line="360" w:lineRule="auto"/>
              <w:jc w:val="left"/>
              <w:rPr>
                <w:rFonts w:hint="eastAsia" w:ascii="宋体" w:hAnsi="宋体" w:cs="宋体"/>
                <w:sz w:val="24"/>
                <w:szCs w:val="24"/>
              </w:rPr>
            </w:pPr>
            <w:r>
              <w:rPr>
                <w:rFonts w:hint="eastAsia" w:ascii="宋体" w:hAnsi="宋体" w:cs="宋体"/>
                <w:sz w:val="24"/>
                <w:szCs w:val="24"/>
              </w:rPr>
              <w:t>3、项目组成员获得市级及以上司法</w:t>
            </w:r>
            <w:r>
              <w:rPr>
                <w:rFonts w:hint="eastAsia" w:ascii="宋体" w:hAnsi="宋体" w:cs="宋体"/>
                <w:sz w:val="24"/>
                <w:szCs w:val="24"/>
                <w:lang w:val="en-US" w:eastAsia="zh-CN"/>
              </w:rPr>
              <w:t>部门</w:t>
            </w:r>
            <w:r>
              <w:rPr>
                <w:rFonts w:hint="eastAsia" w:ascii="宋体" w:hAnsi="宋体" w:cs="宋体"/>
                <w:sz w:val="24"/>
                <w:szCs w:val="24"/>
              </w:rPr>
              <w:t>颁发司法鉴定人荣誉奖项得</w:t>
            </w:r>
            <w:r>
              <w:rPr>
                <w:rFonts w:hint="eastAsia" w:ascii="宋体" w:hAnsi="宋体" w:cs="宋体"/>
                <w:sz w:val="24"/>
                <w:szCs w:val="24"/>
                <w:lang w:val="en-US" w:eastAsia="zh-CN"/>
              </w:rPr>
              <w:t>2</w:t>
            </w:r>
            <w:r>
              <w:rPr>
                <w:rFonts w:hint="eastAsia" w:ascii="宋体" w:hAnsi="宋体" w:cs="宋体"/>
                <w:sz w:val="24"/>
                <w:szCs w:val="24"/>
              </w:rPr>
              <w:t>分，未提供不得分；</w:t>
            </w:r>
          </w:p>
          <w:p w14:paraId="7C89CFBE">
            <w:pPr>
              <w:widowControl/>
              <w:spacing w:line="360" w:lineRule="auto"/>
              <w:jc w:val="left"/>
              <w:rPr>
                <w:rFonts w:hint="eastAsia" w:ascii="宋体" w:hAnsi="宋体" w:cs="宋体"/>
                <w:sz w:val="24"/>
                <w:szCs w:val="24"/>
              </w:rPr>
            </w:pPr>
            <w:r>
              <w:rPr>
                <w:rFonts w:hint="eastAsia" w:ascii="宋体" w:hAnsi="宋体" w:cs="宋体"/>
                <w:b/>
                <w:bCs/>
                <w:sz w:val="24"/>
                <w:szCs w:val="24"/>
              </w:rPr>
              <w:t>注：须提供项目组成员相关证书或荣誉复印件并加盖单位公章，否则不得分。</w:t>
            </w:r>
          </w:p>
        </w:tc>
      </w:tr>
      <w:tr w14:paraId="31511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2" w:hRule="atLeast"/>
          <w:jc w:val="center"/>
        </w:trPr>
        <w:tc>
          <w:tcPr>
            <w:tcW w:w="423" w:type="dxa"/>
            <w:tcBorders>
              <w:bottom w:val="single" w:color="auto" w:sz="4" w:space="0"/>
              <w:right w:val="single" w:color="auto" w:sz="4" w:space="0"/>
            </w:tcBorders>
            <w:vAlign w:val="center"/>
          </w:tcPr>
          <w:p w14:paraId="487DEDBE">
            <w:pPr>
              <w:widowControl/>
              <w:spacing w:line="360" w:lineRule="auto"/>
              <w:jc w:val="left"/>
              <w:rPr>
                <w:rFonts w:hint="eastAsia" w:ascii="宋体" w:hAnsi="宋体" w:cs="宋体"/>
                <w:sz w:val="24"/>
                <w:szCs w:val="24"/>
              </w:rPr>
            </w:pPr>
            <w:r>
              <w:rPr>
                <w:rFonts w:hint="eastAsia" w:ascii="宋体" w:hAnsi="宋体" w:cs="宋体"/>
                <w:sz w:val="24"/>
                <w:szCs w:val="24"/>
              </w:rPr>
              <w:t>5</w:t>
            </w:r>
          </w:p>
        </w:tc>
        <w:tc>
          <w:tcPr>
            <w:tcW w:w="735" w:type="dxa"/>
            <w:tcBorders>
              <w:bottom w:val="single" w:color="auto" w:sz="4" w:space="0"/>
              <w:right w:val="single" w:color="auto" w:sz="4" w:space="0"/>
            </w:tcBorders>
            <w:vAlign w:val="center"/>
          </w:tcPr>
          <w:p w14:paraId="22166F03">
            <w:pPr>
              <w:widowControl/>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承诺</w:t>
            </w:r>
          </w:p>
        </w:tc>
        <w:tc>
          <w:tcPr>
            <w:tcW w:w="1395" w:type="dxa"/>
            <w:tcBorders>
              <w:top w:val="single" w:color="auto" w:sz="4" w:space="0"/>
              <w:left w:val="single" w:color="auto" w:sz="4" w:space="0"/>
              <w:bottom w:val="single" w:color="auto" w:sz="4" w:space="0"/>
              <w:right w:val="single" w:color="auto" w:sz="4" w:space="0"/>
            </w:tcBorders>
            <w:vAlign w:val="center"/>
          </w:tcPr>
          <w:p w14:paraId="51AD8986">
            <w:pPr>
              <w:widowControl/>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服务承诺</w:t>
            </w:r>
          </w:p>
          <w:p w14:paraId="0981C5CE">
            <w:pPr>
              <w:widowControl/>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（2分）</w:t>
            </w:r>
          </w:p>
        </w:tc>
        <w:tc>
          <w:tcPr>
            <w:tcW w:w="7983" w:type="dxa"/>
            <w:tcBorders>
              <w:top w:val="single" w:color="auto" w:sz="4" w:space="0"/>
              <w:left w:val="single" w:color="auto" w:sz="4" w:space="0"/>
              <w:bottom w:val="single" w:color="auto" w:sz="4" w:space="0"/>
              <w:right w:val="single" w:color="auto" w:sz="4" w:space="0"/>
            </w:tcBorders>
            <w:vAlign w:val="center"/>
          </w:tcPr>
          <w:p w14:paraId="528E276F">
            <w:pPr>
              <w:widowControl/>
              <w:spacing w:line="360" w:lineRule="auto"/>
              <w:jc w:val="left"/>
              <w:rPr>
                <w:rFonts w:hint="eastAsia" w:ascii="宋体" w:hAnsi="宋体" w:cs="宋体"/>
                <w:sz w:val="24"/>
                <w:szCs w:val="24"/>
              </w:rPr>
            </w:pPr>
            <w:r>
              <w:rPr>
                <w:rFonts w:hint="eastAsia" w:ascii="宋体" w:hAnsi="宋体" w:cs="宋体"/>
                <w:sz w:val="24"/>
                <w:szCs w:val="24"/>
              </w:rPr>
              <w:t>投标人提供书面承诺书，承诺在中标后按时保质保量完成服务内容，不能按时保质保量完成的，扣除中标总价的5%。按要求提供承诺书的得2分，本项最高得2分。</w:t>
            </w:r>
          </w:p>
          <w:p w14:paraId="328B9E9F">
            <w:pPr>
              <w:widowControl/>
              <w:spacing w:line="360" w:lineRule="auto"/>
              <w:jc w:val="left"/>
              <w:rPr>
                <w:rFonts w:hint="eastAsia" w:ascii="宋体" w:hAnsi="宋体" w:cs="宋体"/>
                <w:sz w:val="24"/>
                <w:szCs w:val="24"/>
              </w:rPr>
            </w:pPr>
            <w:r>
              <w:rPr>
                <w:rFonts w:hint="eastAsia" w:ascii="宋体" w:hAnsi="宋体" w:cs="宋体"/>
                <w:b/>
                <w:bCs/>
                <w:sz w:val="24"/>
                <w:szCs w:val="24"/>
              </w:rPr>
              <w:t>注：须提供符合要求并加盖投标人公章的承诺函，否则不得分。</w:t>
            </w:r>
          </w:p>
        </w:tc>
      </w:tr>
      <w:tr w14:paraId="1F1395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3" w:type="dxa"/>
            <w:vMerge w:val="restart"/>
            <w:tcBorders>
              <w:right w:val="single" w:color="auto" w:sz="4" w:space="0"/>
            </w:tcBorders>
            <w:vAlign w:val="center"/>
          </w:tcPr>
          <w:p w14:paraId="0EDFA751">
            <w:pPr>
              <w:widowControl/>
              <w:spacing w:line="360" w:lineRule="auto"/>
              <w:jc w:val="left"/>
              <w:rPr>
                <w:rFonts w:hint="eastAsia" w:ascii="宋体" w:hAnsi="宋体" w:cs="宋体"/>
                <w:sz w:val="24"/>
                <w:szCs w:val="24"/>
              </w:rPr>
            </w:pPr>
            <w:r>
              <w:rPr>
                <w:rFonts w:hint="eastAsia" w:ascii="宋体" w:hAnsi="宋体" w:cs="宋体"/>
                <w:sz w:val="24"/>
                <w:szCs w:val="24"/>
              </w:rPr>
              <w:t>6</w:t>
            </w:r>
          </w:p>
        </w:tc>
        <w:tc>
          <w:tcPr>
            <w:tcW w:w="735" w:type="dxa"/>
            <w:vMerge w:val="restart"/>
            <w:tcBorders>
              <w:right w:val="single" w:color="auto" w:sz="4" w:space="0"/>
            </w:tcBorders>
            <w:vAlign w:val="center"/>
          </w:tcPr>
          <w:p w14:paraId="3522984E">
            <w:pPr>
              <w:spacing w:line="360" w:lineRule="auto"/>
              <w:jc w:val="left"/>
              <w:rPr>
                <w:rFonts w:hint="eastAsia" w:ascii="宋体" w:hAnsi="宋体" w:cs="宋体"/>
                <w:sz w:val="24"/>
                <w:szCs w:val="24"/>
              </w:rPr>
            </w:pPr>
          </w:p>
          <w:p w14:paraId="0B39C5ED"/>
          <w:p w14:paraId="426AC38E">
            <w:pPr>
              <w:widowControl/>
              <w:spacing w:line="360" w:lineRule="auto"/>
              <w:jc w:val="left"/>
              <w:rPr>
                <w:rFonts w:hint="eastAsia" w:ascii="宋体" w:hAnsi="宋体" w:cs="宋体"/>
                <w:sz w:val="24"/>
                <w:szCs w:val="24"/>
              </w:rPr>
            </w:pPr>
            <w:r>
              <w:rPr>
                <w:rFonts w:hint="eastAsia" w:ascii="宋体" w:hAnsi="宋体" w:cs="宋体"/>
                <w:sz w:val="24"/>
                <w:szCs w:val="24"/>
              </w:rPr>
              <w:t>技术方案</w:t>
            </w:r>
          </w:p>
          <w:p w14:paraId="14DCE9BE">
            <w:pPr>
              <w:widowControl/>
              <w:spacing w:line="360" w:lineRule="auto"/>
              <w:jc w:val="left"/>
            </w:pPr>
            <w:r>
              <w:rPr>
                <w:rFonts w:hint="eastAsia" w:ascii="宋体" w:hAnsi="宋体" w:cs="宋体"/>
                <w:sz w:val="24"/>
                <w:szCs w:val="24"/>
              </w:rPr>
              <w:t>（4</w:t>
            </w:r>
            <w:r>
              <w:rPr>
                <w:rFonts w:hint="eastAsia" w:ascii="宋体" w:hAnsi="宋体" w:cs="宋体"/>
                <w:sz w:val="24"/>
                <w:szCs w:val="24"/>
                <w:lang w:val="en-US" w:eastAsia="zh-CN"/>
              </w:rPr>
              <w:t>5</w:t>
            </w:r>
            <w:r>
              <w:rPr>
                <w:rFonts w:hint="eastAsia" w:ascii="宋体" w:hAnsi="宋体" w:cs="宋体"/>
                <w:sz w:val="24"/>
                <w:szCs w:val="24"/>
              </w:rPr>
              <w:t>分）</w:t>
            </w:r>
          </w:p>
        </w:tc>
        <w:tc>
          <w:tcPr>
            <w:tcW w:w="1395" w:type="dxa"/>
            <w:tcBorders>
              <w:bottom w:val="single" w:color="auto" w:sz="4" w:space="0"/>
              <w:right w:val="single" w:color="auto" w:sz="4" w:space="0"/>
            </w:tcBorders>
            <w:vAlign w:val="center"/>
          </w:tcPr>
          <w:p w14:paraId="79FFD89D">
            <w:pPr>
              <w:spacing w:line="360" w:lineRule="auto"/>
              <w:jc w:val="left"/>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项目组织实施方案（</w:t>
            </w:r>
            <w:r>
              <w:rPr>
                <w:rFonts w:hint="eastAsia" w:ascii="宋体" w:hAnsi="宋体" w:cs="宋体"/>
                <w:sz w:val="24"/>
                <w:szCs w:val="24"/>
                <w:lang w:val="en-US" w:eastAsia="zh-CN"/>
              </w:rPr>
              <w:t>6</w:t>
            </w:r>
            <w:r>
              <w:rPr>
                <w:rFonts w:hint="eastAsia" w:ascii="宋体" w:hAnsi="宋体" w:cs="宋体"/>
                <w:sz w:val="24"/>
                <w:szCs w:val="24"/>
              </w:rPr>
              <w:t>分）</w:t>
            </w:r>
          </w:p>
          <w:p w14:paraId="672600E2">
            <w:pPr>
              <w:pStyle w:val="16"/>
              <w:spacing w:line="360" w:lineRule="auto"/>
              <w:jc w:val="left"/>
              <w:rPr>
                <w:rFonts w:hint="eastAsia" w:ascii="宋体" w:hAnsi="宋体" w:cs="宋体"/>
                <w:sz w:val="24"/>
                <w:szCs w:val="24"/>
              </w:rPr>
            </w:pPr>
          </w:p>
        </w:tc>
        <w:tc>
          <w:tcPr>
            <w:tcW w:w="7983" w:type="dxa"/>
            <w:tcBorders>
              <w:top w:val="single" w:color="auto" w:sz="4" w:space="0"/>
              <w:left w:val="single" w:color="auto" w:sz="4" w:space="0"/>
              <w:bottom w:val="single" w:color="auto" w:sz="4" w:space="0"/>
              <w:right w:val="single" w:color="auto" w:sz="4" w:space="0"/>
            </w:tcBorders>
            <w:vAlign w:val="center"/>
          </w:tcPr>
          <w:p w14:paraId="37FCD610">
            <w:pPr>
              <w:widowControl/>
              <w:spacing w:line="360" w:lineRule="auto"/>
              <w:jc w:val="left"/>
              <w:rPr>
                <w:rFonts w:hint="eastAsia" w:ascii="宋体" w:hAnsi="宋体" w:cs="宋体"/>
                <w:sz w:val="24"/>
                <w:szCs w:val="24"/>
              </w:rPr>
            </w:pPr>
            <w:r>
              <w:rPr>
                <w:rFonts w:hint="eastAsia" w:ascii="宋体" w:hAnsi="宋体" w:cs="宋体"/>
                <w:sz w:val="24"/>
                <w:szCs w:val="24"/>
              </w:rPr>
              <w:t>项目组织实施方案应切实可行，工作流程合理，根据</w:t>
            </w:r>
            <w:r>
              <w:rPr>
                <w:rFonts w:hint="eastAsia" w:ascii="宋体" w:hAnsi="宋体" w:cs="宋体"/>
                <w:sz w:val="24"/>
                <w:szCs w:val="24"/>
                <w:lang w:eastAsia="zh-CN"/>
              </w:rPr>
              <w:t>招标</w:t>
            </w:r>
            <w:r>
              <w:rPr>
                <w:rFonts w:hint="eastAsia" w:ascii="宋体" w:hAnsi="宋体" w:cs="宋体"/>
                <w:sz w:val="24"/>
                <w:szCs w:val="24"/>
              </w:rPr>
              <w:t>文件及各供应商响应文件的相关内容逐项进行打分。</w:t>
            </w:r>
          </w:p>
          <w:p w14:paraId="79ACF63B">
            <w:pPr>
              <w:widowControl/>
              <w:spacing w:line="360" w:lineRule="auto"/>
              <w:jc w:val="left"/>
              <w:rPr>
                <w:rFonts w:hint="eastAsia" w:ascii="宋体" w:hAnsi="宋体" w:cs="宋体"/>
                <w:sz w:val="24"/>
                <w:szCs w:val="24"/>
              </w:rPr>
            </w:pPr>
            <w:r>
              <w:rPr>
                <w:rFonts w:hint="eastAsia" w:ascii="宋体" w:hAnsi="宋体" w:cs="宋体"/>
                <w:sz w:val="24"/>
                <w:szCs w:val="24"/>
              </w:rPr>
              <w:t>1、项目组织实施方案详细，表述完整、可操作性强，能够满足采购需求得</w:t>
            </w:r>
            <w:r>
              <w:rPr>
                <w:rFonts w:hint="eastAsia" w:ascii="宋体" w:hAnsi="宋体" w:cs="宋体"/>
                <w:sz w:val="24"/>
                <w:szCs w:val="24"/>
                <w:lang w:val="en-US" w:eastAsia="zh-CN"/>
              </w:rPr>
              <w:t>6</w:t>
            </w:r>
            <w:r>
              <w:rPr>
                <w:rFonts w:hint="eastAsia" w:ascii="宋体" w:hAnsi="宋体" w:cs="宋体"/>
                <w:sz w:val="24"/>
                <w:szCs w:val="24"/>
              </w:rPr>
              <w:t>分；</w:t>
            </w:r>
          </w:p>
          <w:p w14:paraId="7B6F2E24">
            <w:pPr>
              <w:widowControl/>
              <w:spacing w:line="360" w:lineRule="auto"/>
              <w:jc w:val="left"/>
              <w:rPr>
                <w:rFonts w:hint="eastAsia" w:ascii="宋体" w:hAnsi="宋体" w:cs="宋体"/>
                <w:sz w:val="24"/>
                <w:szCs w:val="24"/>
              </w:rPr>
            </w:pPr>
            <w:r>
              <w:rPr>
                <w:rFonts w:hint="eastAsia" w:ascii="宋体" w:hAnsi="宋体" w:cs="宋体"/>
                <w:sz w:val="24"/>
                <w:szCs w:val="24"/>
              </w:rPr>
              <w:t>2、项目组织实施方案通用，表述略模糊，具有一定的可操作性，基本满足采购需求得</w:t>
            </w:r>
            <w:r>
              <w:rPr>
                <w:rFonts w:hint="eastAsia" w:ascii="宋体" w:hAnsi="宋体" w:cs="宋体"/>
                <w:sz w:val="24"/>
                <w:szCs w:val="24"/>
                <w:lang w:val="en-US" w:eastAsia="zh-CN"/>
              </w:rPr>
              <w:t>4</w:t>
            </w:r>
            <w:r>
              <w:rPr>
                <w:rFonts w:hint="eastAsia" w:ascii="宋体" w:hAnsi="宋体" w:cs="宋体"/>
                <w:sz w:val="24"/>
                <w:szCs w:val="24"/>
              </w:rPr>
              <w:t>分；</w:t>
            </w:r>
          </w:p>
          <w:p w14:paraId="734A0CE4">
            <w:pPr>
              <w:widowControl/>
              <w:spacing w:line="360" w:lineRule="auto"/>
              <w:jc w:val="left"/>
              <w:rPr>
                <w:rFonts w:hint="eastAsia" w:ascii="宋体" w:hAnsi="宋体" w:cs="宋体"/>
                <w:sz w:val="24"/>
                <w:szCs w:val="24"/>
              </w:rPr>
            </w:pPr>
            <w:r>
              <w:rPr>
                <w:rFonts w:hint="eastAsia" w:ascii="宋体" w:hAnsi="宋体" w:cs="宋体"/>
                <w:sz w:val="24"/>
                <w:szCs w:val="24"/>
              </w:rPr>
              <w:t>3、项目组织实施方案简单一般，表述模糊，可操作性较差的得</w:t>
            </w:r>
            <w:r>
              <w:rPr>
                <w:rFonts w:hint="eastAsia" w:ascii="宋体" w:hAnsi="宋体" w:cs="宋体"/>
                <w:sz w:val="24"/>
                <w:szCs w:val="24"/>
                <w:lang w:val="en-US" w:eastAsia="zh-CN"/>
              </w:rPr>
              <w:t>2</w:t>
            </w:r>
            <w:r>
              <w:rPr>
                <w:rFonts w:hint="eastAsia" w:ascii="宋体" w:hAnsi="宋体" w:cs="宋体"/>
                <w:sz w:val="24"/>
                <w:szCs w:val="24"/>
              </w:rPr>
              <w:t>分；</w:t>
            </w:r>
          </w:p>
          <w:p w14:paraId="7ADD83BB">
            <w:pPr>
              <w:widowControl/>
              <w:spacing w:line="360" w:lineRule="auto"/>
              <w:jc w:val="left"/>
              <w:rPr>
                <w:rFonts w:hint="eastAsia" w:ascii="宋体" w:hAnsi="宋体" w:cs="宋体"/>
                <w:sz w:val="24"/>
                <w:szCs w:val="24"/>
              </w:rPr>
            </w:pPr>
            <w:r>
              <w:rPr>
                <w:rFonts w:hint="eastAsia" w:ascii="宋体" w:hAnsi="宋体" w:cs="宋体"/>
                <w:sz w:val="24"/>
                <w:szCs w:val="24"/>
              </w:rPr>
              <w:t>未见阐述不得分。</w:t>
            </w:r>
          </w:p>
        </w:tc>
      </w:tr>
      <w:tr w14:paraId="30E50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75" w:hRule="atLeast"/>
          <w:jc w:val="center"/>
        </w:trPr>
        <w:tc>
          <w:tcPr>
            <w:tcW w:w="423" w:type="dxa"/>
            <w:vMerge w:val="continue"/>
            <w:tcBorders>
              <w:right w:val="single" w:color="auto" w:sz="4" w:space="0"/>
            </w:tcBorders>
            <w:vAlign w:val="center"/>
          </w:tcPr>
          <w:p w14:paraId="4D5526E9">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56C29F98">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03717A17">
            <w:pPr>
              <w:widowControl/>
              <w:spacing w:line="360" w:lineRule="auto"/>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人员配备及职责分工方案</w:t>
            </w:r>
          </w:p>
          <w:p w14:paraId="33657F1A">
            <w:pPr>
              <w:widowControl/>
              <w:spacing w:line="360" w:lineRule="auto"/>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57C9CB81">
            <w:pPr>
              <w:widowControl/>
              <w:spacing w:line="360" w:lineRule="auto"/>
              <w:jc w:val="left"/>
              <w:rPr>
                <w:rFonts w:hint="eastAsia" w:ascii="宋体" w:hAnsi="宋体" w:cs="宋体"/>
                <w:sz w:val="24"/>
                <w:szCs w:val="24"/>
              </w:rPr>
            </w:pPr>
            <w:r>
              <w:rPr>
                <w:rFonts w:hint="eastAsia" w:ascii="宋体" w:hAnsi="宋体" w:cs="宋体"/>
                <w:sz w:val="24"/>
                <w:szCs w:val="24"/>
              </w:rPr>
              <w:t xml:space="preserve">人员配备及职责分工方案明确配备团队所有成员，对人员进行职责划分。 </w:t>
            </w:r>
          </w:p>
          <w:p w14:paraId="73910381">
            <w:pPr>
              <w:widowControl/>
              <w:spacing w:line="360" w:lineRule="auto"/>
              <w:jc w:val="left"/>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人员配备及职责分工方案全部内容且完善详细，满足项目需求：</w:t>
            </w:r>
            <w:r>
              <w:rPr>
                <w:rFonts w:hint="eastAsia" w:ascii="宋体" w:hAnsi="宋体" w:cs="宋体"/>
                <w:sz w:val="24"/>
                <w:szCs w:val="24"/>
                <w:lang w:val="en-US" w:eastAsia="zh-CN"/>
              </w:rPr>
              <w:t>6</w:t>
            </w:r>
            <w:r>
              <w:rPr>
                <w:rFonts w:hint="eastAsia" w:ascii="宋体" w:hAnsi="宋体" w:cs="宋体"/>
                <w:sz w:val="24"/>
                <w:szCs w:val="24"/>
              </w:rPr>
              <w:t xml:space="preserve">分； </w:t>
            </w:r>
          </w:p>
          <w:p w14:paraId="1D405E6E">
            <w:pPr>
              <w:widowControl/>
              <w:spacing w:line="360" w:lineRule="auto"/>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人员配备及职责分工方案比较合理，基本满足需求内容：</w:t>
            </w:r>
            <w:r>
              <w:rPr>
                <w:rFonts w:hint="eastAsia" w:ascii="宋体" w:hAnsi="宋体" w:cs="宋体"/>
                <w:sz w:val="24"/>
                <w:szCs w:val="24"/>
                <w:lang w:val="en-US" w:eastAsia="zh-CN"/>
              </w:rPr>
              <w:t>4</w:t>
            </w:r>
            <w:r>
              <w:rPr>
                <w:rFonts w:hint="eastAsia" w:ascii="宋体" w:hAnsi="宋体" w:cs="宋体"/>
                <w:sz w:val="24"/>
                <w:szCs w:val="24"/>
              </w:rPr>
              <w:t xml:space="preserve">分； </w:t>
            </w:r>
          </w:p>
          <w:p w14:paraId="49737176">
            <w:pPr>
              <w:widowControl/>
              <w:spacing w:line="360" w:lineRule="auto"/>
              <w:jc w:val="left"/>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人员配备及职责分工方案合理性一般，部分能满足需求内容：</w:t>
            </w:r>
            <w:r>
              <w:rPr>
                <w:rFonts w:hint="eastAsia" w:ascii="宋体" w:hAnsi="宋体" w:cs="宋体"/>
                <w:sz w:val="24"/>
                <w:szCs w:val="24"/>
                <w:lang w:val="en-US" w:eastAsia="zh-CN"/>
              </w:rPr>
              <w:t>2</w:t>
            </w:r>
            <w:r>
              <w:rPr>
                <w:rFonts w:hint="eastAsia" w:ascii="宋体" w:hAnsi="宋体" w:cs="宋体"/>
                <w:sz w:val="24"/>
                <w:szCs w:val="24"/>
              </w:rPr>
              <w:t xml:space="preserve">分； </w:t>
            </w:r>
          </w:p>
          <w:p w14:paraId="6CD48AFD">
            <w:pPr>
              <w:widowControl/>
              <w:spacing w:line="360" w:lineRule="auto"/>
              <w:jc w:val="left"/>
              <w:rPr>
                <w:rFonts w:hint="eastAsia" w:ascii="宋体" w:hAnsi="宋体" w:cs="宋体"/>
                <w:sz w:val="24"/>
                <w:szCs w:val="24"/>
              </w:rPr>
            </w:pPr>
            <w:r>
              <w:rPr>
                <w:rFonts w:hint="eastAsia" w:ascii="宋体" w:hAnsi="宋体" w:cs="宋体"/>
                <w:sz w:val="24"/>
                <w:szCs w:val="24"/>
              </w:rPr>
              <w:t>未见阐述不得分。</w:t>
            </w:r>
          </w:p>
        </w:tc>
      </w:tr>
      <w:tr w14:paraId="4315A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3" w:type="dxa"/>
            <w:vMerge w:val="continue"/>
            <w:tcBorders>
              <w:right w:val="single" w:color="auto" w:sz="4" w:space="0"/>
            </w:tcBorders>
            <w:vAlign w:val="center"/>
          </w:tcPr>
          <w:p w14:paraId="5CFA92B2">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13DAA303">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45AC7697">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项目进度计划方案（</w:t>
            </w:r>
            <w:r>
              <w:rPr>
                <w:rFonts w:hint="eastAsia" w:ascii="宋体" w:hAnsi="宋体"/>
                <w:sz w:val="24"/>
                <w:szCs w:val="24"/>
                <w:lang w:val="en-US" w:eastAsia="zh-CN"/>
              </w:rPr>
              <w:t>6</w:t>
            </w:r>
            <w:r>
              <w:rPr>
                <w:rFonts w:hint="eastAsia" w:ascii="宋体" w:hAnsi="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044E6A28">
            <w:pPr>
              <w:spacing w:line="360" w:lineRule="auto"/>
              <w:rPr>
                <w:rFonts w:hint="eastAsia" w:ascii="宋体" w:hAnsi="宋体"/>
                <w:sz w:val="24"/>
                <w:szCs w:val="24"/>
              </w:rPr>
            </w:pPr>
            <w:r>
              <w:rPr>
                <w:rFonts w:hint="eastAsia" w:ascii="宋体" w:hAnsi="宋体"/>
                <w:sz w:val="24"/>
                <w:szCs w:val="24"/>
              </w:rPr>
              <w:t>投标人提出的总体进度安排是否合理、可行、紧凑，评审因素包括评估进度计划，改造部署计划的详细、合理性；时间节点的明确性；劳动力安排计划和材料进场计划的详细、周密性； 确保工期的技术措施的针对性等，由评审专家综合评分。</w:t>
            </w:r>
          </w:p>
          <w:p w14:paraId="4F4B3834">
            <w:pPr>
              <w:spacing w:line="360" w:lineRule="auto"/>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方案完整、详细、合理、可行得</w:t>
            </w:r>
            <w:r>
              <w:rPr>
                <w:rFonts w:hint="eastAsia" w:ascii="宋体" w:hAnsi="宋体"/>
                <w:sz w:val="24"/>
                <w:szCs w:val="24"/>
                <w:lang w:val="en-US" w:eastAsia="zh-CN"/>
              </w:rPr>
              <w:t>6</w:t>
            </w:r>
            <w:r>
              <w:rPr>
                <w:rFonts w:hint="eastAsia" w:ascii="宋体" w:hAnsi="宋体"/>
                <w:sz w:val="24"/>
                <w:szCs w:val="24"/>
              </w:rPr>
              <w:t>分；</w:t>
            </w:r>
          </w:p>
          <w:p w14:paraId="13B7FB29">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方案基本完整、基本合理、工期措施基本到位得</w:t>
            </w:r>
            <w:r>
              <w:rPr>
                <w:rFonts w:hint="eastAsia" w:ascii="宋体" w:hAnsi="宋体"/>
                <w:sz w:val="24"/>
                <w:szCs w:val="24"/>
                <w:lang w:val="en-US" w:eastAsia="zh-CN"/>
              </w:rPr>
              <w:t>4</w:t>
            </w:r>
            <w:r>
              <w:rPr>
                <w:rFonts w:hint="eastAsia" w:ascii="宋体" w:hAnsi="宋体"/>
                <w:sz w:val="24"/>
                <w:szCs w:val="24"/>
              </w:rPr>
              <w:t>分；</w:t>
            </w:r>
          </w:p>
          <w:p w14:paraId="142B0653">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方案缺失较多、工期措施具有局限性得</w:t>
            </w:r>
            <w:r>
              <w:rPr>
                <w:rFonts w:hint="eastAsia" w:ascii="宋体" w:hAnsi="宋体"/>
                <w:sz w:val="24"/>
                <w:szCs w:val="24"/>
                <w:lang w:val="en-US" w:eastAsia="zh-CN"/>
              </w:rPr>
              <w:t>2</w:t>
            </w:r>
            <w:r>
              <w:rPr>
                <w:rFonts w:hint="eastAsia" w:ascii="宋体" w:hAnsi="宋体"/>
                <w:sz w:val="24"/>
                <w:szCs w:val="24"/>
              </w:rPr>
              <w:t>分；</w:t>
            </w:r>
          </w:p>
          <w:p w14:paraId="519E5AFE">
            <w:pPr>
              <w:spacing w:line="360" w:lineRule="auto"/>
              <w:rPr>
                <w:rFonts w:hint="eastAsia" w:ascii="宋体" w:hAnsi="宋体"/>
                <w:sz w:val="24"/>
                <w:szCs w:val="24"/>
              </w:rPr>
            </w:pPr>
            <w:r>
              <w:rPr>
                <w:rFonts w:hint="eastAsia" w:ascii="宋体" w:hAnsi="宋体"/>
                <w:sz w:val="24"/>
                <w:szCs w:val="24"/>
              </w:rPr>
              <w:t>该项未见阐述不得分。</w:t>
            </w:r>
          </w:p>
        </w:tc>
      </w:tr>
      <w:tr w14:paraId="66737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10" w:hRule="atLeast"/>
          <w:jc w:val="center"/>
        </w:trPr>
        <w:tc>
          <w:tcPr>
            <w:tcW w:w="423" w:type="dxa"/>
            <w:vMerge w:val="continue"/>
            <w:tcBorders>
              <w:right w:val="single" w:color="auto" w:sz="4" w:space="0"/>
            </w:tcBorders>
            <w:vAlign w:val="center"/>
          </w:tcPr>
          <w:p w14:paraId="31E7359E">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0E00C518">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673C6E5C">
            <w:pPr>
              <w:spacing w:line="360" w:lineRule="auto"/>
              <w:jc w:val="left"/>
              <w:rPr>
                <w:rFonts w:hint="eastAsia" w:ascii="宋体" w:hAnsi="宋体"/>
                <w:sz w:val="24"/>
                <w:szCs w:val="24"/>
              </w:rPr>
            </w:pPr>
            <w:r>
              <w:rPr>
                <w:rFonts w:hint="eastAsia" w:ascii="宋体" w:hAnsi="宋体" w:cs="宋体"/>
                <w:sz w:val="24"/>
                <w:szCs w:val="24"/>
                <w:lang w:val="en-US" w:eastAsia="zh-CN"/>
              </w:rPr>
              <w:t>4.</w:t>
            </w:r>
            <w:r>
              <w:rPr>
                <w:rFonts w:hint="eastAsia" w:ascii="宋体" w:hAnsi="宋体" w:cs="宋体"/>
                <w:sz w:val="24"/>
                <w:szCs w:val="24"/>
              </w:rPr>
              <w:t>质量保证措施（</w:t>
            </w:r>
            <w:r>
              <w:rPr>
                <w:rFonts w:hint="eastAsia" w:ascii="宋体" w:hAnsi="宋体" w:cs="宋体"/>
                <w:sz w:val="24"/>
                <w:szCs w:val="24"/>
                <w:lang w:val="en-US" w:eastAsia="zh-CN"/>
              </w:rPr>
              <w:t>6</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1462A447">
            <w:pPr>
              <w:spacing w:line="360" w:lineRule="auto"/>
              <w:jc w:val="left"/>
              <w:rPr>
                <w:rFonts w:hint="eastAsia" w:ascii="宋体" w:hAnsi="宋体" w:cs="宋体"/>
                <w:sz w:val="24"/>
                <w:szCs w:val="24"/>
              </w:rPr>
            </w:pPr>
            <w:r>
              <w:rPr>
                <w:rFonts w:hint="eastAsia" w:ascii="宋体" w:hAnsi="宋体" w:cs="宋体"/>
                <w:sz w:val="24"/>
                <w:szCs w:val="24"/>
              </w:rPr>
              <w:t>根据供应商针对本项目的质量保证措施是否科学严谨、切实可行进行打分。</w:t>
            </w:r>
          </w:p>
          <w:p w14:paraId="2744FE01">
            <w:pPr>
              <w:spacing w:line="360" w:lineRule="auto"/>
              <w:jc w:val="left"/>
              <w:rPr>
                <w:rFonts w:hint="eastAsia" w:ascii="宋体" w:hAnsi="宋体" w:cs="宋体"/>
                <w:sz w:val="24"/>
                <w:szCs w:val="24"/>
              </w:rPr>
            </w:pPr>
            <w:r>
              <w:rPr>
                <w:rFonts w:hint="eastAsia" w:ascii="宋体" w:hAnsi="宋体" w:cs="宋体"/>
                <w:sz w:val="24"/>
                <w:szCs w:val="24"/>
              </w:rPr>
              <w:t>1、质量保证措施编写十分合理，能够对开展工作提供实质性帮助得</w:t>
            </w:r>
            <w:r>
              <w:rPr>
                <w:rFonts w:hint="eastAsia" w:ascii="宋体" w:hAnsi="宋体" w:cs="宋体"/>
                <w:sz w:val="24"/>
                <w:szCs w:val="24"/>
                <w:lang w:val="en-US" w:eastAsia="zh-CN"/>
              </w:rPr>
              <w:t>6</w:t>
            </w:r>
            <w:r>
              <w:rPr>
                <w:rFonts w:hint="eastAsia" w:ascii="宋体" w:hAnsi="宋体" w:cs="宋体"/>
                <w:sz w:val="24"/>
                <w:szCs w:val="24"/>
              </w:rPr>
              <w:t>分；</w:t>
            </w:r>
          </w:p>
          <w:p w14:paraId="1CD12769">
            <w:pPr>
              <w:spacing w:line="360" w:lineRule="auto"/>
              <w:jc w:val="left"/>
              <w:rPr>
                <w:rFonts w:hint="eastAsia" w:ascii="宋体" w:hAnsi="宋体" w:cs="宋体"/>
                <w:sz w:val="24"/>
                <w:szCs w:val="24"/>
              </w:rPr>
            </w:pPr>
            <w:r>
              <w:rPr>
                <w:rFonts w:hint="eastAsia" w:ascii="宋体" w:hAnsi="宋体" w:cs="宋体"/>
                <w:sz w:val="24"/>
                <w:szCs w:val="24"/>
              </w:rPr>
              <w:t>2、质量保证措施有一定的参考价值，符合要求较为合理得</w:t>
            </w:r>
            <w:r>
              <w:rPr>
                <w:rFonts w:hint="eastAsia" w:ascii="宋体" w:hAnsi="宋体" w:cs="宋体"/>
                <w:sz w:val="24"/>
                <w:szCs w:val="24"/>
                <w:lang w:val="en-US" w:eastAsia="zh-CN"/>
              </w:rPr>
              <w:t>4</w:t>
            </w:r>
            <w:r>
              <w:rPr>
                <w:rFonts w:hint="eastAsia" w:ascii="宋体" w:hAnsi="宋体" w:cs="宋体"/>
                <w:sz w:val="24"/>
                <w:szCs w:val="24"/>
              </w:rPr>
              <w:t>分；</w:t>
            </w:r>
          </w:p>
          <w:p w14:paraId="1EE19FB8">
            <w:pPr>
              <w:spacing w:line="360" w:lineRule="auto"/>
              <w:jc w:val="left"/>
              <w:rPr>
                <w:rFonts w:hint="eastAsia" w:ascii="宋体" w:hAnsi="宋体" w:cs="宋体"/>
                <w:sz w:val="24"/>
                <w:szCs w:val="24"/>
              </w:rPr>
            </w:pPr>
            <w:r>
              <w:rPr>
                <w:rFonts w:hint="eastAsia" w:ascii="宋体" w:hAnsi="宋体" w:cs="宋体"/>
                <w:sz w:val="24"/>
                <w:szCs w:val="24"/>
              </w:rPr>
              <w:t>3、质量保证措施简略，对工作的开展帮助不大得</w:t>
            </w:r>
            <w:r>
              <w:rPr>
                <w:rFonts w:hint="eastAsia" w:ascii="宋体" w:hAnsi="宋体" w:cs="宋体"/>
                <w:sz w:val="24"/>
                <w:szCs w:val="24"/>
                <w:lang w:val="en-US" w:eastAsia="zh-CN"/>
              </w:rPr>
              <w:t>2</w:t>
            </w:r>
            <w:r>
              <w:rPr>
                <w:rFonts w:hint="eastAsia" w:ascii="宋体" w:hAnsi="宋体" w:cs="宋体"/>
                <w:sz w:val="24"/>
                <w:szCs w:val="24"/>
              </w:rPr>
              <w:t>分；</w:t>
            </w:r>
          </w:p>
          <w:p w14:paraId="50B90EA4">
            <w:pPr>
              <w:spacing w:line="360" w:lineRule="auto"/>
              <w:jc w:val="left"/>
              <w:rPr>
                <w:rFonts w:hint="eastAsia" w:ascii="宋体" w:hAnsi="宋体" w:cs="宋体"/>
                <w:sz w:val="24"/>
                <w:szCs w:val="24"/>
              </w:rPr>
            </w:pPr>
            <w:r>
              <w:rPr>
                <w:rFonts w:hint="eastAsia" w:ascii="宋体" w:hAnsi="宋体" w:cs="宋体"/>
                <w:sz w:val="24"/>
                <w:szCs w:val="24"/>
              </w:rPr>
              <w:t>未见阐述不得分。</w:t>
            </w:r>
          </w:p>
        </w:tc>
      </w:tr>
      <w:tr w14:paraId="08DC1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37" w:hRule="atLeast"/>
          <w:jc w:val="center"/>
        </w:trPr>
        <w:tc>
          <w:tcPr>
            <w:tcW w:w="423" w:type="dxa"/>
            <w:vMerge w:val="continue"/>
            <w:tcBorders>
              <w:right w:val="single" w:color="auto" w:sz="4" w:space="0"/>
            </w:tcBorders>
            <w:vAlign w:val="center"/>
          </w:tcPr>
          <w:p w14:paraId="76B3C67E">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69D2B899">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379D3C26">
            <w:pPr>
              <w:spacing w:line="360" w:lineRule="auto"/>
              <w:jc w:val="left"/>
              <w:rPr>
                <w:rFonts w:hint="eastAsia" w:ascii="宋体" w:hAnsi="宋体"/>
                <w:sz w:val="24"/>
                <w:szCs w:val="24"/>
              </w:rPr>
            </w:pPr>
            <w:r>
              <w:rPr>
                <w:rFonts w:hint="eastAsia" w:ascii="宋体" w:hAnsi="宋体" w:cs="宋体"/>
                <w:sz w:val="24"/>
                <w:szCs w:val="24"/>
                <w:lang w:val="en-US" w:eastAsia="zh-CN"/>
              </w:rPr>
              <w:t>5.</w:t>
            </w:r>
            <w:r>
              <w:rPr>
                <w:rFonts w:hint="eastAsia" w:ascii="宋体" w:hAnsi="宋体" w:cs="宋体"/>
                <w:sz w:val="24"/>
                <w:szCs w:val="24"/>
              </w:rPr>
              <w:t>采样检测方案（</w:t>
            </w:r>
            <w:r>
              <w:rPr>
                <w:rFonts w:hint="eastAsia" w:ascii="宋体" w:hAnsi="宋体" w:cs="宋体"/>
                <w:sz w:val="24"/>
                <w:szCs w:val="24"/>
                <w:lang w:val="en-US" w:eastAsia="zh-CN"/>
              </w:rPr>
              <w:t>6</w:t>
            </w:r>
            <w:r>
              <w:rPr>
                <w:rFonts w:hint="eastAsia" w:ascii="宋体" w:hAnsi="宋体" w:cs="宋体"/>
                <w:sz w:val="24"/>
                <w:szCs w:val="24"/>
              </w:rPr>
              <w:t>分）</w:t>
            </w:r>
          </w:p>
        </w:tc>
        <w:tc>
          <w:tcPr>
            <w:tcW w:w="7983" w:type="dxa"/>
            <w:tcBorders>
              <w:top w:val="single" w:color="auto" w:sz="4" w:space="0"/>
              <w:left w:val="single" w:color="auto" w:sz="4" w:space="0"/>
              <w:bottom w:val="single" w:color="auto" w:sz="4" w:space="0"/>
              <w:right w:val="single" w:color="auto" w:sz="4" w:space="0"/>
            </w:tcBorders>
            <w:vAlign w:val="center"/>
          </w:tcPr>
          <w:p w14:paraId="2619461D">
            <w:pPr>
              <w:spacing w:line="360" w:lineRule="auto"/>
              <w:jc w:val="left"/>
              <w:rPr>
                <w:rFonts w:hint="eastAsia" w:ascii="宋体" w:hAnsi="宋体" w:cs="宋体"/>
                <w:sz w:val="24"/>
                <w:szCs w:val="24"/>
              </w:rPr>
            </w:pPr>
            <w:r>
              <w:rPr>
                <w:rFonts w:hint="eastAsia" w:ascii="宋体" w:hAnsi="宋体" w:cs="宋体"/>
                <w:sz w:val="24"/>
                <w:szCs w:val="24"/>
              </w:rPr>
              <w:t>根据国家相关规范的要求对组织开展的采样检测方案进行打分。</w:t>
            </w:r>
          </w:p>
          <w:p w14:paraId="32A384E0">
            <w:pPr>
              <w:spacing w:line="360" w:lineRule="auto"/>
              <w:jc w:val="left"/>
              <w:rPr>
                <w:rFonts w:hint="eastAsia" w:ascii="宋体" w:hAnsi="宋体" w:cs="宋体"/>
                <w:sz w:val="24"/>
                <w:szCs w:val="24"/>
              </w:rPr>
            </w:pPr>
            <w:r>
              <w:rPr>
                <w:rFonts w:hint="eastAsia" w:ascii="宋体" w:hAnsi="宋体" w:cs="宋体"/>
                <w:sz w:val="24"/>
                <w:szCs w:val="24"/>
              </w:rPr>
              <w:t>1、采样检测方案详细，表述完整、可操作性强，能够满足采购需求得</w:t>
            </w:r>
            <w:r>
              <w:rPr>
                <w:rFonts w:hint="eastAsia" w:ascii="宋体" w:hAnsi="宋体" w:cs="宋体"/>
                <w:sz w:val="24"/>
                <w:szCs w:val="24"/>
                <w:lang w:val="en-US" w:eastAsia="zh-CN"/>
              </w:rPr>
              <w:t>6</w:t>
            </w:r>
            <w:r>
              <w:rPr>
                <w:rFonts w:hint="eastAsia" w:ascii="宋体" w:hAnsi="宋体" w:cs="宋体"/>
                <w:sz w:val="24"/>
                <w:szCs w:val="24"/>
              </w:rPr>
              <w:t>分；</w:t>
            </w:r>
          </w:p>
          <w:p w14:paraId="462D6402">
            <w:pPr>
              <w:spacing w:line="360" w:lineRule="auto"/>
              <w:jc w:val="left"/>
              <w:rPr>
                <w:rFonts w:hint="eastAsia" w:ascii="宋体" w:hAnsi="宋体" w:cs="宋体"/>
                <w:sz w:val="24"/>
                <w:szCs w:val="24"/>
              </w:rPr>
            </w:pPr>
            <w:r>
              <w:rPr>
                <w:rFonts w:hint="eastAsia" w:ascii="宋体" w:hAnsi="宋体" w:cs="宋体"/>
                <w:sz w:val="24"/>
                <w:szCs w:val="24"/>
              </w:rPr>
              <w:t>2、采样检测方案通用，表述略模糊，具有一定的可操作性，基本满足采购需求得</w:t>
            </w:r>
            <w:r>
              <w:rPr>
                <w:rFonts w:hint="eastAsia" w:ascii="宋体" w:hAnsi="宋体" w:cs="宋体"/>
                <w:sz w:val="24"/>
                <w:szCs w:val="24"/>
                <w:lang w:val="en-US" w:eastAsia="zh-CN"/>
              </w:rPr>
              <w:t>4</w:t>
            </w:r>
            <w:r>
              <w:rPr>
                <w:rFonts w:hint="eastAsia" w:ascii="宋体" w:hAnsi="宋体" w:cs="宋体"/>
                <w:sz w:val="24"/>
                <w:szCs w:val="24"/>
              </w:rPr>
              <w:t>分；</w:t>
            </w:r>
          </w:p>
          <w:p w14:paraId="56628A60">
            <w:pPr>
              <w:spacing w:line="360" w:lineRule="auto"/>
              <w:jc w:val="left"/>
              <w:rPr>
                <w:rFonts w:hint="eastAsia" w:ascii="宋体" w:hAnsi="宋体" w:cs="宋体"/>
                <w:sz w:val="24"/>
                <w:szCs w:val="24"/>
              </w:rPr>
            </w:pPr>
            <w:r>
              <w:rPr>
                <w:rFonts w:hint="eastAsia" w:ascii="宋体" w:hAnsi="宋体" w:cs="宋体"/>
                <w:sz w:val="24"/>
                <w:szCs w:val="24"/>
              </w:rPr>
              <w:t>3、采样检测方案简单一般，表述模糊，可操作性较差的得</w:t>
            </w:r>
            <w:r>
              <w:rPr>
                <w:rFonts w:hint="eastAsia" w:ascii="宋体" w:hAnsi="宋体" w:cs="宋体"/>
                <w:sz w:val="24"/>
                <w:szCs w:val="24"/>
                <w:lang w:val="en-US" w:eastAsia="zh-CN"/>
              </w:rPr>
              <w:t>2</w:t>
            </w:r>
            <w:r>
              <w:rPr>
                <w:rFonts w:hint="eastAsia" w:ascii="宋体" w:hAnsi="宋体" w:cs="宋体"/>
                <w:sz w:val="24"/>
                <w:szCs w:val="24"/>
              </w:rPr>
              <w:t>分；</w:t>
            </w:r>
          </w:p>
          <w:p w14:paraId="1D636310">
            <w:pPr>
              <w:spacing w:line="360" w:lineRule="auto"/>
              <w:jc w:val="left"/>
              <w:rPr>
                <w:rFonts w:hint="eastAsia" w:ascii="宋体" w:hAnsi="宋体"/>
                <w:sz w:val="24"/>
                <w:szCs w:val="24"/>
              </w:rPr>
            </w:pPr>
            <w:r>
              <w:rPr>
                <w:rFonts w:hint="eastAsia" w:ascii="宋体" w:hAnsi="宋体" w:cs="宋体"/>
                <w:sz w:val="24"/>
                <w:szCs w:val="24"/>
              </w:rPr>
              <w:t>未见阐述不得分。</w:t>
            </w:r>
          </w:p>
        </w:tc>
      </w:tr>
      <w:tr w14:paraId="11FEF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93" w:hRule="atLeast"/>
          <w:jc w:val="center"/>
        </w:trPr>
        <w:tc>
          <w:tcPr>
            <w:tcW w:w="423" w:type="dxa"/>
            <w:vMerge w:val="continue"/>
            <w:tcBorders>
              <w:bottom w:val="single" w:color="auto" w:sz="4" w:space="0"/>
              <w:right w:val="single" w:color="auto" w:sz="4" w:space="0"/>
            </w:tcBorders>
            <w:vAlign w:val="center"/>
          </w:tcPr>
          <w:p w14:paraId="7F440336">
            <w:pPr>
              <w:widowControl/>
              <w:spacing w:line="360" w:lineRule="auto"/>
              <w:jc w:val="left"/>
              <w:rPr>
                <w:rFonts w:hint="eastAsia" w:ascii="宋体" w:hAnsi="宋体" w:cs="宋体"/>
                <w:sz w:val="24"/>
                <w:szCs w:val="24"/>
              </w:rPr>
            </w:pPr>
          </w:p>
        </w:tc>
        <w:tc>
          <w:tcPr>
            <w:tcW w:w="735" w:type="dxa"/>
            <w:vMerge w:val="continue"/>
            <w:tcBorders>
              <w:right w:val="single" w:color="auto" w:sz="4" w:space="0"/>
            </w:tcBorders>
            <w:vAlign w:val="center"/>
          </w:tcPr>
          <w:p w14:paraId="6F3C38EF">
            <w:pPr>
              <w:spacing w:line="360" w:lineRule="auto"/>
              <w:rPr>
                <w:rFonts w:hint="eastAsia" w:ascii="宋体" w:hAnsi="宋体"/>
                <w:sz w:val="24"/>
                <w:szCs w:val="24"/>
              </w:rPr>
            </w:pPr>
          </w:p>
        </w:tc>
        <w:tc>
          <w:tcPr>
            <w:tcW w:w="1395" w:type="dxa"/>
            <w:tcBorders>
              <w:bottom w:val="single" w:color="auto" w:sz="4" w:space="0"/>
              <w:right w:val="single" w:color="auto" w:sz="4" w:space="0"/>
            </w:tcBorders>
            <w:vAlign w:val="center"/>
          </w:tcPr>
          <w:p w14:paraId="4A7BF0D0">
            <w:pPr>
              <w:spacing w:line="360" w:lineRule="auto"/>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应急和安全保障方案（5分）</w:t>
            </w:r>
          </w:p>
        </w:tc>
        <w:tc>
          <w:tcPr>
            <w:tcW w:w="7983" w:type="dxa"/>
            <w:tcBorders>
              <w:top w:val="single" w:color="auto" w:sz="4" w:space="0"/>
              <w:left w:val="single" w:color="auto" w:sz="4" w:space="0"/>
              <w:bottom w:val="single" w:color="auto" w:sz="4" w:space="0"/>
              <w:right w:val="single" w:color="auto" w:sz="4" w:space="0"/>
            </w:tcBorders>
            <w:vAlign w:val="center"/>
          </w:tcPr>
          <w:p w14:paraId="0FD234CE">
            <w:pPr>
              <w:spacing w:line="360" w:lineRule="auto"/>
              <w:rPr>
                <w:rFonts w:hint="eastAsia" w:ascii="宋体" w:hAnsi="宋体"/>
                <w:sz w:val="24"/>
                <w:szCs w:val="24"/>
              </w:rPr>
            </w:pPr>
            <w:r>
              <w:rPr>
                <w:rFonts w:hint="eastAsia" w:ascii="宋体" w:hAnsi="宋体"/>
                <w:sz w:val="24"/>
                <w:szCs w:val="24"/>
              </w:rPr>
              <w:t>根据投标人制定的紧急情况应急预案、重大事件处理措施、安全保障措施等内容的科学性、合理性、明确性、可操作性等进行综合评审。</w:t>
            </w:r>
          </w:p>
          <w:p w14:paraId="0E408321">
            <w:pPr>
              <w:spacing w:line="360" w:lineRule="auto"/>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方案完整、全面、完善性强的得5分</w:t>
            </w:r>
          </w:p>
          <w:p w14:paraId="5BF3369E">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方案基本完整全面、完善性一般的得3分</w:t>
            </w:r>
          </w:p>
          <w:p w14:paraId="1C833CFE">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方案内容不全面、完善性较差的得1分</w:t>
            </w:r>
          </w:p>
          <w:p w14:paraId="71C79DD5">
            <w:pPr>
              <w:spacing w:line="360" w:lineRule="auto"/>
              <w:rPr>
                <w:rFonts w:hint="eastAsia" w:ascii="宋体" w:hAnsi="宋体"/>
                <w:sz w:val="24"/>
                <w:szCs w:val="24"/>
              </w:rPr>
            </w:pPr>
            <w:r>
              <w:rPr>
                <w:rFonts w:hint="eastAsia" w:ascii="宋体" w:hAnsi="宋体"/>
                <w:sz w:val="24"/>
                <w:szCs w:val="24"/>
              </w:rPr>
              <w:t>该项未见阐述不得分。</w:t>
            </w:r>
          </w:p>
        </w:tc>
      </w:tr>
      <w:tr w14:paraId="4C154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8" w:hRule="atLeast"/>
          <w:jc w:val="center"/>
        </w:trPr>
        <w:tc>
          <w:tcPr>
            <w:tcW w:w="423" w:type="dxa"/>
            <w:tcBorders>
              <w:bottom w:val="single" w:color="auto" w:sz="4" w:space="0"/>
              <w:right w:val="single" w:color="auto" w:sz="4" w:space="0"/>
            </w:tcBorders>
            <w:vAlign w:val="center"/>
          </w:tcPr>
          <w:p w14:paraId="7C9AEE37">
            <w:pPr>
              <w:widowControl/>
              <w:spacing w:line="360" w:lineRule="auto"/>
              <w:jc w:val="left"/>
              <w:rPr>
                <w:rFonts w:hint="eastAsia" w:ascii="宋体" w:hAnsi="宋体" w:cs="宋体"/>
                <w:sz w:val="24"/>
                <w:szCs w:val="24"/>
              </w:rPr>
            </w:pPr>
            <w:r>
              <w:rPr>
                <w:rFonts w:hint="eastAsia" w:ascii="宋体" w:hAnsi="宋体" w:cs="宋体"/>
                <w:sz w:val="24"/>
                <w:szCs w:val="24"/>
              </w:rPr>
              <w:t>7</w:t>
            </w:r>
          </w:p>
        </w:tc>
        <w:tc>
          <w:tcPr>
            <w:tcW w:w="735" w:type="dxa"/>
            <w:vMerge w:val="continue"/>
            <w:tcBorders>
              <w:right w:val="single" w:color="auto" w:sz="4" w:space="0"/>
            </w:tcBorders>
            <w:vAlign w:val="center"/>
          </w:tcPr>
          <w:p w14:paraId="5EB1B036">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61C1E7C0">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Courier New"/>
                <w:color w:val="000000"/>
                <w:sz w:val="24"/>
                <w:szCs w:val="24"/>
              </w:rPr>
            </w:pPr>
            <w:r>
              <w:rPr>
                <w:rFonts w:hint="eastAsia" w:ascii="宋体" w:hAnsi="Courier New"/>
                <w:color w:val="000000"/>
                <w:sz w:val="24"/>
                <w:szCs w:val="24"/>
                <w:lang w:val="en-US" w:eastAsia="zh-CN"/>
              </w:rPr>
              <w:t>7.</w:t>
            </w:r>
            <w:r>
              <w:rPr>
                <w:rFonts w:hint="eastAsia" w:ascii="宋体" w:hAnsi="Courier New"/>
                <w:color w:val="000000"/>
                <w:sz w:val="24"/>
                <w:szCs w:val="24"/>
              </w:rPr>
              <w:t>重点、难点分析</w:t>
            </w:r>
          </w:p>
          <w:p w14:paraId="66E48C4F">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hAnsi="宋体" w:cs="宋体"/>
                <w:sz w:val="24"/>
                <w:szCs w:val="24"/>
              </w:rPr>
            </w:pPr>
            <w:r>
              <w:rPr>
                <w:rFonts w:hint="eastAsia" w:ascii="宋体" w:hAnsi="Courier New"/>
                <w:color w:val="000000"/>
                <w:sz w:val="24"/>
                <w:szCs w:val="24"/>
              </w:rPr>
              <w:t>（5分）</w:t>
            </w:r>
          </w:p>
        </w:tc>
        <w:tc>
          <w:tcPr>
            <w:tcW w:w="7983" w:type="dxa"/>
            <w:tcBorders>
              <w:top w:val="single" w:color="auto" w:sz="4" w:space="0"/>
              <w:left w:val="single" w:color="auto" w:sz="4" w:space="0"/>
              <w:bottom w:val="single" w:color="auto" w:sz="4" w:space="0"/>
              <w:right w:val="single" w:color="auto" w:sz="4" w:space="0"/>
            </w:tcBorders>
            <w:vAlign w:val="center"/>
          </w:tcPr>
          <w:p w14:paraId="68E7B18D">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rPr>
              <w:t>对工作重点是否理解深刻，是否有具体的解决思路，分析可行性：</w:t>
            </w:r>
          </w:p>
          <w:p w14:paraId="1B935BEC">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1、</w:t>
            </w:r>
            <w:r>
              <w:rPr>
                <w:rFonts w:hint="eastAsia" w:ascii="宋体" w:hAnsi="Courier New"/>
                <w:color w:val="000000"/>
                <w:sz w:val="24"/>
                <w:szCs w:val="24"/>
              </w:rPr>
              <w:t>重难点分析透彻、思路清晰、可操作性强的得5分；</w:t>
            </w:r>
          </w:p>
          <w:p w14:paraId="7F3A1D36">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2、</w:t>
            </w:r>
            <w:r>
              <w:rPr>
                <w:rFonts w:hint="eastAsia" w:ascii="宋体" w:hAnsi="Courier New"/>
                <w:color w:val="000000"/>
                <w:sz w:val="24"/>
                <w:szCs w:val="24"/>
              </w:rPr>
              <w:t>重难点分析较透彻、思路较清晰、可操作性较强的得3分；</w:t>
            </w:r>
          </w:p>
          <w:p w14:paraId="737F8E76">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3</w:t>
            </w:r>
            <w:r>
              <w:rPr>
                <w:rFonts w:hint="eastAsia" w:ascii="宋体" w:hAnsi="Courier New"/>
                <w:color w:val="000000"/>
                <w:sz w:val="24"/>
                <w:szCs w:val="24"/>
                <w:lang w:eastAsia="zh-CN"/>
              </w:rPr>
              <w:t>、</w:t>
            </w:r>
            <w:r>
              <w:rPr>
                <w:rFonts w:hint="eastAsia" w:ascii="宋体" w:hAnsi="Courier New"/>
                <w:color w:val="000000"/>
                <w:sz w:val="24"/>
                <w:szCs w:val="24"/>
              </w:rPr>
              <w:t>重难点分析、可操作性一般的得1分；</w:t>
            </w:r>
          </w:p>
          <w:p w14:paraId="7F8929CB">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hAnsi="宋体" w:cs="宋体"/>
                <w:sz w:val="24"/>
                <w:szCs w:val="24"/>
              </w:rPr>
            </w:pPr>
            <w:r>
              <w:rPr>
                <w:rFonts w:hint="eastAsia" w:ascii="宋体" w:hAnsi="宋体" w:cs="宋体"/>
                <w:sz w:val="24"/>
                <w:szCs w:val="24"/>
              </w:rPr>
              <w:t>未见阐述不得分。</w:t>
            </w:r>
          </w:p>
        </w:tc>
      </w:tr>
      <w:tr w14:paraId="7CA98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423" w:type="dxa"/>
            <w:tcBorders>
              <w:bottom w:val="single" w:color="auto" w:sz="4" w:space="0"/>
              <w:right w:val="single" w:color="auto" w:sz="4" w:space="0"/>
            </w:tcBorders>
            <w:vAlign w:val="center"/>
          </w:tcPr>
          <w:p w14:paraId="66EC61C0">
            <w:pPr>
              <w:widowControl/>
              <w:spacing w:line="360" w:lineRule="auto"/>
              <w:jc w:val="left"/>
              <w:rPr>
                <w:rFonts w:hint="eastAsia" w:ascii="宋体" w:hAnsi="宋体" w:cs="宋体"/>
                <w:sz w:val="24"/>
                <w:szCs w:val="24"/>
              </w:rPr>
            </w:pPr>
            <w:r>
              <w:rPr>
                <w:rFonts w:hint="eastAsia" w:ascii="宋体" w:hAnsi="宋体" w:cs="宋体"/>
                <w:sz w:val="24"/>
                <w:szCs w:val="24"/>
              </w:rPr>
              <w:t>8</w:t>
            </w:r>
          </w:p>
        </w:tc>
        <w:tc>
          <w:tcPr>
            <w:tcW w:w="735" w:type="dxa"/>
            <w:vMerge w:val="continue"/>
            <w:tcBorders>
              <w:bottom w:val="single" w:color="auto" w:sz="4" w:space="0"/>
              <w:right w:val="single" w:color="auto" w:sz="4" w:space="0"/>
            </w:tcBorders>
            <w:vAlign w:val="center"/>
          </w:tcPr>
          <w:p w14:paraId="156EE4E9">
            <w:pPr>
              <w:spacing w:line="360" w:lineRule="auto"/>
              <w:jc w:val="left"/>
              <w:rPr>
                <w:rFonts w:hint="eastAsia" w:ascii="宋体" w:hAnsi="宋体" w:cs="宋体"/>
                <w:sz w:val="24"/>
                <w:szCs w:val="24"/>
              </w:rPr>
            </w:pPr>
          </w:p>
        </w:tc>
        <w:tc>
          <w:tcPr>
            <w:tcW w:w="1395" w:type="dxa"/>
            <w:tcBorders>
              <w:bottom w:val="single" w:color="auto" w:sz="4" w:space="0"/>
              <w:right w:val="single" w:color="auto" w:sz="4" w:space="0"/>
            </w:tcBorders>
            <w:vAlign w:val="center"/>
          </w:tcPr>
          <w:p w14:paraId="5A50702C">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Courier New"/>
                <w:color w:val="000000"/>
                <w:sz w:val="24"/>
                <w:szCs w:val="24"/>
              </w:rPr>
            </w:pPr>
          </w:p>
          <w:p w14:paraId="5AEC244B">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Courier New"/>
                <w:color w:val="000000"/>
                <w:sz w:val="24"/>
                <w:szCs w:val="24"/>
              </w:rPr>
            </w:pPr>
            <w:r>
              <w:rPr>
                <w:rFonts w:hint="eastAsia" w:ascii="宋体" w:hAnsi="Courier New"/>
                <w:color w:val="000000"/>
                <w:sz w:val="24"/>
                <w:szCs w:val="24"/>
                <w:lang w:val="en-US" w:eastAsia="zh-CN"/>
              </w:rPr>
              <w:t>8.</w:t>
            </w:r>
            <w:r>
              <w:rPr>
                <w:rFonts w:hint="eastAsia" w:ascii="宋体" w:hAnsi="Courier New"/>
                <w:color w:val="000000"/>
                <w:sz w:val="24"/>
                <w:szCs w:val="24"/>
              </w:rPr>
              <w:t>资料管理（5分）</w:t>
            </w:r>
          </w:p>
          <w:p w14:paraId="3039490F">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Courier New"/>
                <w:color w:val="000000"/>
                <w:sz w:val="24"/>
                <w:szCs w:val="24"/>
              </w:rPr>
            </w:pPr>
          </w:p>
        </w:tc>
        <w:tc>
          <w:tcPr>
            <w:tcW w:w="7983" w:type="dxa"/>
            <w:tcBorders>
              <w:top w:val="single" w:color="auto" w:sz="4" w:space="0"/>
              <w:left w:val="single" w:color="auto" w:sz="4" w:space="0"/>
              <w:bottom w:val="single" w:color="auto" w:sz="4" w:space="0"/>
              <w:right w:val="single" w:color="auto" w:sz="4" w:space="0"/>
            </w:tcBorders>
            <w:vAlign w:val="center"/>
          </w:tcPr>
          <w:p w14:paraId="019F424D">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宋体" w:hAnsi="Courier New" w:eastAsia="宋体"/>
                <w:color w:val="000000"/>
                <w:sz w:val="24"/>
                <w:szCs w:val="24"/>
                <w:lang w:val="en-US" w:eastAsia="zh-CN"/>
              </w:rPr>
            </w:pPr>
            <w:r>
              <w:rPr>
                <w:rFonts w:hint="eastAsia" w:ascii="宋体" w:hAnsi="宋体"/>
                <w:sz w:val="24"/>
                <w:szCs w:val="24"/>
              </w:rPr>
              <w:t>根据投标人</w:t>
            </w:r>
            <w:r>
              <w:rPr>
                <w:rFonts w:hint="eastAsia" w:ascii="宋体" w:hAnsi="宋体"/>
                <w:sz w:val="24"/>
                <w:szCs w:val="24"/>
                <w:lang w:val="en-US" w:eastAsia="zh-CN"/>
              </w:rPr>
              <w:t>提供的</w:t>
            </w:r>
            <w:r>
              <w:rPr>
                <w:rFonts w:hint="eastAsia" w:ascii="宋体" w:hAnsi="Courier New"/>
                <w:color w:val="000000"/>
                <w:sz w:val="24"/>
                <w:szCs w:val="24"/>
              </w:rPr>
              <w:t>资料管理归档程序</w:t>
            </w:r>
            <w:r>
              <w:rPr>
                <w:rFonts w:hint="eastAsia" w:ascii="宋体" w:hAnsi="Courier New"/>
                <w:color w:val="000000"/>
                <w:sz w:val="24"/>
                <w:szCs w:val="24"/>
                <w:lang w:val="en-US" w:eastAsia="zh-CN"/>
              </w:rPr>
              <w:t>的内容进行评分：</w:t>
            </w:r>
          </w:p>
          <w:p w14:paraId="20B488F0">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1、</w:t>
            </w:r>
            <w:r>
              <w:rPr>
                <w:rFonts w:hint="eastAsia" w:ascii="宋体" w:hAnsi="Courier New"/>
                <w:color w:val="000000"/>
                <w:sz w:val="24"/>
                <w:szCs w:val="24"/>
              </w:rPr>
              <w:t>资料整理归档程序健全，先进</w:t>
            </w:r>
            <w:r>
              <w:rPr>
                <w:rFonts w:hint="eastAsia" w:ascii="宋体" w:hAnsi="Courier New"/>
                <w:color w:val="000000"/>
                <w:sz w:val="24"/>
                <w:szCs w:val="24"/>
                <w:lang w:val="en-US" w:eastAsia="zh-CN"/>
              </w:rPr>
              <w:t>科学</w:t>
            </w:r>
            <w:r>
              <w:rPr>
                <w:rFonts w:hint="eastAsia" w:ascii="宋体" w:hAnsi="Courier New"/>
                <w:color w:val="000000"/>
                <w:sz w:val="24"/>
                <w:szCs w:val="24"/>
              </w:rPr>
              <w:t>，保证措施具体可行得5分；</w:t>
            </w:r>
          </w:p>
          <w:p w14:paraId="48F6136A">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2、</w:t>
            </w:r>
            <w:r>
              <w:rPr>
                <w:rFonts w:hint="eastAsia" w:ascii="宋体" w:hAnsi="Courier New"/>
                <w:color w:val="000000"/>
                <w:sz w:val="24"/>
                <w:szCs w:val="24"/>
              </w:rPr>
              <w:t>资料整理归档程序较健全，较先进</w:t>
            </w:r>
            <w:r>
              <w:rPr>
                <w:rFonts w:hint="eastAsia" w:ascii="宋体" w:hAnsi="Courier New"/>
                <w:color w:val="000000"/>
                <w:sz w:val="24"/>
                <w:szCs w:val="24"/>
                <w:lang w:val="en-US" w:eastAsia="zh-CN"/>
              </w:rPr>
              <w:t>科学</w:t>
            </w:r>
            <w:r>
              <w:rPr>
                <w:rFonts w:hint="eastAsia" w:ascii="宋体" w:hAnsi="Courier New"/>
                <w:color w:val="000000"/>
                <w:sz w:val="24"/>
                <w:szCs w:val="24"/>
              </w:rPr>
              <w:t>，保证措施较具体可行得3分；</w:t>
            </w:r>
          </w:p>
          <w:p w14:paraId="23539423">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Courier New"/>
                <w:color w:val="000000"/>
                <w:sz w:val="24"/>
                <w:szCs w:val="24"/>
                <w:lang w:val="en-US" w:eastAsia="zh-CN"/>
              </w:rPr>
              <w:t>3、</w:t>
            </w:r>
            <w:r>
              <w:rPr>
                <w:rFonts w:hint="eastAsia" w:ascii="宋体" w:hAnsi="Courier New"/>
                <w:color w:val="000000"/>
                <w:sz w:val="24"/>
                <w:szCs w:val="24"/>
              </w:rPr>
              <w:t>资料整理归档程序简单，先进</w:t>
            </w:r>
            <w:r>
              <w:rPr>
                <w:rFonts w:hint="eastAsia" w:ascii="宋体" w:hAnsi="Courier New"/>
                <w:color w:val="000000"/>
                <w:sz w:val="24"/>
                <w:szCs w:val="24"/>
                <w:lang w:val="en-US" w:eastAsia="zh-CN"/>
              </w:rPr>
              <w:t>性一般科学性一般，</w:t>
            </w:r>
            <w:r>
              <w:rPr>
                <w:rFonts w:hint="eastAsia" w:ascii="宋体" w:hAnsi="Courier New"/>
                <w:color w:val="000000"/>
                <w:sz w:val="24"/>
                <w:szCs w:val="24"/>
              </w:rPr>
              <w:t>保证措施可行</w:t>
            </w:r>
            <w:r>
              <w:rPr>
                <w:rFonts w:hint="eastAsia" w:ascii="宋体" w:hAnsi="Courier New"/>
                <w:color w:val="000000"/>
                <w:sz w:val="24"/>
                <w:szCs w:val="24"/>
                <w:lang w:val="en-US" w:eastAsia="zh-CN"/>
              </w:rPr>
              <w:t>性一般</w:t>
            </w:r>
            <w:r>
              <w:rPr>
                <w:rFonts w:hint="eastAsia" w:ascii="宋体" w:hAnsi="Courier New"/>
                <w:color w:val="000000"/>
                <w:sz w:val="24"/>
                <w:szCs w:val="24"/>
              </w:rPr>
              <w:t>得1分；</w:t>
            </w:r>
          </w:p>
          <w:p w14:paraId="5866D941">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ourier New"/>
                <w:color w:val="000000"/>
                <w:sz w:val="24"/>
                <w:szCs w:val="24"/>
              </w:rPr>
            </w:pPr>
            <w:r>
              <w:rPr>
                <w:rFonts w:hint="eastAsia" w:ascii="宋体" w:hAnsi="宋体" w:cs="宋体"/>
                <w:sz w:val="24"/>
                <w:szCs w:val="24"/>
              </w:rPr>
              <w:t>未见阐述不得分。</w:t>
            </w:r>
          </w:p>
        </w:tc>
      </w:tr>
      <w:bookmarkEnd w:id="236"/>
    </w:tbl>
    <w:p w14:paraId="6CA796E1">
      <w:pPr>
        <w:pStyle w:val="33"/>
        <w:rPr>
          <w:rFonts w:hint="eastAsia"/>
        </w:rPr>
      </w:pPr>
    </w:p>
    <w:p w14:paraId="603B2C58">
      <w:pPr>
        <w:ind w:firstLine="482"/>
        <w:rPr>
          <w:b/>
          <w:bCs/>
          <w:color w:val="auto"/>
          <w:sz w:val="24"/>
          <w:szCs w:val="24"/>
          <w:highlight w:val="none"/>
        </w:rPr>
      </w:pPr>
      <w:r>
        <w:rPr>
          <w:rFonts w:hint="eastAsia"/>
          <w:b/>
          <w:bCs/>
          <w:color w:val="auto"/>
          <w:sz w:val="24"/>
          <w:szCs w:val="24"/>
          <w:highlight w:val="none"/>
        </w:rPr>
        <w:t>注：投标文件中所提供的全部证明材料，评审结束后</w:t>
      </w:r>
      <w:r>
        <w:rPr>
          <w:rFonts w:hint="eastAsia"/>
          <w:b/>
          <w:bCs/>
          <w:color w:val="auto"/>
          <w:sz w:val="24"/>
          <w:szCs w:val="24"/>
          <w:highlight w:val="none"/>
          <w:lang w:val="en-US" w:eastAsia="zh-CN"/>
        </w:rPr>
        <w:t>采购人</w:t>
      </w:r>
      <w:r>
        <w:rPr>
          <w:rFonts w:hint="eastAsia"/>
          <w:b/>
          <w:bCs/>
          <w:color w:val="auto"/>
          <w:sz w:val="24"/>
          <w:szCs w:val="24"/>
          <w:highlight w:val="none"/>
        </w:rPr>
        <w:t>有权进行核实，如有不实，将按照相关法律法规规定进行处理。</w:t>
      </w:r>
    </w:p>
    <w:p w14:paraId="21FA1F74">
      <w:pPr>
        <w:rPr>
          <w:rFonts w:hint="eastAsia"/>
          <w:color w:val="auto"/>
          <w:highlight w:val="none"/>
        </w:rPr>
      </w:pPr>
    </w:p>
    <w:p w14:paraId="1ECC70A7">
      <w:pPr>
        <w:rPr>
          <w:rFonts w:hint="eastAsia"/>
          <w:color w:val="auto"/>
          <w:highlight w:val="none"/>
        </w:rPr>
      </w:pPr>
    </w:p>
    <w:p w14:paraId="5628CCD1">
      <w:pPr>
        <w:pStyle w:val="192"/>
        <w:rPr>
          <w:rFonts w:hint="eastAsia" w:ascii="黑体" w:eastAsia="黑体"/>
          <w:bCs/>
          <w:color w:val="auto"/>
          <w:sz w:val="44"/>
          <w:highlight w:val="none"/>
        </w:rPr>
      </w:pPr>
      <w:r>
        <w:rPr>
          <w:rFonts w:hint="eastAsia"/>
          <w:color w:val="auto"/>
          <w:highlight w:val="none"/>
        </w:rPr>
        <w:br w:type="page" w:clear="all"/>
      </w:r>
      <w:bookmarkStart w:id="237" w:name="_Toc25769"/>
      <w:bookmarkStart w:id="238" w:name="_Toc29928"/>
      <w:r>
        <w:rPr>
          <w:rFonts w:hint="eastAsia" w:ascii="黑体" w:hAnsi="Times New Roman" w:eastAsia="黑体" w:cs="Times New Roman"/>
          <w:color w:val="auto"/>
          <w:sz w:val="44"/>
          <w:szCs w:val="44"/>
          <w:highlight w:val="none"/>
        </w:rPr>
        <w:t>第六章  投标</w:t>
      </w:r>
      <w:bookmarkEnd w:id="230"/>
      <w:bookmarkEnd w:id="231"/>
      <w:bookmarkEnd w:id="235"/>
      <w:r>
        <w:rPr>
          <w:rFonts w:hint="eastAsia" w:ascii="黑体" w:hAnsi="Times New Roman" w:eastAsia="黑体" w:cs="Times New Roman"/>
          <w:color w:val="auto"/>
          <w:sz w:val="44"/>
          <w:szCs w:val="44"/>
          <w:highlight w:val="none"/>
        </w:rPr>
        <w:t>文件格式</w:t>
      </w:r>
      <w:bookmarkEnd w:id="237"/>
      <w:bookmarkEnd w:id="238"/>
      <w:r>
        <w:rPr>
          <w:rFonts w:hint="eastAsia" w:ascii="黑体" w:hAnsi="Times New Roman" w:eastAsia="黑体" w:cs="Times New Roman"/>
          <w:color w:val="auto"/>
          <w:sz w:val="44"/>
          <w:szCs w:val="44"/>
          <w:highlight w:val="none"/>
        </w:rPr>
        <w:t xml:space="preserve"> </w:t>
      </w:r>
    </w:p>
    <w:bookmarkEnd w:id="227"/>
    <w:bookmarkEnd w:id="228"/>
    <w:p w14:paraId="610AD537">
      <w:pPr>
        <w:jc w:val="center"/>
        <w:rPr>
          <w:rFonts w:hint="eastAsia" w:ascii="宋体" w:hAnsi="宋体"/>
          <w:b/>
          <w:color w:val="auto"/>
          <w:sz w:val="72"/>
          <w:highlight w:val="none"/>
        </w:rPr>
      </w:pPr>
      <w:bookmarkStart w:id="239" w:name="_Hlt26955039"/>
      <w:bookmarkEnd w:id="239"/>
      <w:bookmarkStart w:id="240" w:name="_Toc49090576"/>
      <w:bookmarkEnd w:id="240"/>
      <w:bookmarkStart w:id="241" w:name="_Hlt26671244"/>
      <w:bookmarkEnd w:id="241"/>
      <w:bookmarkStart w:id="242" w:name="_Toc26554094"/>
      <w:bookmarkEnd w:id="242"/>
      <w:bookmarkStart w:id="243" w:name="_Toc120614282"/>
      <w:bookmarkEnd w:id="243"/>
    </w:p>
    <w:p w14:paraId="36F0946D">
      <w:pPr>
        <w:jc w:val="center"/>
        <w:rPr>
          <w:rFonts w:hint="eastAsia" w:ascii="宋体" w:hAnsi="宋体"/>
          <w:b/>
          <w:color w:val="auto"/>
          <w:sz w:val="72"/>
          <w:szCs w:val="52"/>
          <w:highlight w:val="none"/>
        </w:rPr>
      </w:pPr>
      <w:r>
        <w:rPr>
          <w:rFonts w:hint="eastAsia" w:ascii="宋体" w:hAnsi="宋体"/>
          <w:b/>
          <w:color w:val="auto"/>
          <w:sz w:val="72"/>
          <w:szCs w:val="52"/>
          <w:highlight w:val="none"/>
        </w:rPr>
        <w:t>连 云 港 市 政 府 采 购</w:t>
      </w:r>
    </w:p>
    <w:p w14:paraId="21F43681">
      <w:pPr>
        <w:jc w:val="center"/>
        <w:rPr>
          <w:rFonts w:hint="eastAsia" w:ascii="宋体" w:hAnsi="宋体"/>
          <w:b/>
          <w:color w:val="auto"/>
          <w:sz w:val="72"/>
          <w:szCs w:val="84"/>
          <w:highlight w:val="none"/>
        </w:rPr>
      </w:pPr>
    </w:p>
    <w:p w14:paraId="2FFDA8C6">
      <w:pPr>
        <w:jc w:val="center"/>
        <w:rPr>
          <w:rFonts w:ascii="宋体" w:hAnsi="宋体"/>
          <w:b/>
          <w:color w:val="auto"/>
          <w:sz w:val="72"/>
          <w:szCs w:val="84"/>
          <w:highlight w:val="none"/>
        </w:rPr>
      </w:pPr>
      <w:r>
        <w:rPr>
          <w:rFonts w:hint="eastAsia" w:ascii="宋体" w:hAnsi="宋体"/>
          <w:b/>
          <w:color w:val="auto"/>
          <w:sz w:val="72"/>
          <w:szCs w:val="84"/>
          <w:highlight w:val="none"/>
        </w:rPr>
        <w:t>投标文件</w:t>
      </w:r>
    </w:p>
    <w:p w14:paraId="76F7B2C9">
      <w:pPr>
        <w:rPr>
          <w:rFonts w:hint="eastAsia" w:ascii="宋体" w:hAnsi="宋体"/>
          <w:b/>
          <w:color w:val="auto"/>
          <w:sz w:val="52"/>
          <w:szCs w:val="52"/>
          <w:highlight w:val="none"/>
        </w:rPr>
      </w:pPr>
    </w:p>
    <w:p w14:paraId="1CD5F7A1">
      <w:pPr>
        <w:rPr>
          <w:rFonts w:hint="eastAsia" w:ascii="宋体" w:hAnsi="宋体"/>
          <w:b/>
          <w:color w:val="auto"/>
          <w:sz w:val="52"/>
          <w:szCs w:val="52"/>
          <w:highlight w:val="none"/>
        </w:rPr>
      </w:pPr>
    </w:p>
    <w:p w14:paraId="4B7574FB">
      <w:pPr>
        <w:rPr>
          <w:rFonts w:hint="eastAsia" w:ascii="宋体" w:hAnsi="宋体"/>
          <w:b/>
          <w:color w:val="auto"/>
          <w:sz w:val="52"/>
          <w:szCs w:val="52"/>
          <w:highlight w:val="none"/>
        </w:rPr>
      </w:pPr>
    </w:p>
    <w:p w14:paraId="6D466805">
      <w:pPr>
        <w:rPr>
          <w:rFonts w:hint="eastAsia" w:ascii="宋体" w:hAnsi="宋体"/>
          <w:b/>
          <w:color w:val="auto"/>
          <w:sz w:val="52"/>
          <w:szCs w:val="52"/>
          <w:highlight w:val="none"/>
        </w:rPr>
      </w:pPr>
    </w:p>
    <w:p w14:paraId="3354DE81">
      <w:pPr>
        <w:rPr>
          <w:rFonts w:ascii="宋体" w:hAnsi="宋体"/>
          <w:b/>
          <w:color w:val="auto"/>
          <w:sz w:val="36"/>
          <w:szCs w:val="21"/>
          <w:highlight w:val="none"/>
        </w:rPr>
      </w:pPr>
    </w:p>
    <w:p w14:paraId="26F977F1">
      <w:pPr>
        <w:ind w:firstLine="964"/>
        <w:rPr>
          <w:rFonts w:ascii="宋体" w:hAnsi="宋体"/>
          <w:b/>
          <w:color w:val="auto"/>
          <w:sz w:val="32"/>
          <w:szCs w:val="32"/>
          <w:highlight w:val="none"/>
        </w:rPr>
      </w:pPr>
      <w:r>
        <w:rPr>
          <w:rFonts w:hint="eastAsia" w:ascii="宋体" w:hAnsi="宋体"/>
          <w:b/>
          <w:color w:val="auto"/>
          <w:sz w:val="32"/>
          <w:szCs w:val="32"/>
          <w:highlight w:val="none"/>
          <w:lang w:val="en-US" w:eastAsia="zh-CN"/>
        </w:rPr>
        <w:t>项 目</w:t>
      </w:r>
      <w:r>
        <w:rPr>
          <w:rFonts w:hint="eastAsia" w:ascii="宋体" w:hAnsi="宋体"/>
          <w:b/>
          <w:color w:val="auto"/>
          <w:sz w:val="32"/>
          <w:szCs w:val="32"/>
          <w:highlight w:val="none"/>
        </w:rPr>
        <w:t xml:space="preserve"> 名 称：【</w:t>
      </w:r>
      <w:r>
        <w:rPr>
          <w:rFonts w:hint="eastAsia" w:ascii="宋体" w:hAnsi="宋体"/>
          <w:b/>
          <w:color w:val="auto"/>
          <w:sz w:val="32"/>
          <w:szCs w:val="32"/>
          <w:highlight w:val="none"/>
          <w:lang w:val="en-US" w:eastAsia="zh-CN"/>
        </w:rPr>
        <w:t>项目</w:t>
      </w:r>
      <w:r>
        <w:rPr>
          <w:rFonts w:hint="eastAsia" w:ascii="宋体" w:hAnsi="宋体"/>
          <w:b/>
          <w:color w:val="auto"/>
          <w:sz w:val="32"/>
          <w:szCs w:val="32"/>
          <w:highlight w:val="none"/>
        </w:rPr>
        <w:t xml:space="preserve">名称】 </w:t>
      </w:r>
    </w:p>
    <w:p w14:paraId="663DE7E7">
      <w:pPr>
        <w:ind w:firstLine="964"/>
        <w:rPr>
          <w:rFonts w:ascii="宋体" w:hAnsi="宋体"/>
          <w:b/>
          <w:color w:val="auto"/>
          <w:sz w:val="32"/>
          <w:szCs w:val="32"/>
          <w:highlight w:val="none"/>
          <w:u w:val="single"/>
        </w:rPr>
      </w:pPr>
      <w:r>
        <w:rPr>
          <w:rFonts w:hint="eastAsia" w:ascii="宋体" w:hAnsi="宋体"/>
          <w:b/>
          <w:color w:val="auto"/>
          <w:sz w:val="32"/>
          <w:szCs w:val="32"/>
          <w:highlight w:val="none"/>
          <w:lang w:val="en-US" w:eastAsia="zh-CN"/>
        </w:rPr>
        <w:t>项 目</w:t>
      </w:r>
      <w:r>
        <w:rPr>
          <w:rFonts w:hint="eastAsia" w:ascii="宋体" w:hAnsi="宋体"/>
          <w:b/>
          <w:color w:val="auto"/>
          <w:sz w:val="32"/>
          <w:szCs w:val="32"/>
          <w:highlight w:val="none"/>
        </w:rPr>
        <w:t xml:space="preserve"> 编 号：</w:t>
      </w:r>
      <w:r>
        <w:rPr>
          <w:rFonts w:ascii="宋体" w:hAnsi="宋体"/>
          <w:b/>
          <w:color w:val="auto"/>
          <w:sz w:val="32"/>
          <w:szCs w:val="32"/>
          <w:highlight w:val="none"/>
        </w:rPr>
        <w:t>【</w:t>
      </w:r>
      <w:r>
        <w:rPr>
          <w:rFonts w:hint="eastAsia" w:ascii="宋体" w:hAnsi="宋体"/>
          <w:b/>
          <w:color w:val="auto"/>
          <w:sz w:val="32"/>
          <w:szCs w:val="32"/>
          <w:highlight w:val="none"/>
          <w:lang w:val="en-US" w:eastAsia="zh-CN"/>
        </w:rPr>
        <w:t>项目</w:t>
      </w:r>
      <w:r>
        <w:rPr>
          <w:rFonts w:ascii="宋体" w:hAnsi="宋体"/>
          <w:b/>
          <w:color w:val="auto"/>
          <w:sz w:val="32"/>
          <w:szCs w:val="32"/>
          <w:highlight w:val="none"/>
        </w:rPr>
        <w:t xml:space="preserve">编号】 </w:t>
      </w:r>
    </w:p>
    <w:p w14:paraId="1FABB5EA">
      <w:pPr>
        <w:ind w:firstLine="964"/>
        <w:rPr>
          <w:rFonts w:ascii="宋体" w:hAnsi="宋体"/>
          <w:b/>
          <w:color w:val="auto"/>
          <w:sz w:val="32"/>
          <w:szCs w:val="32"/>
          <w:highlight w:val="none"/>
        </w:rPr>
      </w:pPr>
    </w:p>
    <w:p w14:paraId="5D0202FA">
      <w:pPr>
        <w:ind w:firstLine="964"/>
        <w:rPr>
          <w:rFonts w:hint="eastAsia" w:ascii="宋体" w:hAnsi="宋体"/>
          <w:b/>
          <w:color w:val="auto"/>
          <w:sz w:val="32"/>
          <w:szCs w:val="32"/>
          <w:highlight w:val="none"/>
        </w:rPr>
      </w:pPr>
    </w:p>
    <w:p w14:paraId="31F50A67">
      <w:pPr>
        <w:ind w:firstLine="964"/>
        <w:rPr>
          <w:rFonts w:hint="eastAsia" w:ascii="宋体" w:hAnsi="宋体"/>
          <w:b/>
          <w:color w:val="auto"/>
          <w:sz w:val="32"/>
          <w:szCs w:val="32"/>
          <w:highlight w:val="none"/>
        </w:rPr>
      </w:pPr>
    </w:p>
    <w:p w14:paraId="257D0A3A">
      <w:pPr>
        <w:ind w:firstLine="964"/>
        <w:rPr>
          <w:rFonts w:hint="eastAsia" w:ascii="宋体" w:hAnsi="宋体"/>
          <w:b/>
          <w:color w:val="auto"/>
          <w:sz w:val="32"/>
          <w:szCs w:val="32"/>
          <w:highlight w:val="none"/>
        </w:rPr>
      </w:pPr>
    </w:p>
    <w:p w14:paraId="270D8F67">
      <w:pPr>
        <w:ind w:firstLine="964"/>
        <w:rPr>
          <w:rFonts w:ascii="宋体" w:hAnsi="宋体"/>
          <w:b/>
          <w:color w:val="auto"/>
          <w:sz w:val="32"/>
          <w:szCs w:val="32"/>
          <w:highlight w:val="none"/>
        </w:rPr>
      </w:pPr>
      <w:r>
        <w:rPr>
          <w:rFonts w:hint="eastAsia" w:ascii="宋体" w:hAnsi="宋体"/>
          <w:b/>
          <w:color w:val="auto"/>
          <w:sz w:val="32"/>
          <w:szCs w:val="32"/>
          <w:highlight w:val="none"/>
        </w:rPr>
        <w:t>投标人名称：</w:t>
      </w:r>
    </w:p>
    <w:p w14:paraId="4A45AF15">
      <w:pPr>
        <w:ind w:firstLine="964"/>
        <w:rPr>
          <w:rFonts w:ascii="宋体" w:hAnsi="宋体"/>
          <w:b/>
          <w:color w:val="auto"/>
          <w:sz w:val="32"/>
          <w:szCs w:val="32"/>
          <w:highlight w:val="none"/>
        </w:rPr>
      </w:pPr>
      <w:r>
        <w:rPr>
          <w:rFonts w:hint="eastAsia" w:ascii="宋体" w:hAnsi="宋体"/>
          <w:b/>
          <w:color w:val="auto"/>
          <w:sz w:val="32"/>
          <w:szCs w:val="32"/>
          <w:highlight w:val="none"/>
        </w:rPr>
        <w:t xml:space="preserve">投标人地址： </w:t>
      </w:r>
    </w:p>
    <w:p w14:paraId="1769D86C">
      <w:pPr>
        <w:ind w:firstLine="964"/>
        <w:rPr>
          <w:rFonts w:ascii="宋体" w:hAnsi="宋体"/>
          <w:b/>
          <w:color w:val="auto"/>
          <w:sz w:val="32"/>
          <w:szCs w:val="32"/>
          <w:highlight w:val="none"/>
        </w:rPr>
      </w:pPr>
      <w:r>
        <w:rPr>
          <w:rFonts w:hint="eastAsia" w:ascii="宋体" w:hAnsi="宋体"/>
          <w:b/>
          <w:color w:val="auto"/>
          <w:sz w:val="32"/>
          <w:szCs w:val="32"/>
          <w:highlight w:val="none"/>
        </w:rPr>
        <w:t>法定代表人：</w:t>
      </w:r>
    </w:p>
    <w:p w14:paraId="5A82A1A7">
      <w:pPr>
        <w:ind w:firstLine="964"/>
        <w:rPr>
          <w:rFonts w:ascii="宋体" w:hAnsi="宋体"/>
          <w:b/>
          <w:color w:val="auto"/>
          <w:sz w:val="32"/>
          <w:szCs w:val="32"/>
          <w:highlight w:val="none"/>
        </w:rPr>
      </w:pPr>
      <w:r>
        <w:rPr>
          <w:rFonts w:hint="eastAsia" w:ascii="宋体" w:hAnsi="宋体"/>
          <w:b/>
          <w:color w:val="auto"/>
          <w:sz w:val="32"/>
          <w:szCs w:val="32"/>
          <w:highlight w:val="none"/>
        </w:rPr>
        <w:t xml:space="preserve">委托代理人：（委托代理时填写）              </w:t>
      </w:r>
    </w:p>
    <w:p w14:paraId="44156F54">
      <w:pPr>
        <w:rPr>
          <w:color w:val="auto"/>
          <w:sz w:val="24"/>
          <w:highlight w:val="none"/>
        </w:rPr>
      </w:pPr>
      <w:r>
        <w:rPr>
          <w:rFonts w:hint="eastAsia" w:ascii="宋体" w:hAnsi="宋体"/>
          <w:b/>
          <w:color w:val="auto"/>
          <w:sz w:val="32"/>
          <w:szCs w:val="32"/>
          <w:highlight w:val="none"/>
        </w:rPr>
        <w:t xml:space="preserve">      日      期：</w:t>
      </w:r>
      <w:r>
        <w:rPr>
          <w:rFonts w:ascii="宋体" w:hAnsi="宋体"/>
          <w:b/>
          <w:color w:val="auto"/>
          <w:sz w:val="24"/>
          <w:highlight w:val="none"/>
        </w:rPr>
        <w:t xml:space="preserve"> </w:t>
      </w:r>
    </w:p>
    <w:p w14:paraId="63CD23DD">
      <w:pPr>
        <w:pStyle w:val="43"/>
        <w:rPr>
          <w:rFonts w:ascii="Times New Roman" w:hAnsi="Times New Roman"/>
          <w:color w:val="auto"/>
          <w:sz w:val="24"/>
          <w:highlight w:val="none"/>
        </w:rPr>
      </w:pPr>
    </w:p>
    <w:p w14:paraId="557E03F5">
      <w:pPr>
        <w:pStyle w:val="43"/>
        <w:rPr>
          <w:rFonts w:ascii="Times New Roman" w:hAnsi="Times New Roman"/>
          <w:color w:val="auto"/>
          <w:sz w:val="24"/>
          <w:highlight w:val="none"/>
        </w:rPr>
      </w:pPr>
    </w:p>
    <w:p w14:paraId="4C81F873">
      <w:pPr>
        <w:rPr>
          <w:rFonts w:hint="eastAsia" w:ascii="宋体" w:hAnsi="宋体"/>
          <w:b/>
          <w:bCs/>
          <w:sz w:val="32"/>
          <w:szCs w:val="32"/>
        </w:rPr>
      </w:pPr>
      <w:r>
        <w:rPr>
          <w:rFonts w:hint="eastAsia" w:ascii="宋体" w:hAnsi="宋体"/>
          <w:b/>
          <w:bCs/>
          <w:sz w:val="32"/>
          <w:szCs w:val="32"/>
        </w:rPr>
        <w:br w:type="page"/>
      </w:r>
    </w:p>
    <w:p w14:paraId="285754D5">
      <w:pPr>
        <w:spacing w:line="440" w:lineRule="exact"/>
        <w:jc w:val="center"/>
        <w:rPr>
          <w:rFonts w:hint="eastAsia" w:ascii="宋体" w:hAnsi="宋体" w:eastAsia="宋体" w:cs="Times New Roman"/>
          <w:b/>
          <w:bCs/>
          <w:sz w:val="32"/>
          <w:szCs w:val="32"/>
        </w:rPr>
      </w:pPr>
      <w:r>
        <w:rPr>
          <w:rFonts w:hint="eastAsia" w:ascii="宋体" w:hAnsi="宋体" w:eastAsia="宋体" w:cs="Times New Roman"/>
          <w:b/>
          <w:bCs/>
          <w:sz w:val="32"/>
          <w:szCs w:val="32"/>
        </w:rPr>
        <w:t>投标文件目录</w:t>
      </w:r>
    </w:p>
    <w:p w14:paraId="1488488A">
      <w:pPr>
        <w:spacing w:line="360" w:lineRule="auto"/>
        <w:ind w:left="480"/>
        <w:rPr>
          <w:rFonts w:hint="eastAsia" w:ascii="宋体" w:hAnsi="宋体" w:eastAsia="宋体"/>
          <w:i/>
          <w:iCs w:val="0"/>
          <w:sz w:val="24"/>
          <w:szCs w:val="24"/>
          <w:u w:val="single"/>
        </w:rPr>
      </w:pPr>
      <w:r>
        <w:rPr>
          <w:rFonts w:hint="eastAsia" w:ascii="宋体" w:hAnsi="宋体" w:eastAsia="宋体"/>
          <w:i/>
          <w:iCs w:val="0"/>
          <w:sz w:val="24"/>
          <w:szCs w:val="24"/>
          <w:u w:val="single"/>
        </w:rPr>
        <w:t>一、法人或者其他组织的营业执照等证明文件，自然人的身份证明</w:t>
      </w:r>
    </w:p>
    <w:p w14:paraId="1FE3D35F">
      <w:pPr>
        <w:spacing w:line="360" w:lineRule="auto"/>
        <w:ind w:left="480"/>
        <w:rPr>
          <w:rFonts w:hint="eastAsia" w:ascii="宋体" w:hAnsi="宋体" w:eastAsia="宋体"/>
          <w:i/>
          <w:iCs w:val="0"/>
          <w:sz w:val="24"/>
          <w:szCs w:val="24"/>
          <w:u w:val="single"/>
        </w:rPr>
      </w:pPr>
      <w:r>
        <w:rPr>
          <w:rFonts w:hint="eastAsia" w:ascii="宋体" w:hAnsi="宋体" w:eastAsia="宋体"/>
          <w:i/>
          <w:iCs w:val="0"/>
          <w:sz w:val="24"/>
          <w:szCs w:val="24"/>
          <w:u w:val="single"/>
        </w:rPr>
        <w:t>二、具有良好的商业信誉和健全的财务会计制度（根据连财购〔2023〕4号文件精神，可提供《财务状况报告及税收、社会保障资金缴纳情况承诺函》）</w:t>
      </w:r>
    </w:p>
    <w:p w14:paraId="6BE61D1C">
      <w:pPr>
        <w:spacing w:line="360" w:lineRule="auto"/>
        <w:ind w:left="480"/>
        <w:rPr>
          <w:rFonts w:hint="eastAsia" w:ascii="宋体" w:hAnsi="宋体" w:eastAsia="宋体"/>
          <w:i/>
          <w:iCs w:val="0"/>
          <w:sz w:val="24"/>
          <w:szCs w:val="24"/>
          <w:u w:val="single"/>
        </w:rPr>
      </w:pPr>
      <w:r>
        <w:rPr>
          <w:rFonts w:hint="eastAsia" w:ascii="宋体" w:hAnsi="宋体" w:eastAsia="宋体"/>
          <w:i/>
          <w:iCs w:val="0"/>
          <w:sz w:val="24"/>
          <w:szCs w:val="24"/>
          <w:u w:val="single"/>
        </w:rPr>
        <w:t>三、依法缴纳税收和社会保障资金的相关证明材料（根据连财购〔2023〕4号文件精神，可提供《财务状况报告及税收、社会保障资金缴纳情况承诺函》）；</w:t>
      </w:r>
    </w:p>
    <w:p w14:paraId="377FD82B">
      <w:pPr>
        <w:spacing w:line="360" w:lineRule="auto"/>
        <w:ind w:left="480"/>
        <w:rPr>
          <w:rFonts w:hint="eastAsia" w:ascii="宋体" w:hAnsi="宋体" w:eastAsia="宋体"/>
          <w:i/>
          <w:iCs w:val="0"/>
          <w:sz w:val="24"/>
          <w:szCs w:val="24"/>
          <w:u w:val="single"/>
        </w:rPr>
      </w:pPr>
      <w:r>
        <w:rPr>
          <w:rFonts w:hint="eastAsia" w:ascii="宋体" w:hAnsi="宋体" w:eastAsia="宋体"/>
          <w:i/>
          <w:iCs w:val="0"/>
          <w:sz w:val="24"/>
          <w:szCs w:val="24"/>
          <w:u w:val="single"/>
        </w:rPr>
        <w:t>四、具备履行合同所必需的设备和专业技术能力的书面声明</w:t>
      </w:r>
    </w:p>
    <w:p w14:paraId="12B74392">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五、参加政府采购活动前 3 年内在经营活动中没有重大违法记录的书面声明</w:t>
      </w:r>
    </w:p>
    <w:p w14:paraId="74ACD0B6">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六、特定资格要求的证明文件（如果本项目设置特定资格要求，则需要提供）</w:t>
      </w:r>
    </w:p>
    <w:p w14:paraId="3D1A50BE">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七、法人授权书</w:t>
      </w:r>
    </w:p>
    <w:p w14:paraId="6BD53E06">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八、投标函</w:t>
      </w:r>
    </w:p>
    <w:p w14:paraId="0173D9E5">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九、中小微企业声明函</w:t>
      </w:r>
    </w:p>
    <w:p w14:paraId="660B8CAD">
      <w:pPr>
        <w:spacing w:line="360" w:lineRule="auto"/>
        <w:ind w:firstLine="480"/>
        <w:rPr>
          <w:rFonts w:hint="eastAsia" w:ascii="宋体" w:hAnsi="宋体" w:eastAsia="宋体"/>
          <w:i w:val="0"/>
          <w:iCs/>
          <w:sz w:val="24"/>
          <w:szCs w:val="24"/>
          <w:u w:val="none"/>
        </w:rPr>
      </w:pPr>
      <w:r>
        <w:rPr>
          <w:rFonts w:hint="eastAsia" w:ascii="宋体" w:hAnsi="宋体" w:eastAsia="宋体"/>
          <w:i w:val="0"/>
          <w:iCs/>
          <w:sz w:val="24"/>
          <w:szCs w:val="24"/>
          <w:u w:val="none"/>
        </w:rPr>
        <w:t>十、残疾人福利性单位声明函</w:t>
      </w:r>
    </w:p>
    <w:p w14:paraId="2BD526D8">
      <w:pPr>
        <w:spacing w:line="360" w:lineRule="auto"/>
        <w:ind w:firstLine="480"/>
        <w:rPr>
          <w:rFonts w:hint="eastAsia" w:ascii="宋体" w:hAnsi="宋体" w:eastAsia="宋体"/>
          <w:i w:val="0"/>
          <w:iCs/>
          <w:sz w:val="24"/>
          <w:szCs w:val="24"/>
          <w:u w:val="none"/>
        </w:rPr>
      </w:pPr>
      <w:r>
        <w:rPr>
          <w:rFonts w:hint="eastAsia" w:ascii="宋体" w:hAnsi="宋体" w:eastAsia="宋体"/>
          <w:i w:val="0"/>
          <w:iCs/>
          <w:sz w:val="24"/>
          <w:szCs w:val="24"/>
          <w:u w:val="none"/>
        </w:rPr>
        <w:t>十一、投标分项报价表</w:t>
      </w:r>
    </w:p>
    <w:p w14:paraId="665DF00D">
      <w:pPr>
        <w:spacing w:line="360" w:lineRule="auto"/>
        <w:ind w:firstLine="480"/>
        <w:rPr>
          <w:rFonts w:hint="eastAsia" w:ascii="宋体" w:hAnsi="宋体" w:eastAsia="宋体"/>
          <w:i w:val="0"/>
          <w:iCs/>
          <w:sz w:val="24"/>
          <w:szCs w:val="24"/>
          <w:u w:val="none"/>
        </w:rPr>
      </w:pPr>
      <w:r>
        <w:rPr>
          <w:rFonts w:hint="eastAsia" w:ascii="宋体" w:hAnsi="宋体" w:eastAsia="宋体"/>
          <w:i w:val="0"/>
          <w:iCs/>
          <w:sz w:val="24"/>
          <w:szCs w:val="24"/>
          <w:u w:val="none"/>
        </w:rPr>
        <w:t>十二、技术要求响应及偏离表</w:t>
      </w:r>
    </w:p>
    <w:p w14:paraId="2D02F5FE">
      <w:pPr>
        <w:spacing w:line="360" w:lineRule="auto"/>
        <w:ind w:firstLine="480"/>
        <w:rPr>
          <w:rFonts w:hint="eastAsia" w:ascii="宋体" w:hAnsi="宋体" w:eastAsia="宋体"/>
          <w:i w:val="0"/>
          <w:iCs/>
          <w:sz w:val="24"/>
          <w:szCs w:val="24"/>
          <w:u w:val="none"/>
        </w:rPr>
      </w:pPr>
      <w:r>
        <w:rPr>
          <w:rFonts w:hint="eastAsia" w:ascii="宋体" w:hAnsi="宋体" w:eastAsia="宋体"/>
          <w:i w:val="0"/>
          <w:iCs/>
          <w:sz w:val="24"/>
          <w:szCs w:val="24"/>
          <w:u w:val="none"/>
        </w:rPr>
        <w:t>十三、商务要求响应及偏离表</w:t>
      </w:r>
    </w:p>
    <w:p w14:paraId="63121CD3">
      <w:pPr>
        <w:spacing w:line="360" w:lineRule="auto"/>
        <w:ind w:firstLine="480"/>
        <w:rPr>
          <w:rFonts w:hint="eastAsia" w:ascii="宋体" w:hAnsi="宋体" w:eastAsia="宋体"/>
          <w:i/>
          <w:iCs w:val="0"/>
          <w:sz w:val="24"/>
          <w:szCs w:val="24"/>
          <w:u w:val="single"/>
        </w:rPr>
      </w:pPr>
      <w:r>
        <w:rPr>
          <w:rFonts w:hint="eastAsia" w:ascii="宋体" w:hAnsi="宋体" w:eastAsia="宋体"/>
          <w:i/>
          <w:iCs w:val="0"/>
          <w:sz w:val="24"/>
          <w:szCs w:val="24"/>
          <w:u w:val="single"/>
        </w:rPr>
        <w:t>十四、开标一览表</w:t>
      </w:r>
    </w:p>
    <w:p w14:paraId="12EA3293">
      <w:pPr>
        <w:spacing w:line="360" w:lineRule="auto"/>
        <w:ind w:firstLine="480"/>
        <w:rPr>
          <w:rFonts w:hint="eastAsia" w:ascii="宋体" w:hAnsi="宋体" w:eastAsia="宋体"/>
          <w:i w:val="0"/>
          <w:iCs/>
          <w:sz w:val="24"/>
          <w:szCs w:val="24"/>
          <w:u w:val="none"/>
        </w:rPr>
      </w:pPr>
      <w:r>
        <w:rPr>
          <w:rFonts w:hint="eastAsia" w:ascii="宋体" w:hAnsi="宋体" w:eastAsia="宋体"/>
          <w:i w:val="0"/>
          <w:iCs/>
          <w:sz w:val="24"/>
          <w:szCs w:val="24"/>
          <w:u w:val="none"/>
        </w:rPr>
        <w:t>十五、其他材料</w:t>
      </w:r>
    </w:p>
    <w:p w14:paraId="7D783EEC">
      <w:pPr>
        <w:spacing w:line="360" w:lineRule="auto"/>
        <w:rPr>
          <w:rFonts w:hint="eastAsia" w:ascii="宋体" w:hAnsi="宋体" w:eastAsia="宋体"/>
          <w:i w:val="0"/>
          <w:iCs/>
          <w:sz w:val="24"/>
          <w:szCs w:val="24"/>
          <w:u w:val="none"/>
        </w:rPr>
      </w:pPr>
    </w:p>
    <w:p w14:paraId="3CE19CD2">
      <w:pPr>
        <w:spacing w:line="360" w:lineRule="auto"/>
        <w:ind w:firstLine="480"/>
        <w:rPr>
          <w:rFonts w:hint="eastAsia" w:ascii="宋体" w:hAnsi="宋体" w:eastAsia="宋体"/>
          <w:sz w:val="24"/>
          <w:szCs w:val="24"/>
        </w:rPr>
      </w:pPr>
    </w:p>
    <w:p w14:paraId="0B956FFC">
      <w:pPr>
        <w:spacing w:line="360" w:lineRule="auto"/>
        <w:ind w:firstLine="480"/>
        <w:rPr>
          <w:rFonts w:hint="eastAsia" w:ascii="宋体" w:hAnsi="宋体" w:eastAsia="宋体"/>
          <w:sz w:val="24"/>
          <w:szCs w:val="24"/>
        </w:rPr>
      </w:pPr>
    </w:p>
    <w:p w14:paraId="723A6E84">
      <w:pPr>
        <w:spacing w:line="360" w:lineRule="auto"/>
        <w:ind w:firstLine="480"/>
        <w:rPr>
          <w:rFonts w:hint="eastAsia" w:ascii="宋体" w:hAnsi="宋体" w:eastAsia="宋体"/>
          <w:sz w:val="24"/>
          <w:szCs w:val="24"/>
        </w:rPr>
      </w:pPr>
    </w:p>
    <w:p w14:paraId="5A8112D8">
      <w:pPr>
        <w:spacing w:line="360" w:lineRule="auto"/>
        <w:ind w:firstLine="480"/>
        <w:rPr>
          <w:rFonts w:hint="eastAsia" w:ascii="宋体" w:hAnsi="宋体" w:eastAsia="宋体"/>
          <w:sz w:val="24"/>
          <w:szCs w:val="24"/>
        </w:rPr>
      </w:pPr>
    </w:p>
    <w:p w14:paraId="50E03D1B">
      <w:pPr>
        <w:spacing w:line="360" w:lineRule="auto"/>
        <w:ind w:firstLine="480"/>
        <w:rPr>
          <w:rFonts w:hint="eastAsia" w:ascii="宋体" w:hAnsi="宋体" w:eastAsia="宋体"/>
          <w:sz w:val="24"/>
          <w:szCs w:val="24"/>
        </w:rPr>
      </w:pPr>
    </w:p>
    <w:p w14:paraId="3120D4D2">
      <w:pPr>
        <w:spacing w:line="440" w:lineRule="exact"/>
        <w:ind w:firstLine="480"/>
        <w:rPr>
          <w:rFonts w:hint="eastAsia" w:ascii="宋体" w:hAnsi="宋体" w:eastAsia="宋体"/>
          <w:sz w:val="24"/>
        </w:rPr>
      </w:pPr>
    </w:p>
    <w:p w14:paraId="384BB013">
      <w:pPr>
        <w:spacing w:line="440" w:lineRule="exact"/>
        <w:ind w:firstLine="480"/>
        <w:rPr>
          <w:rFonts w:hint="eastAsia" w:ascii="宋体" w:hAnsi="宋体" w:eastAsia="宋体"/>
          <w:sz w:val="24"/>
        </w:rPr>
      </w:pPr>
    </w:p>
    <w:p w14:paraId="1A3C9BDC">
      <w:pPr>
        <w:spacing w:line="440" w:lineRule="exact"/>
        <w:ind w:firstLine="480"/>
        <w:rPr>
          <w:rFonts w:hint="eastAsia" w:ascii="宋体" w:hAnsi="宋体" w:eastAsia="宋体"/>
          <w:sz w:val="24"/>
        </w:rPr>
      </w:pPr>
    </w:p>
    <w:p w14:paraId="27574265">
      <w:pPr>
        <w:spacing w:line="440" w:lineRule="exact"/>
        <w:ind w:firstLine="480"/>
        <w:rPr>
          <w:rFonts w:hint="eastAsia" w:ascii="宋体" w:hAnsi="宋体" w:eastAsia="宋体"/>
          <w:sz w:val="24"/>
        </w:rPr>
      </w:pPr>
    </w:p>
    <w:p w14:paraId="5375A305">
      <w:pPr>
        <w:rPr>
          <w:rFonts w:hint="eastAsia" w:ascii="宋体" w:hAnsi="宋体" w:eastAsia="宋体"/>
        </w:rPr>
      </w:pPr>
    </w:p>
    <w:p w14:paraId="062E1872">
      <w:pPr>
        <w:spacing w:line="440" w:lineRule="exact"/>
        <w:ind w:firstLine="480"/>
        <w:rPr>
          <w:rFonts w:hint="eastAsia" w:ascii="宋体" w:hAnsi="宋体" w:eastAsia="宋体"/>
          <w:sz w:val="24"/>
        </w:rPr>
      </w:pPr>
    </w:p>
    <w:p w14:paraId="7FBB4DC0">
      <w:pPr>
        <w:rPr>
          <w:rFonts w:hint="eastAsia" w:ascii="宋体" w:hAnsi="宋体" w:eastAsia="宋体"/>
          <w:sz w:val="24"/>
        </w:rPr>
      </w:pPr>
    </w:p>
    <w:p w14:paraId="0130B692">
      <w:pPr>
        <w:rPr>
          <w:rFonts w:hint="eastAsia" w:ascii="宋体" w:hAnsi="宋体" w:eastAsia="宋体"/>
          <w:sz w:val="24"/>
        </w:rPr>
      </w:pPr>
    </w:p>
    <w:p w14:paraId="3283DC23">
      <w:pPr>
        <w:rPr>
          <w:rFonts w:hint="eastAsia" w:ascii="宋体" w:hAnsi="宋体" w:eastAsia="宋体"/>
        </w:rPr>
      </w:pPr>
    </w:p>
    <w:p w14:paraId="78989CA3">
      <w:pPr>
        <w:spacing w:line="440" w:lineRule="exact"/>
        <w:ind w:firstLine="480"/>
        <w:rPr>
          <w:rFonts w:hint="eastAsia" w:ascii="宋体" w:hAnsi="宋体" w:eastAsia="宋体"/>
          <w:sz w:val="24"/>
        </w:rPr>
      </w:pPr>
    </w:p>
    <w:p w14:paraId="0DC62D62">
      <w:pPr>
        <w:spacing w:line="440" w:lineRule="exact"/>
        <w:ind w:firstLine="480"/>
        <w:rPr>
          <w:rFonts w:hint="eastAsia" w:ascii="宋体" w:hAnsi="宋体" w:eastAsia="宋体"/>
          <w:sz w:val="24"/>
        </w:rPr>
      </w:pPr>
    </w:p>
    <w:p w14:paraId="089986A6">
      <w:pPr>
        <w:outlineLvl w:val="1"/>
        <w:rPr>
          <w:rFonts w:hint="eastAsia" w:ascii="宋体" w:hAnsi="宋体" w:eastAsia="宋体"/>
          <w:i w:val="0"/>
          <w:iCs/>
          <w:sz w:val="32"/>
          <w:szCs w:val="32"/>
          <w:u w:val="none"/>
        </w:rPr>
      </w:pPr>
      <w:r>
        <w:rPr>
          <w:rFonts w:hint="eastAsia" w:ascii="宋体" w:hAnsi="宋体" w:eastAsia="宋体"/>
          <w:i w:val="0"/>
          <w:iCs/>
          <w:sz w:val="32"/>
          <w:szCs w:val="32"/>
          <w:u w:val="none"/>
        </w:rPr>
        <w:t>一、法人或者其他组织的营业执照等证明文件，自然人的身份证明</w:t>
      </w:r>
    </w:p>
    <w:p w14:paraId="13E3941D">
      <w:pPr>
        <w:spacing w:line="440" w:lineRule="exact"/>
        <w:ind w:firstLine="480"/>
        <w:rPr>
          <w:rFonts w:hint="eastAsia" w:ascii="宋体" w:hAnsi="宋体" w:eastAsia="宋体"/>
          <w:sz w:val="24"/>
        </w:rPr>
      </w:pPr>
    </w:p>
    <w:p w14:paraId="6C743F11">
      <w:pPr>
        <w:spacing w:line="440" w:lineRule="exact"/>
        <w:ind w:firstLine="480"/>
        <w:rPr>
          <w:rFonts w:hint="eastAsia" w:ascii="宋体" w:hAnsi="宋体" w:eastAsia="宋体"/>
          <w:sz w:val="24"/>
        </w:rPr>
      </w:pPr>
    </w:p>
    <w:p w14:paraId="3ADE7118">
      <w:pPr>
        <w:spacing w:line="440" w:lineRule="exact"/>
        <w:ind w:firstLine="480"/>
        <w:rPr>
          <w:rFonts w:hint="eastAsia" w:ascii="宋体" w:hAnsi="宋体" w:eastAsia="宋体"/>
          <w:i w:val="0"/>
          <w:iCs/>
          <w:sz w:val="32"/>
          <w:szCs w:val="32"/>
          <w:u w:val="none"/>
        </w:rPr>
      </w:pPr>
      <w:r>
        <w:rPr>
          <w:rFonts w:hint="eastAsia" w:ascii="宋体" w:hAnsi="宋体" w:eastAsia="宋体"/>
          <w:sz w:val="24"/>
        </w:rPr>
        <w:br w:type="page"/>
      </w:r>
      <w:r>
        <w:rPr>
          <w:rFonts w:hint="eastAsia" w:ascii="宋体" w:hAnsi="宋体" w:eastAsia="宋体"/>
          <w:i w:val="0"/>
          <w:iCs/>
          <w:sz w:val="32"/>
          <w:szCs w:val="32"/>
          <w:u w:val="none"/>
        </w:rPr>
        <w:t>二、具有良好的商业信誉和健全的财务会计制度（根据连财购〔2023〕4号文件精神，可提供《财务状况报告及税收、社会保障资金缴纳情况承诺函》）</w:t>
      </w:r>
    </w:p>
    <w:p w14:paraId="4D700A88">
      <w:pPr>
        <w:spacing w:line="360" w:lineRule="auto"/>
        <w:jc w:val="center"/>
        <w:rPr>
          <w:rFonts w:hint="eastAsia" w:ascii="宋体" w:hAnsi="宋体" w:eastAsia="宋体"/>
          <w:bCs/>
          <w:color w:val="000000"/>
          <w:sz w:val="36"/>
          <w:szCs w:val="36"/>
        </w:rPr>
      </w:pPr>
      <w:r>
        <w:rPr>
          <w:rFonts w:hint="eastAsia" w:ascii="宋体" w:hAnsi="宋体" w:eastAsia="宋体"/>
          <w:bCs/>
          <w:color w:val="000000"/>
          <w:sz w:val="36"/>
          <w:szCs w:val="36"/>
        </w:rPr>
        <w:t>财务状况报告及税收、社会保障资金</w:t>
      </w:r>
    </w:p>
    <w:p w14:paraId="556AF472">
      <w:pPr>
        <w:spacing w:line="360" w:lineRule="auto"/>
        <w:jc w:val="center"/>
        <w:rPr>
          <w:rFonts w:hint="eastAsia" w:ascii="宋体" w:hAnsi="宋体" w:eastAsia="宋体"/>
          <w:bCs/>
          <w:color w:val="000000"/>
          <w:sz w:val="36"/>
          <w:szCs w:val="36"/>
        </w:rPr>
      </w:pPr>
      <w:r>
        <w:rPr>
          <w:rFonts w:hint="eastAsia" w:ascii="宋体" w:hAnsi="宋体" w:eastAsia="宋体"/>
          <w:bCs/>
          <w:color w:val="000000"/>
          <w:sz w:val="36"/>
          <w:szCs w:val="36"/>
        </w:rPr>
        <w:t>缴纳情况承诺函</w:t>
      </w:r>
    </w:p>
    <w:p w14:paraId="0F976D11">
      <w:pPr>
        <w:spacing w:line="560" w:lineRule="exact"/>
        <w:jc w:val="center"/>
        <w:rPr>
          <w:rFonts w:hint="eastAsia" w:ascii="宋体" w:hAnsi="宋体" w:eastAsia="宋体"/>
          <w:color w:val="000000"/>
          <w:sz w:val="24"/>
        </w:rPr>
      </w:pPr>
      <w:r>
        <w:rPr>
          <w:rFonts w:hint="eastAsia" w:ascii="宋体" w:hAnsi="宋体" w:eastAsia="宋体"/>
          <w:color w:val="000000"/>
          <w:sz w:val="24"/>
        </w:rPr>
        <w:t xml:space="preserve"> </w:t>
      </w:r>
    </w:p>
    <w:p w14:paraId="0F63EA2E">
      <w:pPr>
        <w:spacing w:line="360" w:lineRule="auto"/>
        <w:rPr>
          <w:rFonts w:hint="eastAsia" w:ascii="宋体" w:hAnsi="宋体" w:eastAsia="宋体"/>
          <w:color w:val="000000"/>
          <w:sz w:val="24"/>
        </w:rPr>
      </w:pPr>
      <w:r>
        <w:rPr>
          <w:rFonts w:hint="eastAsia" w:ascii="宋体" w:hAnsi="宋体" w:eastAsia="宋体"/>
          <w:color w:val="000000"/>
          <w:sz w:val="24"/>
        </w:rPr>
        <w:t>致：</w:t>
      </w:r>
      <w:r>
        <w:rPr>
          <w:rFonts w:hint="eastAsia" w:ascii="宋体" w:hAnsi="宋体" w:eastAsia="宋体"/>
          <w:color w:val="000000"/>
          <w:sz w:val="24"/>
          <w:u w:val="single"/>
        </w:rPr>
        <w:t>采购人名称</w:t>
      </w:r>
    </w:p>
    <w:p w14:paraId="5134E4FB">
      <w:pPr>
        <w:spacing w:line="360" w:lineRule="auto"/>
        <w:ind w:firstLine="480"/>
        <w:rPr>
          <w:rFonts w:hint="eastAsia" w:ascii="宋体" w:hAnsi="宋体" w:eastAsia="宋体"/>
          <w:color w:val="000000"/>
          <w:sz w:val="24"/>
        </w:rPr>
      </w:pPr>
      <w:r>
        <w:rPr>
          <w:rFonts w:hint="eastAsia" w:ascii="宋体" w:hAnsi="宋体" w:eastAsia="宋体"/>
          <w:color w:val="000000"/>
          <w:sz w:val="24"/>
        </w:rPr>
        <w:t>我方</w:t>
      </w:r>
      <w:r>
        <w:rPr>
          <w:rFonts w:hint="eastAsia" w:ascii="宋体" w:hAnsi="宋体" w:eastAsia="宋体"/>
          <w:color w:val="000000"/>
          <w:sz w:val="24"/>
          <w:u w:val="single"/>
        </w:rPr>
        <w:t>供应商名称</w:t>
      </w:r>
      <w:r>
        <w:rPr>
          <w:rFonts w:hint="eastAsia" w:ascii="宋体" w:hAnsi="宋体" w:eastAsia="宋体"/>
          <w:color w:val="000000"/>
          <w:sz w:val="24"/>
        </w:rPr>
        <w:t>参加</w:t>
      </w:r>
      <w:r>
        <w:rPr>
          <w:rFonts w:hint="eastAsia" w:ascii="宋体" w:hAnsi="宋体" w:eastAsia="宋体"/>
          <w:color w:val="000000"/>
          <w:sz w:val="24"/>
          <w:u w:val="single"/>
        </w:rPr>
        <w:t>项目名称</w:t>
      </w:r>
      <w:r>
        <w:rPr>
          <w:rFonts w:hint="eastAsia" w:ascii="宋体" w:hAnsi="宋体" w:eastAsia="宋体"/>
          <w:color w:val="000000"/>
          <w:sz w:val="24"/>
        </w:rPr>
        <w:t>（项目编号：</w:t>
      </w:r>
      <w:r>
        <w:rPr>
          <w:rFonts w:hint="eastAsia" w:ascii="宋体" w:hAnsi="宋体" w:eastAsia="宋体"/>
          <w:color w:val="000000"/>
          <w:sz w:val="24"/>
          <w:u w:val="single"/>
        </w:rPr>
        <w:t>项目编号</w:t>
      </w:r>
      <w:r>
        <w:rPr>
          <w:rFonts w:hint="eastAsia" w:ascii="宋体" w:hAnsi="宋体" w:eastAsia="宋体"/>
          <w:color w:val="000000"/>
          <w:sz w:val="24"/>
        </w:rPr>
        <w:t>）采购，根据《</w:t>
      </w:r>
      <w:r>
        <w:rPr>
          <w:rStyle w:val="317"/>
          <w:rFonts w:hint="eastAsia" w:ascii="宋体" w:hAnsi="宋体" w:eastAsia="宋体"/>
          <w:color w:val="000000"/>
          <w:sz w:val="24"/>
        </w:rPr>
        <w:t>关于简化政府采购供应商资格审查有关事项的通知</w:t>
      </w:r>
      <w:r>
        <w:rPr>
          <w:rFonts w:hint="eastAsia" w:ascii="宋体" w:hAnsi="宋体" w:eastAsia="宋体"/>
          <w:color w:val="000000"/>
          <w:sz w:val="24"/>
        </w:rPr>
        <w:t>》（连财购〔2023〕4号），我方承诺具备《中华人民共和国政府采购法》第二十二条第（二）、第（四）项，《中华人民共和国政府采购法实施条例》第十七条第（二）项规定条件的，具体包括：</w:t>
      </w:r>
    </w:p>
    <w:p w14:paraId="6F75586A">
      <w:pPr>
        <w:spacing w:line="360" w:lineRule="auto"/>
        <w:ind w:left="360" w:firstLine="240"/>
        <w:rPr>
          <w:rFonts w:hint="eastAsia" w:ascii="宋体" w:hAnsi="宋体" w:eastAsia="宋体"/>
          <w:color w:val="000000"/>
          <w:sz w:val="24"/>
        </w:rPr>
      </w:pPr>
      <w:r>
        <w:rPr>
          <w:rFonts w:hint="eastAsia" w:ascii="宋体" w:hAnsi="宋体" w:eastAsia="宋体"/>
          <w:color w:val="000000"/>
          <w:sz w:val="24"/>
        </w:rPr>
        <w:t>（1）具有良好的商业信誉和健全的财务会计制度（财务状况报告）；</w:t>
      </w:r>
    </w:p>
    <w:p w14:paraId="19B29C0A">
      <w:pPr>
        <w:spacing w:line="360" w:lineRule="auto"/>
        <w:ind w:left="360" w:firstLine="240"/>
        <w:rPr>
          <w:rFonts w:hint="eastAsia" w:ascii="宋体" w:hAnsi="宋体" w:eastAsia="宋体"/>
          <w:color w:val="000000"/>
          <w:sz w:val="24"/>
        </w:rPr>
      </w:pPr>
      <w:r>
        <w:rPr>
          <w:rFonts w:hint="eastAsia" w:ascii="宋体" w:hAnsi="宋体" w:eastAsia="宋体"/>
          <w:color w:val="000000"/>
          <w:sz w:val="24"/>
        </w:rPr>
        <w:t>（2）有依法缴纳税收和社会保障资金的良好记录。</w:t>
      </w:r>
    </w:p>
    <w:p w14:paraId="742062E1">
      <w:pPr>
        <w:widowControl/>
        <w:spacing w:line="360" w:lineRule="auto"/>
        <w:ind w:firstLine="480"/>
        <w:jc w:val="left"/>
        <w:rPr>
          <w:rFonts w:hint="eastAsia" w:ascii="宋体" w:hAnsi="宋体" w:eastAsia="宋体"/>
          <w:color w:val="000000"/>
          <w:sz w:val="24"/>
        </w:rPr>
      </w:pPr>
      <w:r>
        <w:rPr>
          <w:rFonts w:hint="eastAsia" w:ascii="宋体" w:hAnsi="宋体" w:eastAsia="宋体"/>
          <w:color w:val="000000"/>
          <w:sz w:val="24"/>
        </w:rPr>
        <w:t>我方对上述承诺的真实性负责，如有虚假，将依法承担提供虚假材料谋取中标、成交责任，同时同意有关主管部门将相关失信信息记入公共信用信息系统并在相关政府门户网站公开。</w:t>
      </w:r>
    </w:p>
    <w:p w14:paraId="2398CC7D">
      <w:pPr>
        <w:widowControl/>
        <w:spacing w:line="360" w:lineRule="auto"/>
        <w:ind w:firstLine="480"/>
        <w:jc w:val="left"/>
        <w:rPr>
          <w:rFonts w:hint="eastAsia" w:ascii="宋体" w:hAnsi="宋体" w:eastAsia="宋体"/>
          <w:color w:val="000000"/>
          <w:sz w:val="24"/>
        </w:rPr>
      </w:pPr>
      <w:r>
        <w:rPr>
          <w:rFonts w:hint="eastAsia" w:ascii="宋体" w:hAnsi="宋体" w:eastAsia="宋体"/>
          <w:color w:val="000000"/>
          <w:sz w:val="24"/>
        </w:rPr>
        <w:t>特此承诺</w:t>
      </w:r>
    </w:p>
    <w:p w14:paraId="618C2787">
      <w:pPr>
        <w:spacing w:line="360" w:lineRule="auto"/>
        <w:ind w:left="360" w:firstLine="405"/>
        <w:rPr>
          <w:rFonts w:hint="eastAsia" w:ascii="宋体" w:hAnsi="宋体" w:eastAsia="宋体"/>
          <w:color w:val="000000"/>
          <w:sz w:val="24"/>
        </w:rPr>
      </w:pPr>
    </w:p>
    <w:p w14:paraId="70397641">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供应商（公章）：          </w:t>
      </w:r>
    </w:p>
    <w:p w14:paraId="7EE7398F">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 </w:t>
      </w:r>
    </w:p>
    <w:p w14:paraId="7CB4B918">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法定代表人或其委托代理人（签名或签章）：</w:t>
      </w:r>
    </w:p>
    <w:p w14:paraId="28F25F04">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 </w:t>
      </w:r>
    </w:p>
    <w:p w14:paraId="40772334">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日期：</w:t>
      </w:r>
    </w:p>
    <w:p w14:paraId="6F16555F">
      <w:pPr>
        <w:spacing w:line="440" w:lineRule="exact"/>
        <w:ind w:firstLine="480"/>
        <w:rPr>
          <w:rFonts w:hint="eastAsia" w:ascii="宋体" w:hAnsi="宋体" w:eastAsia="宋体"/>
          <w:bCs/>
          <w:sz w:val="24"/>
        </w:rPr>
      </w:pPr>
    </w:p>
    <w:p w14:paraId="2B637D10">
      <w:pPr>
        <w:rPr>
          <w:rFonts w:hint="eastAsia" w:ascii="宋体" w:hAnsi="宋体" w:eastAsia="宋体"/>
        </w:rPr>
      </w:pPr>
    </w:p>
    <w:p w14:paraId="0F466228">
      <w:pPr>
        <w:outlineLvl w:val="1"/>
        <w:rPr>
          <w:rFonts w:hint="eastAsia" w:ascii="宋体" w:hAnsi="宋体" w:eastAsia="宋体"/>
          <w:i w:val="0"/>
          <w:iCs/>
          <w:sz w:val="32"/>
          <w:szCs w:val="32"/>
          <w:u w:val="none"/>
        </w:rPr>
      </w:pPr>
      <w:r>
        <w:rPr>
          <w:rFonts w:hint="eastAsia" w:ascii="宋体" w:hAnsi="宋体" w:eastAsia="宋体"/>
          <w:i/>
          <w:sz w:val="32"/>
          <w:szCs w:val="32"/>
          <w:u w:val="single"/>
        </w:rPr>
        <w:br w:type="page"/>
      </w:r>
      <w:r>
        <w:rPr>
          <w:rFonts w:hint="eastAsia" w:ascii="宋体" w:hAnsi="宋体" w:eastAsia="宋体"/>
          <w:i w:val="0"/>
          <w:iCs/>
          <w:sz w:val="32"/>
          <w:szCs w:val="32"/>
          <w:u w:val="none"/>
        </w:rPr>
        <w:t>三、依法缴纳税收和社会保障资金的相关证明材料（根据连财购〔2023〕4号文件精神，可提供《财务状况报告及税收、社会保障资金缴纳情况承诺函》）；</w:t>
      </w:r>
    </w:p>
    <w:p w14:paraId="0A5594D3">
      <w:pPr>
        <w:spacing w:line="360" w:lineRule="auto"/>
        <w:jc w:val="center"/>
        <w:rPr>
          <w:rFonts w:hint="eastAsia" w:ascii="宋体" w:hAnsi="宋体" w:eastAsia="宋体"/>
          <w:bCs/>
          <w:color w:val="000000"/>
          <w:sz w:val="36"/>
          <w:szCs w:val="36"/>
        </w:rPr>
      </w:pPr>
      <w:bookmarkStart w:id="244" w:name="_Toc120614284"/>
      <w:r>
        <w:rPr>
          <w:rFonts w:hint="eastAsia" w:ascii="宋体" w:hAnsi="宋体" w:eastAsia="宋体"/>
          <w:bCs/>
          <w:color w:val="000000"/>
          <w:sz w:val="36"/>
          <w:szCs w:val="36"/>
        </w:rPr>
        <w:t>财务状况报告及税收、社会保障资金</w:t>
      </w:r>
    </w:p>
    <w:p w14:paraId="6E7D50DC">
      <w:pPr>
        <w:spacing w:line="360" w:lineRule="auto"/>
        <w:jc w:val="center"/>
        <w:rPr>
          <w:rFonts w:hint="eastAsia" w:ascii="宋体" w:hAnsi="宋体" w:eastAsia="宋体"/>
          <w:bCs/>
          <w:color w:val="000000"/>
          <w:sz w:val="36"/>
          <w:szCs w:val="36"/>
        </w:rPr>
      </w:pPr>
      <w:r>
        <w:rPr>
          <w:rFonts w:hint="eastAsia" w:ascii="宋体" w:hAnsi="宋体" w:eastAsia="宋体"/>
          <w:bCs/>
          <w:color w:val="000000"/>
          <w:sz w:val="36"/>
          <w:szCs w:val="36"/>
        </w:rPr>
        <w:t>缴纳情况承诺函</w:t>
      </w:r>
    </w:p>
    <w:p w14:paraId="1C0A3EF7">
      <w:pPr>
        <w:spacing w:line="560" w:lineRule="exact"/>
        <w:jc w:val="center"/>
        <w:rPr>
          <w:rFonts w:hint="eastAsia" w:ascii="宋体" w:hAnsi="宋体" w:eastAsia="宋体"/>
          <w:color w:val="000000"/>
          <w:sz w:val="24"/>
        </w:rPr>
      </w:pPr>
      <w:r>
        <w:rPr>
          <w:rFonts w:hint="eastAsia" w:ascii="宋体" w:hAnsi="宋体" w:eastAsia="宋体"/>
          <w:color w:val="000000"/>
          <w:sz w:val="24"/>
        </w:rPr>
        <w:t xml:space="preserve"> </w:t>
      </w:r>
    </w:p>
    <w:p w14:paraId="7755840F">
      <w:pPr>
        <w:spacing w:line="360" w:lineRule="auto"/>
        <w:rPr>
          <w:rFonts w:hint="eastAsia" w:ascii="宋体" w:hAnsi="宋体" w:eastAsia="宋体"/>
          <w:color w:val="000000"/>
          <w:sz w:val="24"/>
        </w:rPr>
      </w:pPr>
      <w:r>
        <w:rPr>
          <w:rFonts w:hint="eastAsia" w:ascii="宋体" w:hAnsi="宋体" w:eastAsia="宋体"/>
          <w:color w:val="000000"/>
          <w:sz w:val="24"/>
        </w:rPr>
        <w:t>致：</w:t>
      </w:r>
      <w:r>
        <w:rPr>
          <w:rFonts w:hint="eastAsia" w:ascii="宋体" w:hAnsi="宋体" w:eastAsia="宋体"/>
          <w:color w:val="000000"/>
          <w:sz w:val="24"/>
          <w:u w:val="single"/>
        </w:rPr>
        <w:t>采购人名称</w:t>
      </w:r>
    </w:p>
    <w:p w14:paraId="1BE86ABE">
      <w:pPr>
        <w:spacing w:line="360" w:lineRule="auto"/>
        <w:ind w:firstLine="480"/>
        <w:rPr>
          <w:rFonts w:hint="eastAsia" w:ascii="宋体" w:hAnsi="宋体" w:eastAsia="宋体"/>
          <w:color w:val="000000"/>
          <w:sz w:val="24"/>
        </w:rPr>
      </w:pPr>
      <w:r>
        <w:rPr>
          <w:rFonts w:hint="eastAsia" w:ascii="宋体" w:hAnsi="宋体" w:eastAsia="宋体"/>
          <w:color w:val="000000"/>
          <w:sz w:val="24"/>
        </w:rPr>
        <w:t>我方</w:t>
      </w:r>
      <w:r>
        <w:rPr>
          <w:rFonts w:hint="eastAsia" w:ascii="宋体" w:hAnsi="宋体" w:eastAsia="宋体"/>
          <w:color w:val="000000"/>
          <w:sz w:val="24"/>
          <w:u w:val="single"/>
        </w:rPr>
        <w:t>供应商名称</w:t>
      </w:r>
      <w:r>
        <w:rPr>
          <w:rFonts w:hint="eastAsia" w:ascii="宋体" w:hAnsi="宋体" w:eastAsia="宋体"/>
          <w:color w:val="000000"/>
          <w:sz w:val="24"/>
        </w:rPr>
        <w:t>参加</w:t>
      </w:r>
      <w:r>
        <w:rPr>
          <w:rFonts w:hint="eastAsia" w:ascii="宋体" w:hAnsi="宋体" w:eastAsia="宋体"/>
          <w:color w:val="000000"/>
          <w:sz w:val="24"/>
          <w:u w:val="single"/>
        </w:rPr>
        <w:t>项目名称</w:t>
      </w:r>
      <w:r>
        <w:rPr>
          <w:rFonts w:hint="eastAsia" w:ascii="宋体" w:hAnsi="宋体" w:eastAsia="宋体"/>
          <w:color w:val="000000"/>
          <w:sz w:val="24"/>
        </w:rPr>
        <w:t>（项目编号：</w:t>
      </w:r>
      <w:r>
        <w:rPr>
          <w:rFonts w:hint="eastAsia" w:ascii="宋体" w:hAnsi="宋体" w:eastAsia="宋体"/>
          <w:color w:val="000000"/>
          <w:sz w:val="24"/>
          <w:u w:val="single"/>
        </w:rPr>
        <w:t>项目编号</w:t>
      </w:r>
      <w:r>
        <w:rPr>
          <w:rFonts w:hint="eastAsia" w:ascii="宋体" w:hAnsi="宋体" w:eastAsia="宋体"/>
          <w:color w:val="000000"/>
          <w:sz w:val="24"/>
        </w:rPr>
        <w:t>）采购，根据《</w:t>
      </w:r>
      <w:r>
        <w:rPr>
          <w:rStyle w:val="317"/>
          <w:rFonts w:hint="eastAsia" w:ascii="宋体" w:hAnsi="宋体" w:eastAsia="宋体"/>
          <w:color w:val="000000"/>
          <w:sz w:val="24"/>
        </w:rPr>
        <w:t>关于简化政府采购供应商资格审查有关事项的通知</w:t>
      </w:r>
      <w:r>
        <w:rPr>
          <w:rFonts w:hint="eastAsia" w:ascii="宋体" w:hAnsi="宋体" w:eastAsia="宋体"/>
          <w:color w:val="000000"/>
          <w:sz w:val="24"/>
        </w:rPr>
        <w:t>》（连财购〔2023〕4号），我方承诺具备《中华人民共和国政府采购法》第二十二条第（二）、第（四）项，《中华人民共和国政府采购法实施条例》第十七条第（二）项规定条件的，具体包括：</w:t>
      </w:r>
    </w:p>
    <w:p w14:paraId="0D7F3518">
      <w:pPr>
        <w:spacing w:line="360" w:lineRule="auto"/>
        <w:ind w:left="360" w:firstLine="240"/>
        <w:rPr>
          <w:rFonts w:hint="eastAsia" w:ascii="宋体" w:hAnsi="宋体" w:eastAsia="宋体"/>
          <w:color w:val="000000"/>
          <w:sz w:val="24"/>
        </w:rPr>
      </w:pPr>
      <w:r>
        <w:rPr>
          <w:rFonts w:hint="eastAsia" w:ascii="宋体" w:hAnsi="宋体" w:eastAsia="宋体"/>
          <w:color w:val="000000"/>
          <w:sz w:val="24"/>
        </w:rPr>
        <w:t>（1）具有良好的商业信誉和健全的财务会计制度（财务状况报告）；</w:t>
      </w:r>
    </w:p>
    <w:p w14:paraId="56CBDB6F">
      <w:pPr>
        <w:spacing w:line="360" w:lineRule="auto"/>
        <w:ind w:left="360" w:firstLine="240"/>
        <w:rPr>
          <w:rFonts w:hint="eastAsia" w:ascii="宋体" w:hAnsi="宋体" w:eastAsia="宋体"/>
          <w:color w:val="000000"/>
          <w:sz w:val="24"/>
        </w:rPr>
      </w:pPr>
      <w:r>
        <w:rPr>
          <w:rFonts w:hint="eastAsia" w:ascii="宋体" w:hAnsi="宋体" w:eastAsia="宋体"/>
          <w:color w:val="000000"/>
          <w:sz w:val="24"/>
        </w:rPr>
        <w:t>（2）有依法缴纳税收和社会保障资金的良好记录。</w:t>
      </w:r>
    </w:p>
    <w:p w14:paraId="2222676A">
      <w:pPr>
        <w:widowControl/>
        <w:spacing w:line="360" w:lineRule="auto"/>
        <w:ind w:firstLine="480"/>
        <w:jc w:val="left"/>
        <w:rPr>
          <w:rFonts w:hint="eastAsia" w:ascii="宋体" w:hAnsi="宋体" w:eastAsia="宋体"/>
          <w:color w:val="000000"/>
          <w:sz w:val="24"/>
        </w:rPr>
      </w:pPr>
      <w:r>
        <w:rPr>
          <w:rFonts w:hint="eastAsia" w:ascii="宋体" w:hAnsi="宋体" w:eastAsia="宋体"/>
          <w:color w:val="000000"/>
          <w:sz w:val="24"/>
        </w:rPr>
        <w:t>我方对上述承诺的真实性负责，如有虚假，将依法承担提供虚假材料谋取中标、成交责任，同时同意有关主管部门将相关失信信息记入公共信用信息系统并在相关政府门户网站公开。</w:t>
      </w:r>
    </w:p>
    <w:p w14:paraId="0C931351">
      <w:pPr>
        <w:widowControl/>
        <w:spacing w:line="360" w:lineRule="auto"/>
        <w:ind w:firstLine="480"/>
        <w:jc w:val="left"/>
        <w:rPr>
          <w:rFonts w:hint="eastAsia" w:ascii="宋体" w:hAnsi="宋体" w:eastAsia="宋体"/>
          <w:color w:val="000000"/>
          <w:sz w:val="24"/>
        </w:rPr>
      </w:pPr>
      <w:r>
        <w:rPr>
          <w:rFonts w:hint="eastAsia" w:ascii="宋体" w:hAnsi="宋体" w:eastAsia="宋体"/>
          <w:color w:val="000000"/>
          <w:sz w:val="24"/>
        </w:rPr>
        <w:t>特此承诺</w:t>
      </w:r>
    </w:p>
    <w:p w14:paraId="0FCC9367">
      <w:pPr>
        <w:spacing w:line="360" w:lineRule="auto"/>
        <w:ind w:left="360" w:firstLine="405"/>
        <w:rPr>
          <w:rFonts w:hint="eastAsia" w:ascii="宋体" w:hAnsi="宋体" w:eastAsia="宋体"/>
          <w:color w:val="000000"/>
          <w:sz w:val="24"/>
        </w:rPr>
      </w:pPr>
    </w:p>
    <w:p w14:paraId="73668CDF">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供应商（公章）：          </w:t>
      </w:r>
    </w:p>
    <w:p w14:paraId="5A5891CC">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 </w:t>
      </w:r>
    </w:p>
    <w:p w14:paraId="67B559E6">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法定代表人或其委托代理人（签名或签章）：</w:t>
      </w:r>
    </w:p>
    <w:p w14:paraId="23FE0D96">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 xml:space="preserve"> </w:t>
      </w:r>
    </w:p>
    <w:p w14:paraId="199D9CCA">
      <w:pPr>
        <w:spacing w:line="360" w:lineRule="auto"/>
        <w:ind w:left="360" w:firstLine="405"/>
        <w:rPr>
          <w:rFonts w:hint="eastAsia" w:ascii="宋体" w:hAnsi="宋体" w:eastAsia="宋体"/>
          <w:color w:val="000000"/>
          <w:sz w:val="24"/>
        </w:rPr>
      </w:pPr>
      <w:r>
        <w:rPr>
          <w:rFonts w:hint="eastAsia" w:ascii="宋体" w:hAnsi="宋体" w:eastAsia="宋体"/>
          <w:color w:val="000000"/>
          <w:sz w:val="24"/>
        </w:rPr>
        <w:t>日期：</w:t>
      </w:r>
    </w:p>
    <w:p w14:paraId="74C1C4A1">
      <w:pPr>
        <w:spacing w:line="360" w:lineRule="auto"/>
        <w:rPr>
          <w:rFonts w:hint="eastAsia" w:ascii="宋体" w:hAnsi="宋体" w:eastAsia="宋体"/>
        </w:rPr>
      </w:pPr>
    </w:p>
    <w:p w14:paraId="6B218179">
      <w:pPr>
        <w:rPr>
          <w:rFonts w:hint="eastAsia" w:ascii="宋体" w:hAnsi="宋体" w:eastAsia="宋体"/>
        </w:rPr>
      </w:pPr>
    </w:p>
    <w:p w14:paraId="2F013FAB">
      <w:pPr>
        <w:rPr>
          <w:rFonts w:hint="eastAsia" w:ascii="宋体" w:hAnsi="宋体" w:eastAsia="宋体"/>
        </w:rPr>
      </w:pPr>
    </w:p>
    <w:p w14:paraId="1FA7429E">
      <w:pPr>
        <w:rPr>
          <w:rFonts w:hint="eastAsia" w:ascii="宋体" w:hAnsi="宋体" w:eastAsia="宋体"/>
        </w:rPr>
      </w:pPr>
    </w:p>
    <w:p w14:paraId="64A2937F">
      <w:pPr>
        <w:rPr>
          <w:rFonts w:hint="eastAsia" w:ascii="宋体" w:hAnsi="宋体" w:eastAsia="宋体"/>
          <w:i/>
          <w:sz w:val="32"/>
          <w:szCs w:val="32"/>
          <w:u w:val="single"/>
        </w:rPr>
      </w:pPr>
    </w:p>
    <w:p w14:paraId="591AF575">
      <w:pPr>
        <w:outlineLvl w:val="1"/>
        <w:rPr>
          <w:rFonts w:hint="eastAsia" w:ascii="宋体" w:hAnsi="宋体" w:eastAsia="宋体"/>
          <w:i w:val="0"/>
          <w:iCs/>
          <w:sz w:val="32"/>
          <w:szCs w:val="32"/>
          <w:u w:val="none"/>
        </w:rPr>
      </w:pPr>
      <w:r>
        <w:rPr>
          <w:rFonts w:hint="eastAsia" w:ascii="宋体" w:hAnsi="宋体" w:eastAsia="宋体"/>
          <w:i/>
          <w:sz w:val="32"/>
          <w:szCs w:val="32"/>
          <w:u w:val="single"/>
        </w:rPr>
        <w:br w:type="page"/>
      </w:r>
      <w:r>
        <w:rPr>
          <w:rFonts w:hint="eastAsia" w:ascii="宋体" w:hAnsi="宋体" w:eastAsia="宋体"/>
          <w:i w:val="0"/>
          <w:iCs/>
          <w:sz w:val="32"/>
          <w:szCs w:val="32"/>
          <w:u w:val="none"/>
        </w:rPr>
        <w:t>四、具备履行合同所必需的设备和专业技术能力的书面声明</w:t>
      </w:r>
    </w:p>
    <w:p w14:paraId="61206E12">
      <w:pPr>
        <w:spacing w:line="360" w:lineRule="auto"/>
        <w:ind w:firstLine="492"/>
        <w:rPr>
          <w:rFonts w:hint="eastAsia" w:ascii="宋体" w:hAnsi="宋体" w:eastAsia="宋体"/>
          <w:bCs/>
          <w:sz w:val="24"/>
        </w:rPr>
      </w:pPr>
    </w:p>
    <w:p w14:paraId="60515D15">
      <w:pPr>
        <w:spacing w:line="360" w:lineRule="auto"/>
        <w:ind w:firstLine="492"/>
        <w:rPr>
          <w:rFonts w:hint="eastAsia" w:ascii="宋体" w:hAnsi="宋体" w:eastAsia="宋体"/>
          <w:bCs/>
          <w:sz w:val="24"/>
        </w:rPr>
      </w:pPr>
      <w:r>
        <w:rPr>
          <w:rFonts w:hint="eastAsia" w:ascii="宋体" w:hAnsi="宋体" w:eastAsia="宋体"/>
          <w:bCs/>
          <w:sz w:val="24"/>
        </w:rPr>
        <w:t>我单位郑重声明：我单位具备履行本项采购合同所必需的设备和专业技术能力，为履行本项采购合同我公司具备如下主要设备和主要专业技术能力：</w:t>
      </w:r>
    </w:p>
    <w:p w14:paraId="7CF03FB1">
      <w:pPr>
        <w:spacing w:line="360" w:lineRule="auto"/>
        <w:ind w:firstLine="492"/>
        <w:rPr>
          <w:rFonts w:hint="eastAsia" w:ascii="宋体" w:hAnsi="宋体" w:eastAsia="宋体"/>
          <w:bCs/>
          <w:sz w:val="24"/>
        </w:rPr>
      </w:pPr>
      <w:r>
        <w:rPr>
          <w:rFonts w:hint="eastAsia" w:ascii="宋体" w:hAnsi="宋体" w:eastAsia="宋体"/>
          <w:bCs/>
          <w:sz w:val="24"/>
        </w:rPr>
        <w:t>主要设备有：</w:t>
      </w:r>
      <w:r>
        <w:rPr>
          <w:rFonts w:hint="eastAsia" w:ascii="宋体" w:hAnsi="宋体" w:eastAsia="宋体"/>
          <w:bCs/>
          <w:sz w:val="24"/>
          <w:u w:val="single"/>
        </w:rPr>
        <w:t xml:space="preserve"> </w:t>
      </w:r>
      <w:r>
        <w:rPr>
          <w:rFonts w:hint="eastAsia" w:ascii="宋体" w:hAnsi="宋体"/>
          <w:bCs/>
          <w:sz w:val="24"/>
          <w:u w:val="single"/>
          <w:lang w:val="en-US" w:eastAsia="zh-CN"/>
        </w:rPr>
        <w:t xml:space="preserve">      </w:t>
      </w:r>
      <w:r>
        <w:rPr>
          <w:rFonts w:hint="eastAsia" w:ascii="宋体" w:hAnsi="宋体" w:eastAsia="宋体"/>
          <w:bCs/>
          <w:sz w:val="24"/>
          <w:u w:val="single"/>
        </w:rPr>
        <w:t xml:space="preserve"> </w:t>
      </w:r>
      <w:r>
        <w:rPr>
          <w:rFonts w:hint="eastAsia" w:ascii="宋体" w:hAnsi="宋体" w:eastAsia="宋体"/>
          <w:bCs/>
          <w:sz w:val="24"/>
        </w:rPr>
        <w:t>。</w:t>
      </w:r>
    </w:p>
    <w:p w14:paraId="30DD69DF">
      <w:pPr>
        <w:spacing w:line="360" w:lineRule="auto"/>
        <w:ind w:firstLine="492"/>
        <w:rPr>
          <w:rFonts w:hint="eastAsia" w:ascii="宋体" w:hAnsi="宋体" w:eastAsia="宋体"/>
          <w:bCs/>
          <w:sz w:val="24"/>
        </w:rPr>
      </w:pPr>
      <w:r>
        <w:rPr>
          <w:rFonts w:hint="eastAsia" w:ascii="宋体" w:hAnsi="宋体" w:eastAsia="宋体"/>
          <w:bCs/>
          <w:sz w:val="24"/>
        </w:rPr>
        <w:t>主要专业技术能力有：</w:t>
      </w:r>
      <w:r>
        <w:rPr>
          <w:rFonts w:hint="eastAsia" w:ascii="宋体" w:hAnsi="宋体" w:eastAsia="宋体"/>
          <w:bCs/>
          <w:sz w:val="24"/>
          <w:u w:val="single"/>
        </w:rPr>
        <w:t xml:space="preserve">  </w:t>
      </w:r>
      <w:r>
        <w:rPr>
          <w:rFonts w:hint="eastAsia" w:ascii="宋体" w:hAnsi="宋体"/>
          <w:bCs/>
          <w:sz w:val="24"/>
          <w:u w:val="single"/>
          <w:lang w:val="en-US" w:eastAsia="zh-CN"/>
        </w:rPr>
        <w:t xml:space="preserve">         </w:t>
      </w:r>
      <w:r>
        <w:rPr>
          <w:rFonts w:hint="eastAsia" w:ascii="宋体" w:hAnsi="宋体" w:eastAsia="宋体"/>
          <w:bCs/>
          <w:sz w:val="24"/>
          <w:u w:val="single"/>
        </w:rPr>
        <w:t xml:space="preserve"> </w:t>
      </w:r>
      <w:r>
        <w:rPr>
          <w:rFonts w:hint="eastAsia" w:ascii="宋体" w:hAnsi="宋体" w:eastAsia="宋体"/>
          <w:bCs/>
          <w:sz w:val="24"/>
        </w:rPr>
        <w:t>。</w:t>
      </w:r>
    </w:p>
    <w:p w14:paraId="4BE248E2">
      <w:pPr>
        <w:spacing w:line="360" w:lineRule="auto"/>
        <w:ind w:firstLine="480" w:firstLineChars="200"/>
        <w:rPr>
          <w:rFonts w:hint="eastAsia" w:ascii="宋体" w:hAnsi="宋体" w:eastAsia="宋体"/>
          <w:bCs/>
          <w:sz w:val="24"/>
        </w:rPr>
      </w:pPr>
      <w:r>
        <w:rPr>
          <w:rFonts w:hint="eastAsia" w:ascii="宋体" w:hAnsi="宋体" w:eastAsia="宋体"/>
          <w:bCs/>
          <w:sz w:val="24"/>
        </w:rPr>
        <w:t xml:space="preserve">供应商（公章）：          </w:t>
      </w:r>
    </w:p>
    <w:p w14:paraId="7A4C58BE">
      <w:pPr>
        <w:spacing w:line="360" w:lineRule="auto"/>
        <w:ind w:firstLine="480" w:firstLineChars="200"/>
        <w:rPr>
          <w:rFonts w:hint="eastAsia" w:ascii="宋体" w:hAnsi="宋体" w:eastAsia="宋体"/>
          <w:bCs/>
          <w:sz w:val="24"/>
        </w:rPr>
      </w:pPr>
      <w:r>
        <w:rPr>
          <w:rFonts w:hint="eastAsia" w:ascii="宋体" w:hAnsi="宋体" w:eastAsia="宋体"/>
          <w:bCs/>
          <w:sz w:val="24"/>
        </w:rPr>
        <w:t xml:space="preserve"> </w:t>
      </w:r>
    </w:p>
    <w:p w14:paraId="47162A04">
      <w:pPr>
        <w:spacing w:line="360" w:lineRule="auto"/>
        <w:ind w:firstLine="480" w:firstLineChars="200"/>
        <w:rPr>
          <w:rFonts w:hint="eastAsia" w:ascii="宋体" w:hAnsi="宋体" w:eastAsia="宋体"/>
          <w:bCs/>
          <w:sz w:val="24"/>
        </w:rPr>
      </w:pPr>
      <w:r>
        <w:rPr>
          <w:rFonts w:hint="eastAsia" w:ascii="宋体" w:hAnsi="宋体" w:eastAsia="宋体"/>
          <w:bCs/>
          <w:sz w:val="24"/>
        </w:rPr>
        <w:t>法定代表人或其委托代理人（签名或签章）：</w:t>
      </w:r>
    </w:p>
    <w:p w14:paraId="1DE12246">
      <w:pPr>
        <w:spacing w:line="360" w:lineRule="auto"/>
        <w:ind w:firstLine="480" w:firstLineChars="200"/>
        <w:rPr>
          <w:rFonts w:hint="eastAsia" w:ascii="宋体" w:hAnsi="宋体" w:eastAsia="宋体"/>
          <w:bCs/>
          <w:sz w:val="24"/>
        </w:rPr>
      </w:pPr>
      <w:r>
        <w:rPr>
          <w:rFonts w:hint="eastAsia" w:ascii="宋体" w:hAnsi="宋体" w:eastAsia="宋体"/>
          <w:bCs/>
          <w:sz w:val="24"/>
        </w:rPr>
        <w:t xml:space="preserve"> </w:t>
      </w:r>
    </w:p>
    <w:p w14:paraId="3081D29E">
      <w:pPr>
        <w:spacing w:line="360" w:lineRule="auto"/>
        <w:ind w:firstLine="480" w:firstLineChars="200"/>
        <w:rPr>
          <w:rFonts w:hint="eastAsia" w:ascii="宋体" w:hAnsi="宋体" w:eastAsia="宋体"/>
          <w:bCs/>
          <w:sz w:val="24"/>
        </w:rPr>
      </w:pPr>
      <w:r>
        <w:rPr>
          <w:rFonts w:hint="eastAsia" w:ascii="宋体" w:hAnsi="宋体" w:eastAsia="宋体"/>
          <w:bCs/>
          <w:sz w:val="24"/>
        </w:rPr>
        <w:t>日期：</w:t>
      </w:r>
    </w:p>
    <w:p w14:paraId="11454E9D">
      <w:pPr>
        <w:spacing w:line="460" w:lineRule="exact"/>
        <w:rPr>
          <w:rFonts w:hint="eastAsia" w:ascii="宋体" w:hAnsi="宋体" w:eastAsia="宋体"/>
          <w:bCs/>
          <w:sz w:val="24"/>
        </w:rPr>
      </w:pPr>
      <w:r>
        <w:rPr>
          <w:rFonts w:hint="eastAsia" w:ascii="宋体" w:hAnsi="宋体" w:eastAsia="宋体"/>
          <w:bCs/>
          <w:sz w:val="24"/>
        </w:rPr>
        <w:t xml:space="preserve">         </w:t>
      </w:r>
    </w:p>
    <w:p w14:paraId="388FBAEE">
      <w:pPr>
        <w:spacing w:line="460" w:lineRule="exact"/>
        <w:rPr>
          <w:rFonts w:hint="eastAsia" w:ascii="宋体" w:hAnsi="宋体" w:eastAsia="宋体"/>
          <w:bCs/>
          <w:sz w:val="24"/>
        </w:rPr>
      </w:pPr>
    </w:p>
    <w:p w14:paraId="72618D25">
      <w:pPr>
        <w:spacing w:line="460" w:lineRule="exact"/>
        <w:rPr>
          <w:rFonts w:hint="eastAsia" w:ascii="宋体" w:hAnsi="宋体" w:eastAsia="宋体"/>
          <w:bCs/>
          <w:sz w:val="24"/>
        </w:rPr>
      </w:pPr>
    </w:p>
    <w:p w14:paraId="261F1746">
      <w:pPr>
        <w:spacing w:line="460" w:lineRule="exact"/>
        <w:rPr>
          <w:rFonts w:hint="eastAsia" w:ascii="宋体" w:hAnsi="宋体" w:eastAsia="宋体"/>
          <w:bCs/>
          <w:sz w:val="24"/>
        </w:rPr>
      </w:pPr>
    </w:p>
    <w:p w14:paraId="1A296690">
      <w:pPr>
        <w:spacing w:line="460" w:lineRule="exact"/>
        <w:rPr>
          <w:rFonts w:hint="eastAsia" w:ascii="宋体" w:hAnsi="宋体" w:eastAsia="宋体"/>
          <w:bCs/>
          <w:sz w:val="24"/>
        </w:rPr>
      </w:pPr>
    </w:p>
    <w:p w14:paraId="20854733">
      <w:pPr>
        <w:spacing w:line="460" w:lineRule="exact"/>
        <w:rPr>
          <w:rFonts w:hint="eastAsia" w:ascii="宋体" w:hAnsi="宋体" w:eastAsia="宋体"/>
          <w:bCs/>
          <w:sz w:val="24"/>
        </w:rPr>
      </w:pPr>
    </w:p>
    <w:p w14:paraId="3843E648">
      <w:pPr>
        <w:spacing w:line="460" w:lineRule="exact"/>
        <w:rPr>
          <w:rFonts w:hint="eastAsia" w:ascii="宋体" w:hAnsi="宋体" w:eastAsia="宋体"/>
          <w:bCs/>
          <w:sz w:val="24"/>
        </w:rPr>
      </w:pPr>
    </w:p>
    <w:p w14:paraId="1B8D62A4">
      <w:pPr>
        <w:spacing w:line="460" w:lineRule="exact"/>
        <w:rPr>
          <w:rFonts w:hint="eastAsia" w:ascii="宋体" w:hAnsi="宋体" w:eastAsia="宋体"/>
          <w:bCs/>
          <w:sz w:val="24"/>
        </w:rPr>
      </w:pPr>
    </w:p>
    <w:p w14:paraId="5C6814EA">
      <w:pPr>
        <w:spacing w:line="460" w:lineRule="exact"/>
        <w:rPr>
          <w:rFonts w:hint="eastAsia" w:ascii="宋体" w:hAnsi="宋体" w:eastAsia="宋体"/>
          <w:bCs/>
          <w:sz w:val="24"/>
        </w:rPr>
      </w:pPr>
    </w:p>
    <w:p w14:paraId="1C48B682">
      <w:pPr>
        <w:outlineLvl w:val="1"/>
        <w:rPr>
          <w:rFonts w:hint="eastAsia" w:ascii="宋体" w:hAnsi="宋体" w:eastAsia="宋体"/>
          <w:i w:val="0"/>
          <w:iCs/>
          <w:sz w:val="32"/>
          <w:szCs w:val="32"/>
          <w:u w:val="none"/>
        </w:rPr>
      </w:pPr>
      <w:r>
        <w:rPr>
          <w:rFonts w:hint="eastAsia" w:ascii="宋体" w:hAnsi="宋体" w:eastAsia="宋体"/>
          <w:i/>
          <w:sz w:val="32"/>
          <w:szCs w:val="32"/>
          <w:u w:val="single"/>
        </w:rPr>
        <w:br w:type="page"/>
      </w:r>
      <w:r>
        <w:rPr>
          <w:rFonts w:hint="eastAsia" w:ascii="宋体" w:hAnsi="宋体" w:eastAsia="宋体"/>
          <w:i w:val="0"/>
          <w:iCs/>
          <w:sz w:val="32"/>
          <w:szCs w:val="32"/>
          <w:u w:val="none"/>
        </w:rPr>
        <w:t>五、参加政府采购活动前 3 年内在经营活动中没有重大违法记录的书面声明</w:t>
      </w:r>
    </w:p>
    <w:p w14:paraId="02F47301">
      <w:pPr>
        <w:spacing w:line="460" w:lineRule="exact"/>
        <w:rPr>
          <w:rFonts w:hint="eastAsia" w:ascii="宋体" w:hAnsi="宋体" w:eastAsia="宋体"/>
          <w:b/>
          <w:bCs/>
          <w:sz w:val="44"/>
          <w:szCs w:val="44"/>
        </w:rPr>
      </w:pPr>
      <w:r>
        <w:rPr>
          <w:rFonts w:hint="eastAsia" w:ascii="宋体" w:hAnsi="宋体" w:eastAsia="宋体"/>
          <w:b/>
          <w:bCs/>
          <w:sz w:val="44"/>
          <w:szCs w:val="44"/>
        </w:rPr>
        <w:t xml:space="preserve">                 声  明</w:t>
      </w:r>
    </w:p>
    <w:p w14:paraId="6FF5F7C1">
      <w:pPr>
        <w:spacing w:line="360" w:lineRule="auto"/>
        <w:ind w:firstLine="481"/>
        <w:rPr>
          <w:rFonts w:hint="eastAsia" w:ascii="宋体" w:hAnsi="宋体" w:eastAsia="宋体"/>
          <w:bCs/>
          <w:sz w:val="24"/>
          <w:szCs w:val="24"/>
        </w:rPr>
      </w:pPr>
      <w:r>
        <w:rPr>
          <w:rFonts w:hint="eastAsia" w:ascii="宋体" w:hAnsi="宋体" w:eastAsia="宋体"/>
          <w:bCs/>
          <w:sz w:val="24"/>
          <w:szCs w:val="24"/>
        </w:rPr>
        <w:t>我单位郑重声明：参加本次政府采购活动前 3 年内，我单位在经营活动中没有因违法经营受到刑事处罚或者责令停产停业、吊销许可证或者执照、较大数额罚款等行政处罚。</w:t>
      </w:r>
    </w:p>
    <w:p w14:paraId="539DDDB3">
      <w:pPr>
        <w:spacing w:line="360" w:lineRule="auto"/>
        <w:rPr>
          <w:rFonts w:hint="eastAsia" w:ascii="宋体" w:hAnsi="宋体" w:eastAsia="宋体"/>
          <w:sz w:val="24"/>
          <w:szCs w:val="24"/>
        </w:rPr>
      </w:pPr>
    </w:p>
    <w:p w14:paraId="3ABD762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 xml:space="preserve">供应商（公章）：          </w:t>
      </w:r>
    </w:p>
    <w:p w14:paraId="05C4A990">
      <w:pPr>
        <w:spacing w:line="360" w:lineRule="auto"/>
        <w:rPr>
          <w:rFonts w:hint="eastAsia" w:ascii="宋体" w:hAnsi="宋体" w:eastAsia="宋体"/>
          <w:sz w:val="24"/>
          <w:szCs w:val="24"/>
        </w:rPr>
      </w:pPr>
      <w:r>
        <w:rPr>
          <w:rFonts w:hint="eastAsia" w:ascii="宋体" w:hAnsi="宋体" w:eastAsia="宋体"/>
          <w:sz w:val="24"/>
          <w:szCs w:val="24"/>
        </w:rPr>
        <w:t xml:space="preserve"> </w:t>
      </w:r>
    </w:p>
    <w:p w14:paraId="55C0DA4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法定代表人或其委托代理人（签名或签章）：</w:t>
      </w:r>
    </w:p>
    <w:p w14:paraId="53E104E5">
      <w:pPr>
        <w:spacing w:line="360" w:lineRule="auto"/>
        <w:rPr>
          <w:rFonts w:hint="eastAsia" w:ascii="宋体" w:hAnsi="宋体" w:eastAsia="宋体"/>
          <w:sz w:val="24"/>
          <w:szCs w:val="24"/>
        </w:rPr>
      </w:pPr>
      <w:r>
        <w:rPr>
          <w:rFonts w:hint="eastAsia" w:ascii="宋体" w:hAnsi="宋体" w:eastAsia="宋体"/>
          <w:sz w:val="24"/>
          <w:szCs w:val="24"/>
        </w:rPr>
        <w:t xml:space="preserve">   </w:t>
      </w:r>
    </w:p>
    <w:p w14:paraId="3B4FDC8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日期：</w:t>
      </w:r>
    </w:p>
    <w:p w14:paraId="7F9ABA66">
      <w:pPr>
        <w:rPr>
          <w:rFonts w:hint="eastAsia" w:ascii="宋体" w:hAnsi="宋体" w:eastAsia="宋体"/>
        </w:rPr>
      </w:pPr>
    </w:p>
    <w:p w14:paraId="4EC14B8F">
      <w:pPr>
        <w:rPr>
          <w:rFonts w:hint="eastAsia" w:ascii="宋体" w:hAnsi="宋体" w:eastAsia="宋体"/>
          <w:i/>
          <w:sz w:val="32"/>
          <w:szCs w:val="32"/>
          <w:u w:val="single"/>
        </w:rPr>
      </w:pPr>
    </w:p>
    <w:p w14:paraId="4377F1CD">
      <w:pPr>
        <w:rPr>
          <w:rFonts w:hint="eastAsia" w:ascii="宋体" w:hAnsi="宋体" w:eastAsia="宋体"/>
          <w:i/>
          <w:sz w:val="32"/>
          <w:szCs w:val="32"/>
          <w:u w:val="single"/>
        </w:rPr>
      </w:pPr>
    </w:p>
    <w:p w14:paraId="16ED49FF">
      <w:pPr>
        <w:rPr>
          <w:rFonts w:hint="eastAsia" w:ascii="宋体" w:hAnsi="宋体" w:eastAsia="宋体"/>
          <w:i/>
          <w:sz w:val="32"/>
          <w:szCs w:val="32"/>
          <w:u w:val="single"/>
        </w:rPr>
      </w:pPr>
    </w:p>
    <w:p w14:paraId="3B1AE008">
      <w:pPr>
        <w:rPr>
          <w:rFonts w:hint="eastAsia" w:ascii="宋体" w:hAnsi="宋体" w:eastAsia="宋体"/>
          <w:i/>
          <w:sz w:val="32"/>
          <w:szCs w:val="32"/>
          <w:u w:val="single"/>
        </w:rPr>
      </w:pPr>
    </w:p>
    <w:p w14:paraId="6CB9140D">
      <w:pPr>
        <w:rPr>
          <w:rFonts w:hint="eastAsia" w:ascii="宋体" w:hAnsi="宋体" w:eastAsia="宋体"/>
          <w:i/>
          <w:sz w:val="32"/>
          <w:szCs w:val="32"/>
          <w:u w:val="single"/>
        </w:rPr>
      </w:pPr>
    </w:p>
    <w:p w14:paraId="4B2DFCCC">
      <w:pPr>
        <w:rPr>
          <w:rFonts w:hint="eastAsia" w:ascii="宋体" w:hAnsi="宋体" w:eastAsia="宋体"/>
          <w:i/>
          <w:sz w:val="32"/>
          <w:szCs w:val="32"/>
          <w:u w:val="single"/>
        </w:rPr>
      </w:pPr>
    </w:p>
    <w:p w14:paraId="675B34BF">
      <w:pPr>
        <w:rPr>
          <w:rFonts w:hint="eastAsia" w:ascii="宋体" w:hAnsi="宋体" w:eastAsia="宋体"/>
          <w:i/>
          <w:sz w:val="32"/>
          <w:szCs w:val="32"/>
          <w:u w:val="single"/>
        </w:rPr>
      </w:pPr>
    </w:p>
    <w:p w14:paraId="75A16AA1">
      <w:pPr>
        <w:rPr>
          <w:rFonts w:hint="eastAsia" w:ascii="宋体" w:hAnsi="宋体" w:eastAsia="宋体"/>
          <w:i/>
          <w:sz w:val="32"/>
          <w:szCs w:val="32"/>
          <w:u w:val="single"/>
        </w:rPr>
      </w:pPr>
    </w:p>
    <w:p w14:paraId="5615ACFD">
      <w:pPr>
        <w:rPr>
          <w:rFonts w:hint="eastAsia" w:ascii="宋体" w:hAnsi="宋体" w:eastAsia="宋体"/>
          <w:i/>
          <w:sz w:val="32"/>
          <w:szCs w:val="32"/>
          <w:u w:val="single"/>
        </w:rPr>
      </w:pPr>
    </w:p>
    <w:p w14:paraId="12BCD560">
      <w:pPr>
        <w:outlineLvl w:val="1"/>
        <w:rPr>
          <w:rFonts w:hint="eastAsia" w:ascii="宋体" w:hAnsi="宋体" w:eastAsia="宋体"/>
          <w:i w:val="0"/>
          <w:iCs/>
          <w:sz w:val="32"/>
          <w:szCs w:val="32"/>
          <w:u w:val="none"/>
        </w:rPr>
      </w:pPr>
      <w:r>
        <w:rPr>
          <w:rFonts w:hint="eastAsia" w:ascii="宋体" w:hAnsi="宋体" w:eastAsia="宋体"/>
          <w:i/>
          <w:sz w:val="32"/>
          <w:szCs w:val="32"/>
          <w:u w:val="single"/>
        </w:rPr>
        <w:br w:type="page"/>
      </w:r>
      <w:r>
        <w:rPr>
          <w:rFonts w:hint="eastAsia" w:ascii="宋体" w:hAnsi="宋体" w:eastAsia="宋体"/>
          <w:i w:val="0"/>
          <w:iCs/>
          <w:sz w:val="32"/>
          <w:szCs w:val="32"/>
          <w:u w:val="none"/>
        </w:rPr>
        <w:t>六、特定资格要求的证明文件</w:t>
      </w:r>
    </w:p>
    <w:p w14:paraId="06BBBD58">
      <w:pPr>
        <w:spacing w:line="460" w:lineRule="exact"/>
        <w:rPr>
          <w:rFonts w:hint="eastAsia" w:ascii="宋体" w:hAnsi="宋体" w:eastAsia="宋体"/>
          <w:sz w:val="24"/>
        </w:rPr>
      </w:pPr>
      <w:r>
        <w:rPr>
          <w:rFonts w:hint="eastAsia" w:ascii="宋体" w:hAnsi="宋体" w:eastAsia="宋体"/>
          <w:sz w:val="24"/>
        </w:rPr>
        <w:t xml:space="preserve">    如果本项目申请人的特定资格要求中要求提供的，必须提供。</w:t>
      </w:r>
    </w:p>
    <w:p w14:paraId="21D173B1">
      <w:pPr>
        <w:spacing w:line="460" w:lineRule="exact"/>
        <w:rPr>
          <w:rFonts w:hint="eastAsia" w:ascii="宋体" w:hAnsi="宋体" w:eastAsia="宋体"/>
          <w:bCs/>
          <w:sz w:val="24"/>
        </w:rPr>
      </w:pPr>
    </w:p>
    <w:p w14:paraId="3C5C7D1A">
      <w:pPr>
        <w:spacing w:line="460" w:lineRule="exact"/>
        <w:rPr>
          <w:rFonts w:hint="eastAsia" w:ascii="宋体" w:hAnsi="宋体" w:eastAsia="宋体"/>
          <w:bCs/>
          <w:sz w:val="24"/>
        </w:rPr>
      </w:pPr>
    </w:p>
    <w:p w14:paraId="510C4F9D">
      <w:pPr>
        <w:spacing w:line="460" w:lineRule="exact"/>
        <w:rPr>
          <w:rFonts w:hint="eastAsia" w:ascii="宋体" w:hAnsi="宋体" w:eastAsia="宋体"/>
          <w:bCs/>
          <w:sz w:val="24"/>
        </w:rPr>
      </w:pPr>
    </w:p>
    <w:p w14:paraId="34C2878A">
      <w:pPr>
        <w:rPr>
          <w:rFonts w:hint="eastAsia" w:ascii="宋体" w:hAnsi="宋体" w:eastAsia="宋体"/>
        </w:rPr>
      </w:pPr>
    </w:p>
    <w:p w14:paraId="6820BF25">
      <w:pPr>
        <w:spacing w:line="460" w:lineRule="exact"/>
        <w:rPr>
          <w:rFonts w:hint="eastAsia" w:ascii="宋体" w:hAnsi="宋体" w:eastAsia="宋体"/>
          <w:bCs/>
          <w:sz w:val="24"/>
        </w:rPr>
      </w:pPr>
    </w:p>
    <w:p w14:paraId="572CE87A">
      <w:pPr>
        <w:rPr>
          <w:rFonts w:hint="eastAsia" w:ascii="宋体" w:hAnsi="宋体" w:eastAsia="宋体"/>
        </w:rPr>
      </w:pPr>
    </w:p>
    <w:p w14:paraId="79A6C62C">
      <w:pPr>
        <w:spacing w:line="460" w:lineRule="exact"/>
        <w:rPr>
          <w:rFonts w:hint="eastAsia" w:ascii="宋体" w:hAnsi="宋体" w:eastAsia="宋体"/>
          <w:bCs/>
          <w:sz w:val="24"/>
        </w:rPr>
      </w:pPr>
    </w:p>
    <w:p w14:paraId="09E974E4">
      <w:pPr>
        <w:rPr>
          <w:rFonts w:hint="eastAsia" w:ascii="宋体" w:hAnsi="宋体" w:eastAsia="宋体"/>
        </w:rPr>
      </w:pPr>
    </w:p>
    <w:p w14:paraId="10E07268">
      <w:pPr>
        <w:spacing w:line="460" w:lineRule="exact"/>
        <w:rPr>
          <w:rFonts w:hint="eastAsia" w:ascii="宋体" w:hAnsi="宋体" w:eastAsia="宋体"/>
          <w:bCs/>
          <w:sz w:val="24"/>
        </w:rPr>
      </w:pPr>
    </w:p>
    <w:p w14:paraId="2BF9F591">
      <w:pPr>
        <w:rPr>
          <w:rFonts w:hint="eastAsia" w:ascii="宋体" w:hAnsi="宋体" w:eastAsia="宋体"/>
        </w:rPr>
      </w:pPr>
    </w:p>
    <w:p w14:paraId="30DD68E0">
      <w:pPr>
        <w:spacing w:line="460" w:lineRule="exact"/>
        <w:rPr>
          <w:rFonts w:hint="eastAsia" w:ascii="宋体" w:hAnsi="宋体" w:eastAsia="宋体"/>
          <w:bCs/>
          <w:sz w:val="24"/>
        </w:rPr>
      </w:pPr>
    </w:p>
    <w:p w14:paraId="6C23C6E6">
      <w:pPr>
        <w:rPr>
          <w:rFonts w:hint="eastAsia" w:ascii="宋体" w:hAnsi="宋体" w:eastAsia="宋体"/>
        </w:rPr>
      </w:pPr>
    </w:p>
    <w:p w14:paraId="763FB923">
      <w:pPr>
        <w:spacing w:line="460" w:lineRule="exact"/>
        <w:rPr>
          <w:rFonts w:hint="eastAsia" w:ascii="宋体" w:hAnsi="宋体" w:eastAsia="宋体"/>
          <w:bCs/>
          <w:sz w:val="24"/>
        </w:rPr>
      </w:pPr>
    </w:p>
    <w:p w14:paraId="60490EB3">
      <w:pPr>
        <w:rPr>
          <w:rFonts w:hint="eastAsia" w:ascii="宋体" w:hAnsi="宋体" w:eastAsia="宋体"/>
        </w:rPr>
      </w:pPr>
    </w:p>
    <w:p w14:paraId="7F0A02A8">
      <w:pPr>
        <w:rPr>
          <w:rFonts w:hint="eastAsia" w:ascii="宋体" w:hAnsi="宋体" w:eastAsia="宋体"/>
        </w:rPr>
      </w:pPr>
    </w:p>
    <w:p w14:paraId="03458C51">
      <w:pPr>
        <w:outlineLvl w:val="1"/>
        <w:rPr>
          <w:rFonts w:hint="eastAsia" w:ascii="宋体" w:hAnsi="宋体" w:eastAsia="宋体"/>
          <w:i w:val="0"/>
          <w:iCs/>
          <w:sz w:val="32"/>
          <w:szCs w:val="32"/>
          <w:u w:val="none"/>
        </w:rPr>
      </w:pPr>
      <w:r>
        <w:rPr>
          <w:rFonts w:hint="eastAsia" w:ascii="宋体" w:hAnsi="宋体" w:eastAsia="宋体"/>
          <w:i/>
          <w:sz w:val="32"/>
          <w:szCs w:val="32"/>
          <w:u w:val="single"/>
        </w:rPr>
        <w:br w:type="page"/>
      </w:r>
      <w:r>
        <w:rPr>
          <w:rFonts w:hint="eastAsia" w:ascii="宋体" w:hAnsi="宋体" w:eastAsia="宋体"/>
          <w:i w:val="0"/>
          <w:iCs/>
          <w:sz w:val="32"/>
          <w:szCs w:val="32"/>
          <w:u w:val="none"/>
        </w:rPr>
        <w:t>七、法人授权书</w:t>
      </w:r>
    </w:p>
    <w:p w14:paraId="4F5621B7">
      <w:pPr>
        <w:pStyle w:val="291"/>
        <w:tabs>
          <w:tab w:val="clear" w:pos="360"/>
        </w:tabs>
        <w:ind w:firstLine="480"/>
        <w:rPr>
          <w:rFonts w:hint="eastAsia" w:ascii="宋体" w:hAnsi="宋体" w:eastAsia="宋体"/>
          <w:sz w:val="24"/>
          <w:szCs w:val="24"/>
        </w:rPr>
      </w:pPr>
    </w:p>
    <w:p w14:paraId="1334D1EB">
      <w:pPr>
        <w:pStyle w:val="291"/>
        <w:tabs>
          <w:tab w:val="clear" w:pos="360"/>
        </w:tabs>
        <w:spacing w:line="360" w:lineRule="auto"/>
        <w:ind w:firstLine="480"/>
        <w:rPr>
          <w:rFonts w:hint="eastAsia" w:ascii="宋体" w:hAnsi="宋体" w:eastAsia="宋体"/>
          <w:sz w:val="24"/>
          <w:szCs w:val="24"/>
        </w:rPr>
      </w:pPr>
      <w:r>
        <w:rPr>
          <w:rFonts w:hint="eastAsia" w:ascii="宋体" w:hAnsi="宋体" w:eastAsia="宋体"/>
          <w:sz w:val="24"/>
          <w:szCs w:val="24"/>
        </w:rPr>
        <w:t>本授权书声明：____________（投标人名称）授权________________（被授权人的姓名）为我方就</w:t>
      </w:r>
      <w:r>
        <w:rPr>
          <w:rFonts w:hint="eastAsia" w:ascii="宋体" w:hAnsi="宋体"/>
          <w:color w:val="000000"/>
          <w:sz w:val="24"/>
          <w:u w:val="single"/>
          <w:lang w:eastAsia="zh-CN"/>
        </w:rPr>
        <w:t xml:space="preserve">          </w:t>
      </w:r>
      <w:r>
        <w:rPr>
          <w:rFonts w:hint="eastAsia" w:ascii="宋体" w:hAnsi="宋体" w:eastAsia="宋体"/>
          <w:sz w:val="24"/>
          <w:szCs w:val="24"/>
        </w:rPr>
        <w:t>号项目采购活动的合法代理人，以本单位名义全权处理一切与该项目采购有关的事务。</w:t>
      </w:r>
    </w:p>
    <w:p w14:paraId="1E04C8A2">
      <w:pPr>
        <w:pStyle w:val="291"/>
        <w:tabs>
          <w:tab w:val="clear" w:pos="360"/>
        </w:tabs>
        <w:spacing w:line="360" w:lineRule="auto"/>
        <w:ind w:firstLine="480"/>
        <w:rPr>
          <w:rFonts w:hint="eastAsia" w:ascii="宋体" w:hAnsi="宋体" w:eastAsia="宋体"/>
          <w:sz w:val="24"/>
          <w:szCs w:val="24"/>
        </w:rPr>
      </w:pPr>
      <w:r>
        <w:rPr>
          <w:rFonts w:hint="eastAsia" w:ascii="宋体" w:hAnsi="宋体" w:eastAsia="宋体"/>
          <w:sz w:val="24"/>
          <w:szCs w:val="24"/>
        </w:rPr>
        <w:t>本授权书于______年____月____日起生效，特此声明。</w:t>
      </w:r>
    </w:p>
    <w:p w14:paraId="18813283">
      <w:pPr>
        <w:pStyle w:val="291"/>
        <w:tabs>
          <w:tab w:val="clear" w:pos="360"/>
        </w:tabs>
        <w:spacing w:line="360" w:lineRule="auto"/>
        <w:ind w:firstLine="0"/>
        <w:rPr>
          <w:rFonts w:hint="eastAsia" w:ascii="宋体" w:hAnsi="宋体" w:eastAsia="宋体"/>
          <w:sz w:val="24"/>
          <w:szCs w:val="24"/>
        </w:rPr>
      </w:pPr>
      <w:r>
        <w:rPr>
          <w:rFonts w:hint="eastAsia" w:ascii="宋体" w:hAnsi="宋体" w:eastAsia="宋体"/>
          <w:sz w:val="24"/>
          <w:szCs w:val="24"/>
        </w:rPr>
        <w:t xml:space="preserve">          被授权人身份证号码：</w:t>
      </w:r>
      <w:r>
        <w:rPr>
          <w:rFonts w:hint="eastAsia" w:ascii="宋体" w:hAnsi="宋体" w:eastAsia="宋体"/>
          <w:sz w:val="24"/>
          <w:szCs w:val="24"/>
          <w:u w:val="single"/>
        </w:rPr>
        <w:t xml:space="preserve">                              </w:t>
      </w:r>
    </w:p>
    <w:p w14:paraId="622A0C5C">
      <w:pPr>
        <w:pStyle w:val="291"/>
        <w:tabs>
          <w:tab w:val="clear" w:pos="360"/>
        </w:tabs>
        <w:spacing w:line="360" w:lineRule="auto"/>
        <w:ind w:firstLine="0"/>
        <w:rPr>
          <w:rFonts w:hint="eastAsia" w:ascii="宋体" w:hAnsi="宋体" w:eastAsia="宋体"/>
          <w:sz w:val="24"/>
          <w:szCs w:val="24"/>
        </w:rPr>
      </w:pPr>
      <w:r>
        <w:rPr>
          <w:rFonts w:hint="eastAsia" w:ascii="宋体" w:hAnsi="宋体" w:eastAsia="宋体"/>
          <w:sz w:val="24"/>
          <w:szCs w:val="24"/>
        </w:rPr>
        <w:t xml:space="preserve">          被授权人联系电话：（手机）</w:t>
      </w:r>
      <w:r>
        <w:rPr>
          <w:rFonts w:hint="eastAsia" w:ascii="宋体" w:hAnsi="宋体" w:eastAsia="宋体"/>
          <w:sz w:val="24"/>
          <w:szCs w:val="24"/>
          <w:u w:val="single"/>
        </w:rPr>
        <w:t xml:space="preserve">                          </w:t>
      </w:r>
    </w:p>
    <w:p w14:paraId="6CD5055E">
      <w:pPr>
        <w:pStyle w:val="291"/>
        <w:tabs>
          <w:tab w:val="clear" w:pos="360"/>
        </w:tabs>
        <w:spacing w:line="360" w:lineRule="auto"/>
        <w:ind w:firstLine="1200"/>
        <w:rPr>
          <w:rFonts w:hint="eastAsia" w:ascii="宋体" w:hAnsi="宋体" w:eastAsia="宋体"/>
          <w:sz w:val="24"/>
          <w:szCs w:val="24"/>
        </w:rPr>
      </w:pPr>
      <w:r>
        <w:rPr>
          <w:rFonts w:hint="eastAsia" w:ascii="宋体" w:hAnsi="宋体" w:eastAsia="宋体"/>
          <w:sz w:val="24"/>
          <w:szCs w:val="24"/>
        </w:rPr>
        <w:t>授权单位名称：</w:t>
      </w:r>
      <w:r>
        <w:rPr>
          <w:rFonts w:hint="eastAsia" w:ascii="宋体" w:hAnsi="宋体" w:eastAsia="宋体"/>
          <w:sz w:val="24"/>
          <w:szCs w:val="24"/>
          <w:u w:val="single"/>
        </w:rPr>
        <w:t>（加盖CA电子公章）</w:t>
      </w:r>
    </w:p>
    <w:p w14:paraId="537B00B0">
      <w:pPr>
        <w:pStyle w:val="291"/>
        <w:tabs>
          <w:tab w:val="clear" w:pos="360"/>
        </w:tabs>
        <w:spacing w:line="360" w:lineRule="auto"/>
        <w:ind w:firstLine="480"/>
        <w:rPr>
          <w:rFonts w:hint="eastAsia" w:ascii="宋体" w:hAnsi="宋体" w:eastAsia="宋体"/>
          <w:sz w:val="24"/>
          <w:szCs w:val="24"/>
        </w:rPr>
      </w:pPr>
      <w:r>
        <w:rPr>
          <w:rFonts w:hint="eastAsia" w:ascii="宋体" w:hAnsi="宋体" w:eastAsia="宋体"/>
          <w:sz w:val="24"/>
          <w:szCs w:val="24"/>
        </w:rPr>
        <w:t xml:space="preserve">      单位地址：</w:t>
      </w:r>
      <w:r>
        <w:rPr>
          <w:rFonts w:hint="eastAsia" w:ascii="宋体" w:hAnsi="宋体" w:eastAsia="宋体"/>
          <w:sz w:val="24"/>
          <w:szCs w:val="24"/>
          <w:u w:val="single"/>
        </w:rPr>
        <w:t xml:space="preserve">                                         </w:t>
      </w:r>
    </w:p>
    <w:p w14:paraId="19D7C3D1">
      <w:pPr>
        <w:pStyle w:val="291"/>
        <w:tabs>
          <w:tab w:val="clear" w:pos="360"/>
        </w:tabs>
        <w:spacing w:line="360" w:lineRule="auto"/>
        <w:ind w:firstLine="480"/>
        <w:rPr>
          <w:rFonts w:hint="eastAsia" w:ascii="宋体" w:hAnsi="宋体" w:eastAsia="宋体"/>
          <w:sz w:val="24"/>
          <w:szCs w:val="24"/>
        </w:rPr>
      </w:pPr>
      <w:bookmarkStart w:id="245" w:name="_格式3__银行出具的资信证明"/>
      <w:bookmarkEnd w:id="245"/>
      <w:bookmarkStart w:id="246" w:name="_Hlt26955070"/>
      <w:bookmarkEnd w:id="246"/>
      <w:bookmarkStart w:id="247" w:name="_Hlt26671380"/>
      <w:bookmarkEnd w:id="247"/>
      <w:r>
        <w:rPr>
          <w:rFonts w:hint="eastAsia" w:ascii="宋体" w:hAnsi="宋体" w:eastAsia="宋体"/>
          <w:sz w:val="24"/>
          <w:szCs w:val="24"/>
        </w:rPr>
        <w:t xml:space="preserve">      日期：</w:t>
      </w:r>
      <w:r>
        <w:rPr>
          <w:rFonts w:hint="eastAsia" w:ascii="宋体" w:hAnsi="宋体" w:eastAsia="宋体"/>
          <w:sz w:val="24"/>
          <w:szCs w:val="24"/>
          <w:u w:val="single"/>
        </w:rPr>
        <w:t xml:space="preserve">                                         </w:t>
      </w:r>
    </w:p>
    <w:p w14:paraId="06B686D4">
      <w:pPr>
        <w:pStyle w:val="195"/>
        <w:spacing w:line="360" w:lineRule="auto"/>
        <w:rPr>
          <w:rFonts w:hint="eastAsia" w:ascii="宋体" w:hAnsi="宋体" w:eastAsia="宋体"/>
          <w:i/>
          <w:sz w:val="24"/>
          <w:szCs w:val="24"/>
          <w:u w:val="single"/>
        </w:rPr>
      </w:pPr>
    </w:p>
    <w:p w14:paraId="53D416E3">
      <w:pPr>
        <w:pStyle w:val="195"/>
        <w:ind w:firstLine="0"/>
        <w:rPr>
          <w:rFonts w:hint="eastAsia" w:ascii="宋体" w:hAnsi="宋体" w:eastAsia="宋体"/>
        </w:rPr>
      </w:pPr>
    </w:p>
    <w:p w14:paraId="758581B8">
      <w:pPr>
        <w:spacing w:line="460" w:lineRule="exact"/>
        <w:rPr>
          <w:rFonts w:hint="eastAsia" w:ascii="宋体" w:hAnsi="宋体" w:eastAsia="宋体"/>
          <w:sz w:val="24"/>
          <w:szCs w:val="24"/>
        </w:rPr>
      </w:pPr>
    </w:p>
    <w:p w14:paraId="43FBDC4F">
      <w:pPr>
        <w:spacing w:line="460" w:lineRule="exact"/>
        <w:rPr>
          <w:rFonts w:hint="eastAsia" w:ascii="宋体" w:hAnsi="宋体" w:eastAsia="宋体"/>
          <w:bCs/>
          <w:sz w:val="24"/>
        </w:rPr>
      </w:pPr>
    </w:p>
    <w:p w14:paraId="641CA0DC">
      <w:pPr>
        <w:pStyle w:val="193"/>
        <w:jc w:val="both"/>
        <w:rPr>
          <w:rFonts w:hint="eastAsia" w:ascii="宋体" w:hAnsi="宋体" w:eastAsia="宋体" w:cs="Times New Roman"/>
          <w:b w:val="0"/>
          <w:bCs w:val="0"/>
          <w:i w:val="0"/>
          <w:iCs/>
          <w:sz w:val="32"/>
          <w:szCs w:val="32"/>
          <w:u w:val="none"/>
          <w:lang w:val="en-US" w:eastAsia="zh-CN" w:bidi="ar-SA"/>
        </w:rPr>
      </w:pPr>
      <w:r>
        <w:rPr>
          <w:rFonts w:hint="eastAsia" w:ascii="宋体" w:hAnsi="宋体" w:eastAsia="宋体"/>
          <w:bCs w:val="0"/>
          <w:sz w:val="24"/>
        </w:rPr>
        <w:br w:type="page"/>
      </w:r>
      <w:r>
        <w:rPr>
          <w:rFonts w:hint="eastAsia" w:ascii="宋体" w:hAnsi="宋体" w:eastAsia="宋体" w:cs="Times New Roman"/>
          <w:b w:val="0"/>
          <w:bCs w:val="0"/>
          <w:i w:val="0"/>
          <w:iCs/>
          <w:sz w:val="32"/>
          <w:szCs w:val="32"/>
          <w:u w:val="none"/>
          <w:lang w:val="en-US" w:eastAsia="zh-CN" w:bidi="ar-SA"/>
        </w:rPr>
        <w:t>八、投标函</w:t>
      </w:r>
    </w:p>
    <w:p w14:paraId="719F8032">
      <w:pPr>
        <w:pStyle w:val="276"/>
        <w:spacing w:before="0" w:after="0" w:line="360" w:lineRule="auto"/>
        <w:ind w:firstLine="0"/>
        <w:jc w:val="both"/>
        <w:rPr>
          <w:rFonts w:hint="eastAsia" w:ascii="宋体" w:hAnsi="宋体" w:eastAsia="宋体"/>
          <w:szCs w:val="21"/>
        </w:rPr>
      </w:pPr>
      <w:r>
        <w:rPr>
          <w:rFonts w:hint="eastAsia" w:ascii="宋体" w:hAnsi="宋体" w:eastAsia="宋体"/>
          <w:szCs w:val="21"/>
        </w:rPr>
        <w:t>致：</w:t>
      </w:r>
      <w:r>
        <w:rPr>
          <w:rFonts w:hint="eastAsia" w:ascii="宋体" w:hAnsi="宋体" w:eastAsia="宋体"/>
          <w:color w:val="000000"/>
          <w:u w:val="single"/>
        </w:rPr>
        <w:t>采购人名称</w:t>
      </w:r>
    </w:p>
    <w:p w14:paraId="5E1A8C20">
      <w:pPr>
        <w:pStyle w:val="276"/>
        <w:spacing w:before="0" w:after="0" w:line="360" w:lineRule="auto"/>
        <w:jc w:val="both"/>
        <w:rPr>
          <w:rFonts w:hint="eastAsia" w:ascii="宋体" w:hAnsi="宋体" w:eastAsia="宋体"/>
          <w:szCs w:val="21"/>
        </w:rPr>
      </w:pPr>
      <w:r>
        <w:rPr>
          <w:rFonts w:hint="eastAsia" w:ascii="宋体" w:hAnsi="宋体" w:eastAsia="宋体"/>
          <w:szCs w:val="21"/>
        </w:rPr>
        <w:t>根据贵方的</w:t>
      </w:r>
      <w:r>
        <w:rPr>
          <w:rFonts w:hint="eastAsia" w:ascii="宋体" w:hAnsi="宋体"/>
          <w:color w:val="000000"/>
          <w:u w:val="single"/>
          <w:lang w:eastAsia="zh-CN"/>
        </w:rPr>
        <w:t xml:space="preserve">          </w:t>
      </w:r>
      <w:r>
        <w:rPr>
          <w:rFonts w:hint="eastAsia" w:ascii="宋体" w:hAnsi="宋体" w:eastAsia="宋体"/>
          <w:szCs w:val="21"/>
        </w:rPr>
        <w:t>号招标文件，正式授权下述签字人______(姓名</w:t>
      </w:r>
      <w:r>
        <w:rPr>
          <w:rFonts w:hint="eastAsia" w:ascii="宋体" w:hAnsi="宋体" w:eastAsia="宋体"/>
          <w:szCs w:val="21"/>
          <w:lang w:eastAsia="zh-CN"/>
        </w:rPr>
        <w:t>）</w:t>
      </w:r>
      <w:r>
        <w:rPr>
          <w:rFonts w:hint="eastAsia" w:ascii="宋体" w:hAnsi="宋体" w:eastAsia="宋体"/>
          <w:szCs w:val="21"/>
        </w:rPr>
        <w:t>代表我方______________（投标人的名称），全权处理本次项目投标的有关事宜。</w:t>
      </w:r>
    </w:p>
    <w:p w14:paraId="50B3FC5F">
      <w:pPr>
        <w:pStyle w:val="276"/>
        <w:spacing w:before="0" w:after="0" w:line="360" w:lineRule="auto"/>
        <w:jc w:val="both"/>
        <w:rPr>
          <w:rFonts w:hint="eastAsia" w:ascii="宋体" w:hAnsi="宋体" w:eastAsia="宋体"/>
          <w:szCs w:val="21"/>
        </w:rPr>
      </w:pPr>
      <w:r>
        <w:rPr>
          <w:rFonts w:hint="eastAsia" w:ascii="宋体" w:hAnsi="宋体" w:eastAsia="宋体"/>
          <w:szCs w:val="21"/>
        </w:rPr>
        <w:t>据此函，__________签字人兹宣布同意如下：</w:t>
      </w:r>
    </w:p>
    <w:p w14:paraId="0C129470">
      <w:pPr>
        <w:pStyle w:val="276"/>
        <w:spacing w:before="0" w:after="0" w:line="360" w:lineRule="auto"/>
        <w:jc w:val="both"/>
        <w:rPr>
          <w:rFonts w:hint="eastAsia" w:ascii="宋体" w:hAnsi="宋体" w:eastAsia="宋体"/>
          <w:szCs w:val="21"/>
        </w:rPr>
      </w:pPr>
      <w:r>
        <w:rPr>
          <w:rFonts w:hint="eastAsia" w:ascii="宋体" w:hAnsi="宋体" w:eastAsia="宋体"/>
          <w:szCs w:val="21"/>
        </w:rPr>
        <w:t>1.按招标文件规定的各项要求，向买方提供所需服务（包含与服务相关的货物）。</w:t>
      </w:r>
    </w:p>
    <w:p w14:paraId="7FDCAE93">
      <w:pPr>
        <w:pStyle w:val="276"/>
        <w:spacing w:before="0" w:after="0" w:line="360" w:lineRule="auto"/>
        <w:jc w:val="both"/>
        <w:rPr>
          <w:rFonts w:hint="eastAsia" w:ascii="宋体" w:hAnsi="宋体" w:eastAsia="宋体"/>
          <w:szCs w:val="21"/>
        </w:rPr>
      </w:pPr>
      <w:r>
        <w:rPr>
          <w:rFonts w:hint="eastAsia" w:ascii="宋体" w:hAnsi="宋体" w:eastAsia="宋体"/>
          <w:szCs w:val="21"/>
        </w:rPr>
        <w:t>2.我们完全理解贵方不一定将合同授予最低报价的投标人。</w:t>
      </w:r>
    </w:p>
    <w:p w14:paraId="4C3E7A5F">
      <w:pPr>
        <w:pStyle w:val="276"/>
        <w:spacing w:before="0" w:after="0" w:line="360" w:lineRule="auto"/>
        <w:jc w:val="both"/>
        <w:rPr>
          <w:rFonts w:hint="eastAsia" w:ascii="宋体" w:hAnsi="宋体" w:eastAsia="宋体"/>
          <w:szCs w:val="21"/>
        </w:rPr>
      </w:pPr>
      <w:r>
        <w:rPr>
          <w:rFonts w:hint="eastAsia" w:ascii="宋体" w:hAnsi="宋体" w:eastAsia="宋体"/>
          <w:szCs w:val="21"/>
        </w:rPr>
        <w:t>3.我们已详细审核全部招标文件及其有效补充文件，我们知道必须放弃提出含糊不清或误解问题的权利。</w:t>
      </w:r>
    </w:p>
    <w:p w14:paraId="09302CEE">
      <w:pPr>
        <w:pStyle w:val="276"/>
        <w:spacing w:before="0" w:after="0" w:line="360" w:lineRule="auto"/>
        <w:jc w:val="both"/>
        <w:rPr>
          <w:rFonts w:hint="eastAsia" w:ascii="宋体" w:hAnsi="宋体" w:eastAsia="宋体"/>
          <w:szCs w:val="21"/>
        </w:rPr>
      </w:pPr>
      <w:r>
        <w:rPr>
          <w:rFonts w:hint="eastAsia" w:ascii="宋体" w:hAnsi="宋体" w:eastAsia="宋体"/>
          <w:szCs w:val="21"/>
        </w:rPr>
        <w:t>4.我们同意从规定的开标日期起遵循本投标文件，并在规定的投标有效期期满之前均具有约束力。</w:t>
      </w:r>
    </w:p>
    <w:p w14:paraId="242A0F37">
      <w:pPr>
        <w:pStyle w:val="276"/>
        <w:spacing w:before="0" w:after="0" w:line="360" w:lineRule="auto"/>
        <w:jc w:val="both"/>
        <w:rPr>
          <w:rFonts w:hint="eastAsia" w:ascii="宋体" w:hAnsi="宋体" w:eastAsia="宋体"/>
          <w:szCs w:val="21"/>
        </w:rPr>
      </w:pPr>
      <w:r>
        <w:rPr>
          <w:rFonts w:hint="eastAsia" w:ascii="宋体" w:hAnsi="宋体" w:eastAsia="宋体"/>
          <w:szCs w:val="21"/>
        </w:rPr>
        <w:t>5.同意向贵方提供贵方可能另外要求的与投标有关的任何证据或资料，并保证我方已提供和将要提供的文件是真实的、准确的。</w:t>
      </w:r>
    </w:p>
    <w:p w14:paraId="0658865E">
      <w:pPr>
        <w:pStyle w:val="276"/>
        <w:spacing w:before="0" w:after="0" w:line="360" w:lineRule="auto"/>
        <w:jc w:val="both"/>
        <w:rPr>
          <w:rFonts w:hint="eastAsia" w:ascii="宋体" w:hAnsi="宋体" w:eastAsia="宋体"/>
          <w:szCs w:val="21"/>
        </w:rPr>
      </w:pPr>
      <w:r>
        <w:rPr>
          <w:rFonts w:hint="eastAsia" w:ascii="宋体" w:hAnsi="宋体" w:eastAsia="宋体"/>
          <w:szCs w:val="21"/>
        </w:rPr>
        <w:t>6.一旦我方中标,我方将根据招标文件的规定，严格履行合同的责任和义务,并保证在招标文件规定的时间完成项目，交付买方验收、使用。</w:t>
      </w:r>
    </w:p>
    <w:p w14:paraId="6E2BB9D3">
      <w:pPr>
        <w:pStyle w:val="276"/>
        <w:spacing w:before="0" w:after="0" w:line="360" w:lineRule="auto"/>
        <w:jc w:val="both"/>
        <w:rPr>
          <w:rFonts w:hint="eastAsia" w:ascii="宋体" w:hAnsi="宋体" w:eastAsia="宋体"/>
          <w:szCs w:val="21"/>
        </w:rPr>
      </w:pPr>
      <w:r>
        <w:rPr>
          <w:rFonts w:hint="eastAsia" w:ascii="宋体" w:hAnsi="宋体" w:eastAsia="宋体"/>
          <w:szCs w:val="21"/>
        </w:rPr>
        <w:t>7.与本投标有关的正式通讯地址为：</w:t>
      </w:r>
    </w:p>
    <w:p w14:paraId="49AB3E4D">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地          址：</w:t>
      </w:r>
    </w:p>
    <w:p w14:paraId="11726B8F">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邮          编：</w:t>
      </w:r>
    </w:p>
    <w:p w14:paraId="374A68B9">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电          话：</w:t>
      </w:r>
    </w:p>
    <w:p w14:paraId="15EBBCA2">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传          真：</w:t>
      </w:r>
    </w:p>
    <w:p w14:paraId="0E179199">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投标人开户行：</w:t>
      </w:r>
    </w:p>
    <w:p w14:paraId="2956AC84">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 xml:space="preserve">账          号： </w:t>
      </w:r>
    </w:p>
    <w:p w14:paraId="6714C5B6">
      <w:pPr>
        <w:pStyle w:val="276"/>
        <w:spacing w:before="0" w:after="0" w:line="360" w:lineRule="auto"/>
        <w:ind w:left="420"/>
        <w:jc w:val="both"/>
        <w:rPr>
          <w:rFonts w:hint="eastAsia" w:ascii="宋体" w:hAnsi="宋体" w:eastAsia="宋体"/>
          <w:szCs w:val="21"/>
        </w:rPr>
      </w:pPr>
      <w:r>
        <w:rPr>
          <w:rFonts w:hint="eastAsia" w:ascii="宋体" w:hAnsi="宋体" w:eastAsia="宋体"/>
          <w:szCs w:val="21"/>
        </w:rPr>
        <w:t>日           期：________年____月____日</w:t>
      </w:r>
    </w:p>
    <w:p w14:paraId="35CA4787">
      <w:pPr>
        <w:spacing w:line="360" w:lineRule="auto"/>
        <w:ind w:firstLine="240"/>
        <w:jc w:val="both"/>
        <w:rPr>
          <w:rFonts w:hint="eastAsia" w:ascii="宋体" w:hAnsi="宋体" w:eastAsia="宋体"/>
          <w:bCs/>
          <w:sz w:val="24"/>
        </w:rPr>
      </w:pPr>
    </w:p>
    <w:p w14:paraId="658C2355">
      <w:pPr>
        <w:spacing w:line="460" w:lineRule="exact"/>
        <w:jc w:val="center"/>
        <w:outlineLvl w:val="1"/>
        <w:rPr>
          <w:rFonts w:hint="eastAsia" w:ascii="宋体" w:hAnsi="宋体" w:eastAsia="宋体"/>
          <w:b/>
          <w:sz w:val="32"/>
          <w:szCs w:val="32"/>
          <w:highlight w:val="none"/>
        </w:rPr>
      </w:pPr>
      <w:r>
        <w:rPr>
          <w:rFonts w:hint="eastAsia" w:ascii="宋体" w:hAnsi="宋体" w:eastAsia="宋体"/>
          <w:b/>
          <w:sz w:val="32"/>
          <w:szCs w:val="32"/>
        </w:rPr>
        <w:br w:type="page"/>
      </w:r>
      <w:r>
        <w:rPr>
          <w:rFonts w:hint="eastAsia" w:ascii="宋体" w:hAnsi="宋体" w:eastAsia="宋体"/>
          <w:b/>
          <w:sz w:val="32"/>
          <w:szCs w:val="32"/>
        </w:rPr>
        <w:t>九、中小微企业声明</w:t>
      </w:r>
      <w:r>
        <w:rPr>
          <w:rFonts w:hint="eastAsia" w:ascii="宋体" w:hAnsi="宋体" w:eastAsia="宋体"/>
          <w:b/>
          <w:sz w:val="32"/>
          <w:szCs w:val="32"/>
          <w:highlight w:val="none"/>
        </w:rPr>
        <w:t>函（服务）（</w:t>
      </w:r>
      <w:r>
        <w:rPr>
          <w:rFonts w:hint="eastAsia" w:ascii="宋体" w:hAnsi="宋体"/>
          <w:b/>
          <w:color w:val="auto"/>
          <w:sz w:val="32"/>
          <w:szCs w:val="32"/>
          <w:highlight w:val="none"/>
          <w:lang w:val="en-US" w:eastAsia="zh-CN"/>
        </w:rPr>
        <w:t>项目</w:t>
      </w:r>
      <w:r>
        <w:rPr>
          <w:rFonts w:hint="eastAsia" w:ascii="宋体" w:hAnsi="宋体"/>
          <w:b/>
          <w:sz w:val="32"/>
          <w:szCs w:val="32"/>
          <w:highlight w:val="none"/>
          <w:lang w:eastAsia="zh-CN"/>
        </w:rPr>
        <w:t>编号</w:t>
      </w:r>
      <w:r>
        <w:rPr>
          <w:rFonts w:hint="eastAsia" w:ascii="宋体" w:hAnsi="宋体" w:eastAsia="宋体"/>
          <w:b/>
          <w:sz w:val="32"/>
          <w:szCs w:val="32"/>
          <w:highlight w:val="none"/>
        </w:rPr>
        <w:t>：</w:t>
      </w:r>
      <w:r>
        <w:rPr>
          <w:rFonts w:hint="eastAsia" w:ascii="宋体" w:hAnsi="宋体"/>
          <w:b/>
          <w:sz w:val="32"/>
          <w:szCs w:val="32"/>
          <w:highlight w:val="none"/>
          <w:u w:val="single"/>
          <w:lang w:eastAsia="zh-CN"/>
        </w:rPr>
        <w:t xml:space="preserve">          </w:t>
      </w:r>
      <w:r>
        <w:rPr>
          <w:rFonts w:hint="eastAsia" w:ascii="宋体" w:hAnsi="宋体" w:eastAsia="宋体"/>
          <w:b/>
          <w:sz w:val="32"/>
          <w:szCs w:val="32"/>
          <w:highlight w:val="none"/>
        </w:rPr>
        <w:t>）</w:t>
      </w:r>
    </w:p>
    <w:p w14:paraId="7CB56B5F">
      <w:pPr>
        <w:spacing w:line="360" w:lineRule="auto"/>
        <w:ind w:firstLine="360"/>
        <w:rPr>
          <w:rFonts w:hint="eastAsia" w:ascii="宋体" w:hAnsi="宋体" w:eastAsia="宋体"/>
          <w:sz w:val="24"/>
          <w:szCs w:val="24"/>
        </w:rPr>
      </w:pPr>
      <w:r>
        <w:rPr>
          <w:rFonts w:hint="eastAsia" w:ascii="宋体" w:hAnsi="宋体" w:eastAsia="宋体"/>
          <w:sz w:val="24"/>
          <w:szCs w:val="24"/>
          <w:highlight w:val="none"/>
        </w:rPr>
        <w:t>本公司（联合体）郑重声明，根据《政府采购促进中小企业发展管理办法》(财库[2020]46号</w:t>
      </w:r>
      <w:r>
        <w:rPr>
          <w:rFonts w:hint="eastAsia" w:ascii="宋体" w:hAnsi="宋体" w:eastAsia="宋体"/>
          <w:sz w:val="24"/>
          <w:szCs w:val="24"/>
          <w:highlight w:val="none"/>
          <w:lang w:eastAsia="zh-CN"/>
        </w:rPr>
        <w:t>）</w:t>
      </w:r>
      <w:r>
        <w:rPr>
          <w:rFonts w:hint="eastAsia" w:ascii="宋体" w:hAnsi="宋体" w:eastAsia="宋体"/>
          <w:sz w:val="24"/>
          <w:szCs w:val="24"/>
          <w:highlight w:val="none"/>
        </w:rPr>
        <w:t>的规定，本公司（联合体）参加江苏铭沃工程咨询有限公司组织的</w:t>
      </w:r>
      <w:r>
        <w:rPr>
          <w:rFonts w:hint="eastAsia" w:ascii="宋体" w:hAnsi="宋体" w:eastAsia="宋体"/>
          <w:sz w:val="24"/>
          <w:szCs w:val="24"/>
          <w:highlight w:val="none"/>
          <w:u w:val="single"/>
        </w:rPr>
        <w:t>（单位名称）</w:t>
      </w:r>
      <w:r>
        <w:rPr>
          <w:rFonts w:hint="eastAsia" w:ascii="宋体" w:hAnsi="宋体" w:eastAsia="宋体"/>
          <w:sz w:val="24"/>
          <w:szCs w:val="24"/>
          <w:highlight w:val="none"/>
        </w:rPr>
        <w:t>采购编号为</w:t>
      </w:r>
      <w:r>
        <w:rPr>
          <w:rFonts w:hint="eastAsia" w:ascii="宋体" w:hAnsi="宋体" w:eastAsia="宋体"/>
          <w:color w:val="000000"/>
          <w:sz w:val="24"/>
          <w:highlight w:val="none"/>
          <w:u w:val="single"/>
        </w:rPr>
        <w:t xml:space="preserve">         </w:t>
      </w:r>
      <w:r>
        <w:rPr>
          <w:rFonts w:hint="eastAsia" w:ascii="宋体" w:hAnsi="宋体" w:eastAsia="宋体"/>
          <w:sz w:val="24"/>
          <w:szCs w:val="24"/>
          <w:highlight w:val="none"/>
        </w:rPr>
        <w:t>，</w:t>
      </w:r>
      <w:r>
        <w:rPr>
          <w:rFonts w:hint="eastAsia" w:ascii="宋体" w:hAnsi="宋体" w:eastAsia="宋体"/>
          <w:sz w:val="24"/>
          <w:szCs w:val="24"/>
          <w:highlight w:val="none"/>
          <w:u w:val="single"/>
        </w:rPr>
        <w:t>（项目名称）（</w:t>
      </w:r>
      <w:r>
        <w:rPr>
          <w:rFonts w:hint="eastAsia" w:ascii="宋体" w:hAnsi="宋体"/>
          <w:sz w:val="24"/>
          <w:szCs w:val="24"/>
          <w:highlight w:val="none"/>
          <w:u w:val="single"/>
          <w:lang w:val="en-US" w:eastAsia="zh-CN"/>
        </w:rPr>
        <w:t>项目</w:t>
      </w:r>
      <w:r>
        <w:rPr>
          <w:rFonts w:hint="eastAsia" w:ascii="宋体" w:hAnsi="宋体"/>
          <w:sz w:val="24"/>
          <w:szCs w:val="24"/>
          <w:highlight w:val="none"/>
          <w:u w:val="single"/>
          <w:lang w:eastAsia="zh-CN"/>
        </w:rPr>
        <w:t>编号</w:t>
      </w:r>
      <w:r>
        <w:rPr>
          <w:rFonts w:hint="eastAsia" w:ascii="宋体" w:hAnsi="宋体" w:eastAsia="宋体"/>
          <w:sz w:val="24"/>
          <w:szCs w:val="24"/>
          <w:highlight w:val="none"/>
          <w:u w:val="single"/>
        </w:rPr>
        <w:t>：</w:t>
      </w:r>
      <w:r>
        <w:rPr>
          <w:rFonts w:hint="eastAsia" w:ascii="宋体" w:hAnsi="宋体"/>
          <w:color w:val="000000"/>
          <w:sz w:val="24"/>
          <w:highlight w:val="none"/>
          <w:u w:val="single"/>
          <w:lang w:eastAsia="zh-CN"/>
        </w:rPr>
        <w:t xml:space="preserve">          </w:t>
      </w:r>
      <w:r>
        <w:rPr>
          <w:rFonts w:hint="eastAsia" w:ascii="宋体" w:hAnsi="宋体" w:eastAsia="宋体"/>
          <w:sz w:val="24"/>
          <w:szCs w:val="24"/>
          <w:highlight w:val="none"/>
          <w:u w:val="single"/>
        </w:rPr>
        <w:t>）</w:t>
      </w:r>
      <w:r>
        <w:rPr>
          <w:rFonts w:hint="eastAsia" w:ascii="宋体" w:hAnsi="宋体" w:eastAsia="宋体"/>
          <w:sz w:val="24"/>
          <w:szCs w:val="24"/>
          <w:highlight w:val="none"/>
        </w:rPr>
        <w:t>的采购活动，服务全部由符合政策的小微企业承接。根</w:t>
      </w:r>
      <w:r>
        <w:rPr>
          <w:rFonts w:hint="eastAsia" w:ascii="宋体" w:hAnsi="宋体" w:eastAsia="宋体"/>
          <w:sz w:val="24"/>
          <w:szCs w:val="24"/>
        </w:rPr>
        <w:t>据《工业和信息化部、国家统计局、国家发展和改革委员会、财政部关于印发中小企业划型标准规定的通知》(工信部联企业[2011]300号</w:t>
      </w:r>
      <w:r>
        <w:rPr>
          <w:rFonts w:hint="eastAsia" w:ascii="宋体" w:hAnsi="宋体" w:eastAsia="宋体"/>
          <w:sz w:val="24"/>
          <w:szCs w:val="24"/>
          <w:lang w:eastAsia="zh-CN"/>
        </w:rPr>
        <w:t>）</w:t>
      </w:r>
      <w:r>
        <w:rPr>
          <w:rFonts w:hint="eastAsia" w:ascii="宋体" w:hAnsi="宋体" w:eastAsia="宋体"/>
          <w:sz w:val="24"/>
          <w:szCs w:val="24"/>
        </w:rPr>
        <w:t>的规定，相关企业（含联合体中的小微企业、签订</w:t>
      </w:r>
      <w:r>
        <w:rPr>
          <w:rFonts w:hint="eastAsia" w:ascii="宋体" w:hAnsi="宋体" w:eastAsia="宋体"/>
          <w:sz w:val="24"/>
          <w:szCs w:val="24"/>
          <w:highlight w:val="none"/>
        </w:rPr>
        <w:t>分包</w:t>
      </w:r>
      <w:r>
        <w:rPr>
          <w:rFonts w:hint="eastAsia" w:ascii="宋体" w:hAnsi="宋体" w:eastAsia="宋体"/>
          <w:sz w:val="24"/>
          <w:szCs w:val="24"/>
        </w:rPr>
        <w:t>意向协议的小微企业）的具体情况如下：</w:t>
      </w:r>
    </w:p>
    <w:p w14:paraId="438F1473">
      <w:pPr>
        <w:spacing w:line="360" w:lineRule="auto"/>
        <w:ind w:firstLine="360"/>
        <w:rPr>
          <w:rFonts w:hint="eastAsia"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u w:val="single"/>
        </w:rPr>
        <w:t>（标的名称）</w:t>
      </w:r>
      <w:r>
        <w:rPr>
          <w:rFonts w:hint="eastAsia" w:ascii="宋体" w:hAnsi="宋体" w:eastAsia="宋体"/>
          <w:i/>
          <w:sz w:val="24"/>
          <w:szCs w:val="24"/>
        </w:rPr>
        <w:t>，</w:t>
      </w:r>
      <w:r>
        <w:rPr>
          <w:rFonts w:hint="eastAsia" w:ascii="宋体" w:hAnsi="宋体" w:eastAsia="宋体"/>
          <w:sz w:val="24"/>
          <w:szCs w:val="24"/>
        </w:rPr>
        <w:t>属于</w:t>
      </w:r>
      <w:r>
        <w:rPr>
          <w:rFonts w:hint="eastAsia" w:ascii="宋体" w:hAnsi="宋体" w:eastAsia="宋体"/>
          <w:sz w:val="24"/>
          <w:szCs w:val="24"/>
          <w:u w:val="single"/>
        </w:rPr>
        <w:t xml:space="preserve">       </w:t>
      </w:r>
      <w:r>
        <w:rPr>
          <w:rFonts w:hint="eastAsia" w:ascii="宋体" w:hAnsi="宋体" w:eastAsia="宋体"/>
          <w:sz w:val="24"/>
          <w:szCs w:val="24"/>
        </w:rPr>
        <w:t>行业；承接企业为</w:t>
      </w:r>
      <w:r>
        <w:rPr>
          <w:rFonts w:hint="eastAsia" w:ascii="宋体" w:hAnsi="宋体" w:eastAsia="宋体"/>
          <w:sz w:val="24"/>
          <w:szCs w:val="24"/>
          <w:u w:val="single"/>
        </w:rPr>
        <w:t>（企业名称）</w:t>
      </w:r>
      <w:r>
        <w:rPr>
          <w:rFonts w:hint="eastAsia" w:ascii="宋体" w:hAnsi="宋体" w:eastAsia="宋体"/>
          <w:sz w:val="24"/>
          <w:szCs w:val="24"/>
        </w:rPr>
        <w:t>，从业人员</w:t>
      </w:r>
      <w:r>
        <w:rPr>
          <w:rFonts w:hint="eastAsia" w:ascii="宋体" w:hAnsi="宋体" w:eastAsia="宋体"/>
          <w:sz w:val="24"/>
          <w:szCs w:val="24"/>
          <w:u w:val="single"/>
        </w:rPr>
        <w:t xml:space="preserve">      </w:t>
      </w:r>
      <w:r>
        <w:rPr>
          <w:rFonts w:hint="eastAsia" w:ascii="宋体" w:hAnsi="宋体" w:eastAsia="宋体"/>
          <w:sz w:val="24"/>
          <w:szCs w:val="24"/>
        </w:rPr>
        <w:t>人，营业收入为</w:t>
      </w:r>
      <w:r>
        <w:rPr>
          <w:rFonts w:hint="eastAsia" w:ascii="宋体" w:hAnsi="宋体" w:eastAsia="宋体"/>
          <w:sz w:val="24"/>
          <w:szCs w:val="24"/>
          <w:u w:val="single"/>
        </w:rPr>
        <w:t xml:space="preserve">     </w:t>
      </w:r>
      <w:r>
        <w:rPr>
          <w:rFonts w:hint="eastAsia" w:ascii="宋体" w:hAnsi="宋体" w:eastAsia="宋体"/>
          <w:sz w:val="24"/>
          <w:szCs w:val="24"/>
        </w:rPr>
        <w:t>万元，资产总额为</w:t>
      </w:r>
      <w:r>
        <w:rPr>
          <w:rFonts w:hint="eastAsia" w:ascii="宋体" w:hAnsi="宋体" w:eastAsia="宋体"/>
          <w:sz w:val="24"/>
          <w:szCs w:val="24"/>
          <w:u w:val="single"/>
        </w:rPr>
        <w:t xml:space="preserve">      </w:t>
      </w:r>
      <w:r>
        <w:rPr>
          <w:rFonts w:hint="eastAsia" w:ascii="宋体" w:hAnsi="宋体" w:eastAsia="宋体"/>
          <w:sz w:val="24"/>
          <w:szCs w:val="24"/>
        </w:rPr>
        <w:t>万元</w:t>
      </w:r>
      <w:r>
        <w:rPr>
          <w:rFonts w:hint="eastAsia" w:ascii="宋体" w:hAnsi="宋体" w:eastAsia="宋体"/>
          <w:sz w:val="24"/>
          <w:szCs w:val="24"/>
          <w:vertAlign w:val="superscript"/>
        </w:rPr>
        <w:t>1</w:t>
      </w:r>
      <w:r>
        <w:rPr>
          <w:rFonts w:hint="eastAsia" w:ascii="宋体" w:hAnsi="宋体" w:eastAsia="宋体"/>
          <w:sz w:val="24"/>
          <w:szCs w:val="24"/>
        </w:rPr>
        <w:t>，属于</w:t>
      </w:r>
      <w:r>
        <w:rPr>
          <w:rFonts w:hint="eastAsia" w:ascii="宋体" w:hAnsi="宋体" w:eastAsia="宋体"/>
          <w:sz w:val="24"/>
          <w:szCs w:val="24"/>
          <w:u w:val="single"/>
        </w:rPr>
        <w:t>（中型企业、小型企业、微型企业）；</w:t>
      </w:r>
    </w:p>
    <w:p w14:paraId="21692942">
      <w:pPr>
        <w:spacing w:line="360" w:lineRule="auto"/>
        <w:ind w:firstLine="360"/>
        <w:rPr>
          <w:rFonts w:hint="eastAsia" w:ascii="宋体" w:hAnsi="宋体" w:eastAsia="宋体"/>
          <w:sz w:val="24"/>
          <w:szCs w:val="24"/>
        </w:rPr>
      </w:pPr>
      <w:r>
        <w:rPr>
          <w:rFonts w:hint="eastAsia" w:ascii="宋体" w:hAnsi="宋体" w:eastAsia="宋体"/>
          <w:sz w:val="24"/>
          <w:szCs w:val="24"/>
        </w:rPr>
        <w:t>2.</w:t>
      </w:r>
      <w:r>
        <w:rPr>
          <w:rFonts w:hint="eastAsia" w:ascii="宋体" w:hAnsi="宋体" w:eastAsia="宋体"/>
          <w:sz w:val="24"/>
          <w:szCs w:val="24"/>
          <w:u w:val="single"/>
        </w:rPr>
        <w:t>（标的名称）</w:t>
      </w:r>
      <w:r>
        <w:rPr>
          <w:rFonts w:hint="eastAsia" w:ascii="宋体" w:hAnsi="宋体" w:eastAsia="宋体"/>
          <w:i/>
          <w:sz w:val="24"/>
          <w:szCs w:val="24"/>
        </w:rPr>
        <w:t>，</w:t>
      </w:r>
      <w:r>
        <w:rPr>
          <w:rFonts w:hint="eastAsia" w:ascii="宋体" w:hAnsi="宋体" w:eastAsia="宋体"/>
          <w:sz w:val="24"/>
          <w:szCs w:val="24"/>
        </w:rPr>
        <w:t>属于</w:t>
      </w:r>
      <w:r>
        <w:rPr>
          <w:rFonts w:hint="eastAsia" w:ascii="宋体" w:hAnsi="宋体" w:eastAsia="宋体"/>
          <w:sz w:val="24"/>
          <w:szCs w:val="24"/>
          <w:u w:val="single"/>
        </w:rPr>
        <w:t xml:space="preserve">       </w:t>
      </w:r>
      <w:r>
        <w:rPr>
          <w:rFonts w:hint="eastAsia" w:ascii="宋体" w:hAnsi="宋体" w:eastAsia="宋体"/>
          <w:sz w:val="24"/>
          <w:szCs w:val="24"/>
        </w:rPr>
        <w:t>行业；承接企业为</w:t>
      </w:r>
      <w:r>
        <w:rPr>
          <w:rFonts w:hint="eastAsia" w:ascii="宋体" w:hAnsi="宋体" w:eastAsia="宋体"/>
          <w:sz w:val="24"/>
          <w:szCs w:val="24"/>
          <w:u w:val="single"/>
        </w:rPr>
        <w:t>（企业名称）</w:t>
      </w:r>
      <w:r>
        <w:rPr>
          <w:rFonts w:hint="eastAsia" w:ascii="宋体" w:hAnsi="宋体" w:eastAsia="宋体"/>
          <w:sz w:val="24"/>
          <w:szCs w:val="24"/>
        </w:rPr>
        <w:t>，从业人员</w:t>
      </w:r>
      <w:r>
        <w:rPr>
          <w:rFonts w:hint="eastAsia" w:ascii="宋体" w:hAnsi="宋体" w:eastAsia="宋体"/>
          <w:sz w:val="24"/>
          <w:szCs w:val="24"/>
          <w:u w:val="single"/>
        </w:rPr>
        <w:t xml:space="preserve">      </w:t>
      </w:r>
      <w:r>
        <w:rPr>
          <w:rFonts w:hint="eastAsia" w:ascii="宋体" w:hAnsi="宋体" w:eastAsia="宋体"/>
          <w:sz w:val="24"/>
          <w:szCs w:val="24"/>
        </w:rPr>
        <w:t>人，营业收入为</w:t>
      </w:r>
      <w:r>
        <w:rPr>
          <w:rFonts w:hint="eastAsia" w:ascii="宋体" w:hAnsi="宋体" w:eastAsia="宋体"/>
          <w:sz w:val="24"/>
          <w:szCs w:val="24"/>
          <w:u w:val="single"/>
        </w:rPr>
        <w:t xml:space="preserve">     </w:t>
      </w:r>
      <w:r>
        <w:rPr>
          <w:rFonts w:hint="eastAsia" w:ascii="宋体" w:hAnsi="宋体" w:eastAsia="宋体"/>
          <w:sz w:val="24"/>
          <w:szCs w:val="24"/>
        </w:rPr>
        <w:t>万元，资产总额为</w:t>
      </w:r>
      <w:r>
        <w:rPr>
          <w:rFonts w:hint="eastAsia" w:ascii="宋体" w:hAnsi="宋体" w:eastAsia="宋体"/>
          <w:sz w:val="24"/>
          <w:szCs w:val="24"/>
          <w:u w:val="single"/>
        </w:rPr>
        <w:t xml:space="preserve">      </w:t>
      </w:r>
      <w:r>
        <w:rPr>
          <w:rFonts w:hint="eastAsia" w:ascii="宋体" w:hAnsi="宋体" w:eastAsia="宋体"/>
          <w:sz w:val="24"/>
          <w:szCs w:val="24"/>
        </w:rPr>
        <w:t>万元</w:t>
      </w:r>
      <w:r>
        <w:rPr>
          <w:rFonts w:hint="eastAsia" w:ascii="宋体" w:hAnsi="宋体" w:eastAsia="宋体"/>
          <w:sz w:val="24"/>
          <w:szCs w:val="24"/>
          <w:vertAlign w:val="superscript"/>
        </w:rPr>
        <w:t>1</w:t>
      </w:r>
      <w:r>
        <w:rPr>
          <w:rFonts w:hint="eastAsia" w:ascii="宋体" w:hAnsi="宋体" w:eastAsia="宋体"/>
          <w:sz w:val="24"/>
          <w:szCs w:val="24"/>
        </w:rPr>
        <w:t>，属于</w:t>
      </w:r>
      <w:r>
        <w:rPr>
          <w:rFonts w:hint="eastAsia" w:ascii="宋体" w:hAnsi="宋体" w:eastAsia="宋体"/>
          <w:sz w:val="24"/>
          <w:szCs w:val="24"/>
          <w:u w:val="single"/>
        </w:rPr>
        <w:t>（小型企业、微型企业）；</w:t>
      </w:r>
    </w:p>
    <w:p w14:paraId="05D69929">
      <w:pPr>
        <w:spacing w:line="360" w:lineRule="auto"/>
        <w:ind w:firstLine="360"/>
        <w:rPr>
          <w:rFonts w:hint="eastAsia" w:ascii="宋体" w:hAnsi="宋体" w:eastAsia="宋体"/>
          <w:sz w:val="24"/>
          <w:szCs w:val="24"/>
        </w:rPr>
      </w:pPr>
      <w:r>
        <w:rPr>
          <w:rFonts w:hint="eastAsia" w:ascii="宋体" w:hAnsi="宋体" w:eastAsia="宋体"/>
          <w:sz w:val="24"/>
          <w:szCs w:val="24"/>
        </w:rPr>
        <w:t>……</w:t>
      </w:r>
    </w:p>
    <w:p w14:paraId="695DCEFB">
      <w:pPr>
        <w:spacing w:line="360" w:lineRule="auto"/>
        <w:ind w:firstLine="360"/>
        <w:rPr>
          <w:rFonts w:hint="eastAsia" w:ascii="宋体" w:hAnsi="宋体" w:eastAsia="宋体"/>
          <w:sz w:val="24"/>
          <w:szCs w:val="24"/>
        </w:rPr>
      </w:pPr>
      <w:r>
        <w:rPr>
          <w:rFonts w:hint="eastAsia" w:ascii="宋体" w:hAnsi="宋体" w:eastAsia="宋体"/>
          <w:sz w:val="24"/>
          <w:szCs w:val="24"/>
        </w:rPr>
        <w:t>以上企业，不属于大企业的分支机构，不存在控股股东为大企业的情形，也不存在与大企业的负责人为同一人的情形。</w:t>
      </w:r>
    </w:p>
    <w:p w14:paraId="62AA4170">
      <w:pPr>
        <w:spacing w:line="360" w:lineRule="auto"/>
        <w:ind w:firstLine="360"/>
        <w:rPr>
          <w:rFonts w:hint="eastAsia" w:ascii="宋体" w:hAnsi="宋体" w:eastAsia="宋体"/>
          <w:sz w:val="24"/>
          <w:szCs w:val="24"/>
        </w:rPr>
      </w:pPr>
      <w:r>
        <w:rPr>
          <w:rFonts w:hint="eastAsia" w:ascii="宋体" w:hAnsi="宋体" w:eastAsia="宋体"/>
          <w:sz w:val="24"/>
          <w:szCs w:val="24"/>
        </w:rPr>
        <w:t>本企业对上述声明内容的真实性负责。如有虚假，将依法承担相应责任</w:t>
      </w:r>
    </w:p>
    <w:p w14:paraId="6CF7FC31">
      <w:pPr>
        <w:spacing w:line="360" w:lineRule="auto"/>
        <w:ind w:right="720"/>
        <w:rPr>
          <w:rFonts w:hint="eastAsia" w:ascii="宋体" w:hAnsi="宋体" w:eastAsia="宋体"/>
          <w:sz w:val="24"/>
          <w:szCs w:val="24"/>
        </w:rPr>
      </w:pPr>
    </w:p>
    <w:p w14:paraId="4EE8C9F2">
      <w:pPr>
        <w:spacing w:line="360" w:lineRule="auto"/>
        <w:ind w:right="180" w:firstLine="360"/>
        <w:jc w:val="right"/>
        <w:rPr>
          <w:rFonts w:hint="eastAsia" w:ascii="宋体" w:hAnsi="宋体" w:eastAsia="宋体"/>
          <w:sz w:val="24"/>
          <w:szCs w:val="24"/>
        </w:rPr>
      </w:pPr>
      <w:r>
        <w:rPr>
          <w:rFonts w:hint="eastAsia" w:ascii="宋体" w:hAnsi="宋体" w:eastAsia="宋体"/>
          <w:sz w:val="24"/>
          <w:szCs w:val="24"/>
        </w:rPr>
        <w:t>企业名称（加盖CA电子公章）：</w:t>
      </w:r>
    </w:p>
    <w:p w14:paraId="3F050F92">
      <w:pPr>
        <w:spacing w:line="360" w:lineRule="auto"/>
        <w:ind w:right="480" w:firstLine="5400"/>
        <w:rPr>
          <w:rFonts w:hint="eastAsia" w:ascii="宋体" w:hAnsi="宋体" w:eastAsia="宋体"/>
          <w:sz w:val="24"/>
          <w:szCs w:val="24"/>
        </w:rPr>
      </w:pPr>
      <w:r>
        <w:rPr>
          <w:rFonts w:hint="eastAsia" w:ascii="宋体" w:hAnsi="宋体" w:eastAsia="宋体"/>
          <w:sz w:val="24"/>
          <w:szCs w:val="24"/>
        </w:rPr>
        <w:t>日  期：</w:t>
      </w:r>
    </w:p>
    <w:p w14:paraId="5234A763">
      <w:pPr>
        <w:spacing w:line="360" w:lineRule="auto"/>
        <w:ind w:firstLine="240"/>
        <w:rPr>
          <w:rFonts w:hint="eastAsia" w:ascii="宋体" w:hAnsi="宋体" w:eastAsia="宋体"/>
          <w:sz w:val="24"/>
          <w:szCs w:val="24"/>
        </w:rPr>
      </w:pPr>
    </w:p>
    <w:p w14:paraId="43E7CAA9">
      <w:pPr>
        <w:spacing w:line="360" w:lineRule="auto"/>
        <w:ind w:firstLine="480"/>
        <w:rPr>
          <w:rFonts w:hint="eastAsia" w:ascii="宋体" w:hAnsi="宋体" w:eastAsia="宋体"/>
          <w:sz w:val="24"/>
          <w:szCs w:val="24"/>
        </w:rPr>
      </w:pPr>
      <w:r>
        <w:rPr>
          <w:rFonts w:hint="eastAsia" w:ascii="宋体" w:hAnsi="宋体" w:eastAsia="宋体"/>
          <w:sz w:val="24"/>
          <w:szCs w:val="24"/>
        </w:rPr>
        <w:t>备注1：从业人员、营业收入、资产总额填报上一年度数据，无上一年度数据的新成立企业可不填报。</w:t>
      </w:r>
    </w:p>
    <w:p w14:paraId="6D8DDE27">
      <w:pPr>
        <w:spacing w:line="460" w:lineRule="exact"/>
        <w:jc w:val="center"/>
        <w:outlineLvl w:val="1"/>
        <w:rPr>
          <w:rFonts w:hint="eastAsia" w:ascii="宋体" w:hAnsi="宋体" w:eastAsia="宋体"/>
          <w:b/>
          <w:sz w:val="32"/>
          <w:szCs w:val="32"/>
          <w:highlight w:val="none"/>
        </w:rPr>
      </w:pPr>
      <w:r>
        <w:rPr>
          <w:rFonts w:hint="eastAsia" w:ascii="宋体" w:hAnsi="宋体" w:eastAsia="宋体"/>
          <w:b/>
          <w:sz w:val="32"/>
          <w:szCs w:val="32"/>
        </w:rPr>
        <w:br w:type="page"/>
      </w:r>
      <w:r>
        <w:rPr>
          <w:rFonts w:hint="eastAsia" w:ascii="宋体" w:hAnsi="宋体" w:eastAsia="宋体"/>
          <w:b/>
          <w:sz w:val="32"/>
          <w:szCs w:val="32"/>
        </w:rPr>
        <w:t>十、残疾人福利性单位声明函</w:t>
      </w:r>
      <w:r>
        <w:rPr>
          <w:rFonts w:hint="eastAsia" w:ascii="宋体" w:hAnsi="宋体" w:eastAsia="宋体"/>
          <w:b/>
          <w:sz w:val="32"/>
          <w:szCs w:val="32"/>
          <w:highlight w:val="none"/>
        </w:rPr>
        <w:t>（</w:t>
      </w:r>
      <w:r>
        <w:rPr>
          <w:rFonts w:hint="eastAsia" w:ascii="宋体" w:hAnsi="宋体"/>
          <w:b/>
          <w:sz w:val="32"/>
          <w:szCs w:val="32"/>
          <w:highlight w:val="none"/>
          <w:lang w:val="en-US" w:eastAsia="zh-CN"/>
        </w:rPr>
        <w:t>项目</w:t>
      </w:r>
      <w:r>
        <w:rPr>
          <w:rFonts w:hint="eastAsia" w:ascii="宋体" w:hAnsi="宋体"/>
          <w:b/>
          <w:sz w:val="32"/>
          <w:szCs w:val="32"/>
          <w:highlight w:val="none"/>
          <w:lang w:eastAsia="zh-CN"/>
        </w:rPr>
        <w:t>编号</w:t>
      </w:r>
      <w:r>
        <w:rPr>
          <w:rFonts w:hint="eastAsia" w:ascii="宋体" w:hAnsi="宋体" w:eastAsia="宋体"/>
          <w:b/>
          <w:sz w:val="32"/>
          <w:szCs w:val="32"/>
          <w:highlight w:val="none"/>
        </w:rPr>
        <w:t>：</w:t>
      </w:r>
      <w:r>
        <w:rPr>
          <w:rFonts w:hint="eastAsia" w:ascii="宋体" w:hAnsi="宋体"/>
          <w:b/>
          <w:sz w:val="32"/>
          <w:szCs w:val="32"/>
          <w:highlight w:val="none"/>
          <w:u w:val="single"/>
          <w:lang w:eastAsia="zh-CN"/>
        </w:rPr>
        <w:t xml:space="preserve">          </w:t>
      </w:r>
      <w:r>
        <w:rPr>
          <w:rFonts w:hint="eastAsia" w:ascii="宋体" w:hAnsi="宋体" w:eastAsia="宋体"/>
          <w:b/>
          <w:sz w:val="32"/>
          <w:szCs w:val="32"/>
          <w:highlight w:val="none"/>
        </w:rPr>
        <w:t>）</w:t>
      </w:r>
    </w:p>
    <w:p w14:paraId="696F50FD">
      <w:pPr>
        <w:spacing w:line="360" w:lineRule="auto"/>
        <w:ind w:firstLine="480"/>
        <w:rPr>
          <w:rFonts w:hint="eastAsia" w:ascii="宋体" w:hAnsi="宋体" w:eastAsia="宋体"/>
          <w:sz w:val="24"/>
          <w:highlight w:val="none"/>
        </w:rPr>
      </w:pPr>
      <w:r>
        <w:rPr>
          <w:rFonts w:hint="eastAsia" w:ascii="宋体" w:hAnsi="宋体" w:eastAsia="宋体"/>
          <w:sz w:val="24"/>
          <w:highlight w:val="none"/>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eastAsia="宋体"/>
          <w:sz w:val="24"/>
          <w:highlight w:val="none"/>
          <w:u w:val="single"/>
        </w:rPr>
        <w:t xml:space="preserve">       </w:t>
      </w:r>
      <w:r>
        <w:rPr>
          <w:rFonts w:hint="eastAsia" w:ascii="宋体" w:hAnsi="宋体" w:eastAsia="宋体"/>
          <w:sz w:val="24"/>
          <w:highlight w:val="none"/>
        </w:rPr>
        <w:t>项目（</w:t>
      </w:r>
      <w:r>
        <w:rPr>
          <w:rFonts w:hint="eastAsia" w:ascii="宋体" w:hAnsi="宋体"/>
          <w:sz w:val="24"/>
          <w:highlight w:val="none"/>
          <w:lang w:val="en-US" w:eastAsia="zh-CN"/>
        </w:rPr>
        <w:t>项目</w:t>
      </w:r>
      <w:r>
        <w:rPr>
          <w:rFonts w:hint="eastAsia" w:ascii="宋体" w:hAnsi="宋体"/>
          <w:sz w:val="24"/>
          <w:highlight w:val="none"/>
          <w:lang w:eastAsia="zh-CN"/>
        </w:rPr>
        <w:t>编号</w:t>
      </w:r>
      <w:r>
        <w:rPr>
          <w:rFonts w:hint="eastAsia" w:ascii="宋体" w:hAnsi="宋体" w:eastAsia="宋体"/>
          <w:sz w:val="24"/>
          <w:highlight w:val="none"/>
        </w:rPr>
        <w:t>：</w:t>
      </w:r>
      <w:r>
        <w:rPr>
          <w:rFonts w:hint="eastAsia" w:ascii="宋体" w:hAnsi="宋体"/>
          <w:sz w:val="24"/>
          <w:highlight w:val="none"/>
          <w:u w:val="single"/>
          <w:lang w:eastAsia="zh-CN"/>
        </w:rPr>
        <w:t xml:space="preserve">          </w:t>
      </w:r>
      <w:r>
        <w:rPr>
          <w:rFonts w:hint="eastAsia" w:ascii="宋体" w:hAnsi="宋体" w:eastAsia="宋体"/>
          <w:sz w:val="24"/>
          <w:highlight w:val="none"/>
        </w:rPr>
        <w:t>）采购活动由本单位提供服务。</w:t>
      </w:r>
    </w:p>
    <w:p w14:paraId="43DBECFB">
      <w:pPr>
        <w:spacing w:line="360" w:lineRule="auto"/>
        <w:ind w:firstLine="480"/>
        <w:rPr>
          <w:rFonts w:hint="eastAsia" w:ascii="宋体" w:hAnsi="宋体" w:eastAsia="宋体"/>
          <w:sz w:val="24"/>
        </w:rPr>
      </w:pPr>
      <w:r>
        <w:rPr>
          <w:rFonts w:hint="eastAsia" w:ascii="宋体" w:hAnsi="宋体" w:eastAsia="宋体"/>
          <w:sz w:val="24"/>
        </w:rPr>
        <w:t>本单位对上述声明的真实性负责。如有虚假，将依法承担相应责任。</w:t>
      </w:r>
    </w:p>
    <w:p w14:paraId="6467CDC3">
      <w:pPr>
        <w:spacing w:line="360" w:lineRule="auto"/>
        <w:ind w:firstLine="480"/>
        <w:rPr>
          <w:rFonts w:hint="eastAsia" w:ascii="宋体" w:hAnsi="宋体" w:eastAsia="宋体"/>
          <w:sz w:val="24"/>
        </w:rPr>
      </w:pPr>
    </w:p>
    <w:p w14:paraId="4406429D">
      <w:pPr>
        <w:spacing w:line="360" w:lineRule="auto"/>
        <w:ind w:firstLine="480"/>
        <w:rPr>
          <w:rFonts w:hint="eastAsia" w:ascii="宋体" w:hAnsi="宋体" w:eastAsia="宋体"/>
          <w:sz w:val="24"/>
        </w:rPr>
      </w:pPr>
      <w:r>
        <w:rPr>
          <w:rFonts w:hint="eastAsia" w:ascii="宋体" w:hAnsi="宋体" w:eastAsia="宋体"/>
          <w:sz w:val="24"/>
        </w:rPr>
        <w:t>（备注：1、供应商如不提供此声明函，价格将不做相应扣除。2、中标人为残疾人福利单位的，此声明函将随中标结果同时公告，接受社会监督）</w:t>
      </w:r>
    </w:p>
    <w:p w14:paraId="660765F2">
      <w:pPr>
        <w:spacing w:line="360" w:lineRule="auto"/>
        <w:ind w:firstLine="624"/>
        <w:rPr>
          <w:rFonts w:hint="eastAsia" w:ascii="宋体" w:hAnsi="宋体" w:eastAsia="宋体"/>
          <w:spacing w:val="6"/>
          <w:sz w:val="30"/>
          <w:szCs w:val="30"/>
        </w:rPr>
      </w:pPr>
    </w:p>
    <w:p w14:paraId="1402D7FB">
      <w:pPr>
        <w:tabs>
          <w:tab w:val="left" w:pos="4860"/>
        </w:tabs>
        <w:spacing w:line="360" w:lineRule="auto"/>
        <w:ind w:right="1560" w:firstLine="624"/>
        <w:jc w:val="center"/>
        <w:rPr>
          <w:rFonts w:hint="eastAsia" w:ascii="宋体" w:hAnsi="宋体" w:eastAsia="宋体"/>
          <w:spacing w:val="6"/>
          <w:sz w:val="30"/>
          <w:szCs w:val="30"/>
        </w:rPr>
      </w:pPr>
      <w:r>
        <w:rPr>
          <w:rFonts w:hint="eastAsia" w:ascii="宋体" w:hAnsi="宋体" w:eastAsia="宋体"/>
          <w:spacing w:val="6"/>
          <w:sz w:val="30"/>
          <w:szCs w:val="30"/>
        </w:rPr>
        <w:t xml:space="preserve">             </w:t>
      </w:r>
      <w:r>
        <w:rPr>
          <w:rFonts w:hint="eastAsia" w:ascii="宋体" w:hAnsi="宋体" w:eastAsia="宋体"/>
          <w:sz w:val="24"/>
        </w:rPr>
        <w:t xml:space="preserve">          供应商全称（加盖CA电子公章）：</w:t>
      </w:r>
    </w:p>
    <w:p w14:paraId="40BA5590">
      <w:pPr>
        <w:tabs>
          <w:tab w:val="left" w:pos="4860"/>
        </w:tabs>
        <w:spacing w:line="360" w:lineRule="auto"/>
        <w:ind w:right="1560" w:firstLine="480"/>
        <w:jc w:val="center"/>
        <w:rPr>
          <w:rFonts w:hint="eastAsia" w:ascii="宋体" w:hAnsi="宋体" w:eastAsia="宋体"/>
          <w:sz w:val="24"/>
        </w:rPr>
      </w:pPr>
      <w:r>
        <w:rPr>
          <w:rFonts w:hint="eastAsia" w:ascii="宋体" w:hAnsi="宋体" w:eastAsia="宋体"/>
          <w:sz w:val="24"/>
        </w:rPr>
        <w:t xml:space="preserve">        日  期：</w:t>
      </w:r>
    </w:p>
    <w:p w14:paraId="76C6DA0C">
      <w:pPr>
        <w:spacing w:line="560" w:lineRule="exact"/>
        <w:jc w:val="center"/>
        <w:rPr>
          <w:rFonts w:hint="eastAsia" w:ascii="宋体" w:hAnsi="宋体" w:eastAsia="宋体"/>
          <w:b/>
          <w:sz w:val="32"/>
          <w:szCs w:val="32"/>
        </w:rPr>
      </w:pPr>
    </w:p>
    <w:p w14:paraId="6AA6449A">
      <w:pPr>
        <w:spacing w:line="560" w:lineRule="exact"/>
        <w:jc w:val="center"/>
        <w:rPr>
          <w:rFonts w:hint="eastAsia" w:ascii="宋体" w:hAnsi="宋体" w:eastAsia="宋体"/>
          <w:b/>
          <w:sz w:val="32"/>
          <w:szCs w:val="32"/>
        </w:rPr>
      </w:pPr>
    </w:p>
    <w:p w14:paraId="2D409080">
      <w:pPr>
        <w:spacing w:line="560" w:lineRule="exact"/>
        <w:jc w:val="center"/>
        <w:rPr>
          <w:rFonts w:hint="eastAsia" w:ascii="宋体" w:hAnsi="宋体" w:eastAsia="宋体"/>
          <w:b/>
          <w:sz w:val="32"/>
          <w:szCs w:val="32"/>
        </w:rPr>
      </w:pPr>
    </w:p>
    <w:p w14:paraId="64CDC376">
      <w:pPr>
        <w:spacing w:line="560" w:lineRule="exact"/>
        <w:jc w:val="center"/>
        <w:rPr>
          <w:rFonts w:hint="eastAsia" w:ascii="宋体" w:hAnsi="宋体" w:eastAsia="宋体"/>
          <w:b/>
          <w:sz w:val="32"/>
          <w:szCs w:val="32"/>
        </w:rPr>
      </w:pPr>
    </w:p>
    <w:p w14:paraId="6EE15392">
      <w:pPr>
        <w:spacing w:line="560" w:lineRule="exact"/>
        <w:jc w:val="center"/>
        <w:rPr>
          <w:rFonts w:hint="eastAsia" w:ascii="宋体" w:hAnsi="宋体" w:eastAsia="宋体"/>
          <w:b/>
          <w:sz w:val="32"/>
          <w:szCs w:val="32"/>
        </w:rPr>
      </w:pPr>
    </w:p>
    <w:p w14:paraId="599BE9CC">
      <w:pPr>
        <w:spacing w:line="560" w:lineRule="exact"/>
        <w:jc w:val="center"/>
        <w:rPr>
          <w:rFonts w:hint="eastAsia" w:ascii="宋体" w:hAnsi="宋体" w:eastAsia="宋体"/>
          <w:b/>
          <w:sz w:val="32"/>
          <w:szCs w:val="32"/>
        </w:rPr>
      </w:pPr>
    </w:p>
    <w:p w14:paraId="1AD1113F">
      <w:pPr>
        <w:spacing w:line="560" w:lineRule="exact"/>
        <w:jc w:val="center"/>
        <w:rPr>
          <w:rFonts w:hint="eastAsia" w:ascii="宋体" w:hAnsi="宋体" w:eastAsia="宋体"/>
          <w:b/>
          <w:sz w:val="32"/>
          <w:szCs w:val="32"/>
        </w:rPr>
      </w:pPr>
    </w:p>
    <w:p w14:paraId="74E37948">
      <w:pPr>
        <w:spacing w:line="560" w:lineRule="exact"/>
        <w:jc w:val="center"/>
        <w:rPr>
          <w:rFonts w:hint="eastAsia" w:ascii="宋体" w:hAnsi="宋体" w:eastAsia="宋体"/>
          <w:b/>
          <w:sz w:val="32"/>
          <w:szCs w:val="32"/>
        </w:rPr>
      </w:pPr>
    </w:p>
    <w:p w14:paraId="1F0A5DB4">
      <w:pPr>
        <w:spacing w:line="560" w:lineRule="exact"/>
        <w:jc w:val="center"/>
        <w:rPr>
          <w:rFonts w:hint="eastAsia" w:ascii="宋体" w:hAnsi="宋体" w:eastAsia="宋体"/>
          <w:b/>
          <w:sz w:val="32"/>
          <w:szCs w:val="32"/>
        </w:rPr>
      </w:pPr>
    </w:p>
    <w:p w14:paraId="51113377">
      <w:pPr>
        <w:spacing w:line="460" w:lineRule="exact"/>
        <w:rPr>
          <w:rFonts w:hint="eastAsia" w:ascii="宋体" w:hAnsi="宋体" w:eastAsia="宋体"/>
          <w:bCs/>
          <w:sz w:val="24"/>
        </w:rPr>
      </w:pPr>
    </w:p>
    <w:p w14:paraId="141A7E90">
      <w:pPr>
        <w:rPr>
          <w:rFonts w:hint="eastAsia" w:ascii="宋体" w:hAnsi="宋体" w:eastAsia="宋体"/>
        </w:rPr>
      </w:pPr>
    </w:p>
    <w:p w14:paraId="7E825950">
      <w:pPr>
        <w:jc w:val="center"/>
        <w:outlineLvl w:val="1"/>
        <w:rPr>
          <w:rFonts w:hint="eastAsia" w:ascii="宋体" w:hAnsi="宋体" w:eastAsia="宋体"/>
          <w:b/>
          <w:sz w:val="32"/>
          <w:szCs w:val="32"/>
          <w:highlight w:val="none"/>
        </w:rPr>
      </w:pPr>
      <w:r>
        <w:rPr>
          <w:rFonts w:hint="eastAsia" w:ascii="宋体" w:hAnsi="宋体" w:eastAsia="宋体"/>
          <w:b/>
          <w:sz w:val="32"/>
          <w:szCs w:val="32"/>
        </w:rPr>
        <w:br w:type="page"/>
      </w:r>
      <w:r>
        <w:rPr>
          <w:rFonts w:hint="eastAsia" w:ascii="宋体" w:hAnsi="宋体" w:eastAsia="宋体"/>
          <w:b/>
          <w:sz w:val="32"/>
          <w:szCs w:val="32"/>
        </w:rPr>
        <w:t>十一、投标分项报</w:t>
      </w:r>
      <w:r>
        <w:rPr>
          <w:rFonts w:hint="eastAsia" w:ascii="宋体" w:hAnsi="宋体" w:eastAsia="宋体"/>
          <w:b/>
          <w:sz w:val="32"/>
          <w:szCs w:val="32"/>
          <w:highlight w:val="none"/>
        </w:rPr>
        <w:t>价表（</w:t>
      </w:r>
      <w:r>
        <w:rPr>
          <w:rFonts w:hint="eastAsia" w:ascii="宋体" w:hAnsi="宋体"/>
          <w:b/>
          <w:sz w:val="32"/>
          <w:szCs w:val="32"/>
          <w:highlight w:val="none"/>
          <w:lang w:val="en-US" w:eastAsia="zh-CN"/>
        </w:rPr>
        <w:t>项目</w:t>
      </w:r>
      <w:r>
        <w:rPr>
          <w:rFonts w:hint="eastAsia" w:ascii="宋体" w:hAnsi="宋体"/>
          <w:b/>
          <w:sz w:val="32"/>
          <w:szCs w:val="32"/>
          <w:highlight w:val="none"/>
          <w:lang w:eastAsia="zh-CN"/>
        </w:rPr>
        <w:t>编号</w:t>
      </w:r>
      <w:r>
        <w:rPr>
          <w:rFonts w:hint="eastAsia" w:ascii="宋体" w:hAnsi="宋体" w:eastAsia="宋体"/>
          <w:b/>
          <w:sz w:val="32"/>
          <w:szCs w:val="32"/>
          <w:highlight w:val="none"/>
        </w:rPr>
        <w:t>：</w:t>
      </w:r>
      <w:r>
        <w:rPr>
          <w:rFonts w:hint="eastAsia" w:ascii="宋体" w:hAnsi="宋体" w:eastAsia="宋体"/>
          <w:b/>
          <w:sz w:val="32"/>
          <w:szCs w:val="32"/>
          <w:highlight w:val="none"/>
          <w:u w:val="single"/>
        </w:rPr>
        <w:t xml:space="preserve">   </w:t>
      </w:r>
      <w:r>
        <w:rPr>
          <w:rFonts w:hint="eastAsia" w:ascii="宋体" w:hAnsi="宋体" w:eastAsia="宋体"/>
          <w:b/>
          <w:sz w:val="32"/>
          <w:szCs w:val="32"/>
          <w:highlight w:val="none"/>
        </w:rPr>
        <w:t>）</w:t>
      </w:r>
    </w:p>
    <w:p w14:paraId="6B4EE1FF">
      <w:pPr>
        <w:jc w:val="center"/>
        <w:rPr>
          <w:rFonts w:hint="eastAsia" w:ascii="宋体" w:hAnsi="宋体" w:eastAsia="宋体"/>
          <w:b/>
          <w:sz w:val="32"/>
          <w:szCs w:val="32"/>
          <w:lang w:val="en-US" w:eastAsia="zh-CN"/>
        </w:rPr>
      </w:pPr>
      <w:r>
        <w:rPr>
          <w:rFonts w:hint="eastAsia" w:ascii="宋体" w:hAnsi="宋体"/>
          <w:b/>
          <w:sz w:val="32"/>
          <w:szCs w:val="32"/>
          <w:lang w:val="en-US" w:eastAsia="zh-CN"/>
        </w:rPr>
        <w:t>格式自拟</w:t>
      </w:r>
    </w:p>
    <w:p w14:paraId="4F833915">
      <w:pPr>
        <w:jc w:val="left"/>
        <w:rPr>
          <w:rFonts w:hint="eastAsia" w:ascii="宋体" w:hAnsi="宋体" w:eastAsia="宋体"/>
          <w:b/>
          <w:sz w:val="32"/>
          <w:szCs w:val="32"/>
        </w:rPr>
      </w:pPr>
    </w:p>
    <w:p w14:paraId="5B712915">
      <w:pPr>
        <w:jc w:val="left"/>
        <w:rPr>
          <w:rFonts w:hint="eastAsia" w:ascii="宋体" w:hAnsi="宋体" w:eastAsia="宋体"/>
          <w:b/>
          <w:sz w:val="32"/>
          <w:szCs w:val="32"/>
        </w:rPr>
      </w:pPr>
    </w:p>
    <w:p w14:paraId="6EAC64CA">
      <w:pPr>
        <w:jc w:val="left"/>
        <w:rPr>
          <w:rFonts w:hint="eastAsia" w:ascii="宋体" w:hAnsi="宋体" w:eastAsia="宋体"/>
          <w:b/>
          <w:sz w:val="32"/>
          <w:szCs w:val="32"/>
        </w:rPr>
      </w:pPr>
    </w:p>
    <w:p w14:paraId="6E26CD6E">
      <w:pPr>
        <w:jc w:val="left"/>
        <w:rPr>
          <w:rFonts w:hint="eastAsia" w:ascii="宋体" w:hAnsi="宋体" w:eastAsia="宋体"/>
          <w:b/>
          <w:sz w:val="32"/>
          <w:szCs w:val="32"/>
        </w:rPr>
      </w:pPr>
    </w:p>
    <w:p w14:paraId="2C0EFEDC">
      <w:pPr>
        <w:jc w:val="left"/>
        <w:rPr>
          <w:rFonts w:hint="eastAsia" w:ascii="宋体" w:hAnsi="宋体" w:eastAsia="宋体"/>
          <w:b/>
          <w:sz w:val="32"/>
          <w:szCs w:val="32"/>
        </w:rPr>
      </w:pPr>
    </w:p>
    <w:p w14:paraId="63D80CA7">
      <w:pPr>
        <w:jc w:val="left"/>
        <w:rPr>
          <w:rFonts w:hint="eastAsia" w:ascii="宋体" w:hAnsi="宋体" w:eastAsia="宋体"/>
          <w:b/>
          <w:sz w:val="32"/>
          <w:szCs w:val="32"/>
        </w:rPr>
      </w:pPr>
    </w:p>
    <w:p w14:paraId="6B9A861C">
      <w:pPr>
        <w:jc w:val="left"/>
        <w:rPr>
          <w:rFonts w:hint="eastAsia" w:ascii="宋体" w:hAnsi="宋体" w:eastAsia="宋体"/>
          <w:b/>
          <w:sz w:val="32"/>
          <w:szCs w:val="32"/>
        </w:rPr>
      </w:pPr>
    </w:p>
    <w:p w14:paraId="2009C109">
      <w:pPr>
        <w:jc w:val="left"/>
        <w:rPr>
          <w:rFonts w:hint="eastAsia" w:ascii="宋体" w:hAnsi="宋体" w:eastAsia="宋体"/>
          <w:b/>
          <w:sz w:val="32"/>
          <w:szCs w:val="32"/>
        </w:rPr>
      </w:pPr>
    </w:p>
    <w:p w14:paraId="05105257">
      <w:pPr>
        <w:jc w:val="left"/>
        <w:rPr>
          <w:rFonts w:hint="eastAsia" w:ascii="宋体" w:hAnsi="宋体" w:eastAsia="宋体"/>
          <w:b/>
          <w:sz w:val="32"/>
          <w:szCs w:val="32"/>
        </w:rPr>
      </w:pPr>
    </w:p>
    <w:p w14:paraId="13C922A7">
      <w:pPr>
        <w:jc w:val="left"/>
        <w:rPr>
          <w:rFonts w:hint="eastAsia" w:ascii="宋体" w:hAnsi="宋体" w:eastAsia="宋体"/>
          <w:b/>
          <w:sz w:val="32"/>
          <w:szCs w:val="32"/>
        </w:rPr>
      </w:pPr>
    </w:p>
    <w:p w14:paraId="3C737C34">
      <w:pPr>
        <w:jc w:val="left"/>
        <w:rPr>
          <w:rFonts w:hint="eastAsia" w:ascii="宋体" w:hAnsi="宋体" w:eastAsia="宋体"/>
          <w:b/>
          <w:sz w:val="32"/>
          <w:szCs w:val="32"/>
        </w:rPr>
      </w:pPr>
    </w:p>
    <w:p w14:paraId="02235555">
      <w:pPr>
        <w:jc w:val="left"/>
        <w:rPr>
          <w:rFonts w:hint="eastAsia" w:ascii="宋体" w:hAnsi="宋体" w:eastAsia="宋体"/>
          <w:b/>
          <w:sz w:val="32"/>
          <w:szCs w:val="32"/>
        </w:rPr>
      </w:pPr>
    </w:p>
    <w:p w14:paraId="1B354213">
      <w:pPr>
        <w:jc w:val="left"/>
        <w:rPr>
          <w:rFonts w:hint="eastAsia" w:ascii="宋体" w:hAnsi="宋体" w:eastAsia="宋体"/>
          <w:b/>
          <w:sz w:val="32"/>
          <w:szCs w:val="32"/>
        </w:rPr>
      </w:pPr>
    </w:p>
    <w:p w14:paraId="455978C6">
      <w:pPr>
        <w:jc w:val="left"/>
        <w:rPr>
          <w:rFonts w:hint="eastAsia" w:ascii="宋体" w:hAnsi="宋体" w:eastAsia="宋体"/>
          <w:b/>
          <w:sz w:val="32"/>
          <w:szCs w:val="32"/>
        </w:rPr>
      </w:pPr>
    </w:p>
    <w:p w14:paraId="1B75B3E0">
      <w:pPr>
        <w:jc w:val="left"/>
        <w:rPr>
          <w:rFonts w:hint="eastAsia" w:ascii="宋体" w:hAnsi="宋体" w:eastAsia="宋体"/>
          <w:b/>
          <w:sz w:val="32"/>
          <w:szCs w:val="32"/>
        </w:rPr>
      </w:pPr>
    </w:p>
    <w:p w14:paraId="71522294">
      <w:pPr>
        <w:jc w:val="left"/>
        <w:rPr>
          <w:rFonts w:hint="eastAsia" w:ascii="宋体" w:hAnsi="宋体" w:eastAsia="宋体"/>
          <w:b/>
          <w:sz w:val="32"/>
          <w:szCs w:val="32"/>
        </w:rPr>
      </w:pPr>
    </w:p>
    <w:p w14:paraId="526B998F">
      <w:pPr>
        <w:jc w:val="left"/>
        <w:rPr>
          <w:rFonts w:hint="eastAsia" w:ascii="宋体" w:hAnsi="宋体" w:eastAsia="宋体"/>
          <w:b/>
          <w:sz w:val="32"/>
          <w:szCs w:val="32"/>
        </w:rPr>
      </w:pPr>
    </w:p>
    <w:p w14:paraId="51B1528E">
      <w:pPr>
        <w:jc w:val="left"/>
        <w:rPr>
          <w:rFonts w:hint="eastAsia" w:ascii="宋体" w:hAnsi="宋体" w:eastAsia="宋体"/>
          <w:b/>
          <w:sz w:val="32"/>
          <w:szCs w:val="32"/>
        </w:rPr>
      </w:pPr>
    </w:p>
    <w:p w14:paraId="62696C8D">
      <w:pPr>
        <w:jc w:val="center"/>
        <w:rPr>
          <w:rFonts w:hint="eastAsia" w:ascii="宋体" w:hAnsi="宋体" w:eastAsia="宋体"/>
          <w:b/>
          <w:sz w:val="32"/>
          <w:szCs w:val="32"/>
        </w:rPr>
      </w:pPr>
    </w:p>
    <w:p w14:paraId="232132CB">
      <w:pPr>
        <w:jc w:val="center"/>
        <w:rPr>
          <w:rFonts w:hint="eastAsia" w:ascii="宋体" w:hAnsi="宋体" w:eastAsia="宋体"/>
          <w:b/>
          <w:sz w:val="32"/>
          <w:szCs w:val="32"/>
        </w:rPr>
      </w:pPr>
    </w:p>
    <w:p w14:paraId="54DA2688">
      <w:pPr>
        <w:jc w:val="center"/>
        <w:rPr>
          <w:rFonts w:hint="eastAsia" w:ascii="宋体" w:hAnsi="宋体" w:eastAsia="宋体"/>
          <w:b/>
          <w:sz w:val="32"/>
          <w:szCs w:val="32"/>
        </w:rPr>
      </w:pPr>
    </w:p>
    <w:p w14:paraId="1EC2085C">
      <w:pPr>
        <w:jc w:val="center"/>
        <w:outlineLvl w:val="1"/>
        <w:rPr>
          <w:rFonts w:hint="eastAsia" w:ascii="宋体" w:hAnsi="宋体" w:eastAsia="宋体"/>
          <w:b/>
          <w:sz w:val="32"/>
          <w:szCs w:val="32"/>
        </w:rPr>
      </w:pPr>
      <w:r>
        <w:rPr>
          <w:rFonts w:hint="eastAsia" w:ascii="宋体" w:hAnsi="宋体" w:eastAsia="宋体"/>
          <w:b/>
          <w:sz w:val="32"/>
          <w:szCs w:val="32"/>
        </w:rPr>
        <w:br w:type="page"/>
      </w:r>
      <w:r>
        <w:rPr>
          <w:rFonts w:hint="eastAsia" w:ascii="宋体" w:hAnsi="宋体" w:eastAsia="宋体"/>
          <w:b/>
          <w:sz w:val="32"/>
          <w:szCs w:val="32"/>
        </w:rPr>
        <w:t>十二、技术要求响应及偏离表</w:t>
      </w:r>
      <w:r>
        <w:rPr>
          <w:rFonts w:hint="eastAsia" w:ascii="宋体" w:hAnsi="宋体" w:eastAsia="宋体"/>
          <w:b/>
          <w:sz w:val="32"/>
          <w:szCs w:val="32"/>
          <w:highlight w:val="none"/>
        </w:rPr>
        <w:t>（</w:t>
      </w:r>
      <w:r>
        <w:rPr>
          <w:rFonts w:hint="eastAsia" w:ascii="宋体" w:hAnsi="宋体"/>
          <w:b/>
          <w:sz w:val="32"/>
          <w:szCs w:val="32"/>
          <w:highlight w:val="none"/>
          <w:lang w:val="en-US" w:eastAsia="zh-CN"/>
        </w:rPr>
        <w:t>项目</w:t>
      </w:r>
      <w:r>
        <w:rPr>
          <w:rFonts w:hint="eastAsia" w:ascii="宋体" w:hAnsi="宋体"/>
          <w:b/>
          <w:sz w:val="32"/>
          <w:szCs w:val="32"/>
          <w:highlight w:val="none"/>
          <w:lang w:eastAsia="zh-CN"/>
        </w:rPr>
        <w:t>编号</w:t>
      </w:r>
      <w:r>
        <w:rPr>
          <w:rFonts w:hint="eastAsia" w:ascii="宋体" w:hAnsi="宋体" w:eastAsia="宋体"/>
          <w:b/>
          <w:sz w:val="32"/>
          <w:szCs w:val="32"/>
          <w:highlight w:val="none"/>
        </w:rPr>
        <w:t>：</w:t>
      </w:r>
      <w:r>
        <w:rPr>
          <w:rFonts w:hint="eastAsia" w:ascii="宋体" w:hAnsi="宋体" w:eastAsia="宋体"/>
          <w:b/>
          <w:sz w:val="32"/>
          <w:szCs w:val="32"/>
          <w:u w:val="single"/>
        </w:rPr>
        <w:t xml:space="preserve">   </w:t>
      </w:r>
      <w:r>
        <w:rPr>
          <w:rFonts w:hint="eastAsia" w:ascii="宋体" w:hAnsi="宋体" w:eastAsia="宋体"/>
          <w:b/>
          <w:sz w:val="32"/>
          <w:szCs w:val="32"/>
        </w:rPr>
        <w:t>）</w:t>
      </w:r>
    </w:p>
    <w:tbl>
      <w:tblPr>
        <w:tblStyle w:val="3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291"/>
        <w:gridCol w:w="2852"/>
        <w:gridCol w:w="1308"/>
        <w:gridCol w:w="1173"/>
      </w:tblGrid>
      <w:tr w14:paraId="652DD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vAlign w:val="center"/>
          </w:tcPr>
          <w:p w14:paraId="38D4B599">
            <w:pPr>
              <w:jc w:val="center"/>
              <w:rPr>
                <w:rFonts w:hint="eastAsia" w:ascii="宋体" w:hAnsi="宋体" w:eastAsia="宋体"/>
                <w:sz w:val="24"/>
                <w:szCs w:val="24"/>
              </w:rPr>
            </w:pPr>
            <w:r>
              <w:rPr>
                <w:rFonts w:hint="eastAsia" w:ascii="宋体" w:hAnsi="宋体" w:eastAsia="宋体"/>
                <w:sz w:val="24"/>
                <w:szCs w:val="24"/>
              </w:rPr>
              <w:t>序号</w:t>
            </w:r>
          </w:p>
        </w:tc>
        <w:tc>
          <w:tcPr>
            <w:tcW w:w="3291" w:type="dxa"/>
            <w:vAlign w:val="center"/>
          </w:tcPr>
          <w:p w14:paraId="17BFED90">
            <w:pPr>
              <w:jc w:val="center"/>
              <w:rPr>
                <w:rFonts w:hint="eastAsia" w:ascii="宋体" w:hAnsi="宋体" w:eastAsia="宋体"/>
                <w:sz w:val="24"/>
                <w:szCs w:val="24"/>
              </w:rPr>
            </w:pPr>
            <w:r>
              <w:rPr>
                <w:rFonts w:hint="eastAsia" w:ascii="宋体" w:hAnsi="宋体" w:eastAsia="宋体"/>
                <w:sz w:val="24"/>
                <w:szCs w:val="24"/>
              </w:rPr>
              <w:t>招标文件要求</w:t>
            </w:r>
          </w:p>
        </w:tc>
        <w:tc>
          <w:tcPr>
            <w:tcW w:w="2852" w:type="dxa"/>
            <w:vAlign w:val="center"/>
          </w:tcPr>
          <w:p w14:paraId="3A0E7DFF">
            <w:pPr>
              <w:jc w:val="center"/>
              <w:rPr>
                <w:rFonts w:hint="eastAsia" w:ascii="宋体" w:hAnsi="宋体" w:eastAsia="宋体"/>
                <w:sz w:val="24"/>
                <w:szCs w:val="24"/>
              </w:rPr>
            </w:pPr>
            <w:r>
              <w:rPr>
                <w:rFonts w:hint="eastAsia" w:ascii="宋体" w:hAnsi="宋体" w:eastAsia="宋体"/>
                <w:sz w:val="24"/>
                <w:szCs w:val="24"/>
              </w:rPr>
              <w:t>投标响应情况</w:t>
            </w:r>
          </w:p>
        </w:tc>
        <w:tc>
          <w:tcPr>
            <w:tcW w:w="1308" w:type="dxa"/>
            <w:vAlign w:val="center"/>
          </w:tcPr>
          <w:p w14:paraId="296CFAFE">
            <w:pPr>
              <w:jc w:val="center"/>
              <w:rPr>
                <w:rFonts w:hint="eastAsia" w:ascii="宋体" w:hAnsi="宋体" w:eastAsia="宋体"/>
                <w:sz w:val="24"/>
                <w:szCs w:val="24"/>
              </w:rPr>
            </w:pPr>
            <w:r>
              <w:rPr>
                <w:rFonts w:hint="eastAsia" w:ascii="宋体" w:hAnsi="宋体" w:eastAsia="宋体"/>
                <w:sz w:val="24"/>
                <w:szCs w:val="24"/>
              </w:rPr>
              <w:t>超出、符合或偏离</w:t>
            </w:r>
          </w:p>
        </w:tc>
        <w:tc>
          <w:tcPr>
            <w:tcW w:w="1173" w:type="dxa"/>
            <w:vAlign w:val="center"/>
          </w:tcPr>
          <w:p w14:paraId="076E8B0A">
            <w:pPr>
              <w:jc w:val="center"/>
              <w:rPr>
                <w:rFonts w:hint="eastAsia" w:ascii="宋体" w:hAnsi="宋体" w:eastAsia="宋体"/>
                <w:sz w:val="24"/>
                <w:szCs w:val="24"/>
              </w:rPr>
            </w:pPr>
            <w:r>
              <w:rPr>
                <w:rFonts w:hint="eastAsia" w:ascii="宋体" w:hAnsi="宋体" w:eastAsia="宋体"/>
                <w:sz w:val="24"/>
                <w:szCs w:val="24"/>
              </w:rPr>
              <w:t>证明</w:t>
            </w:r>
          </w:p>
          <w:p w14:paraId="29FE4094">
            <w:pPr>
              <w:jc w:val="center"/>
              <w:rPr>
                <w:rFonts w:hint="eastAsia" w:ascii="宋体" w:hAnsi="宋体" w:eastAsia="宋体"/>
                <w:sz w:val="24"/>
                <w:szCs w:val="24"/>
              </w:rPr>
            </w:pPr>
            <w:r>
              <w:rPr>
                <w:rFonts w:hint="eastAsia" w:ascii="宋体" w:hAnsi="宋体" w:eastAsia="宋体"/>
                <w:sz w:val="24"/>
                <w:szCs w:val="24"/>
              </w:rPr>
              <w:t>材料</w:t>
            </w:r>
          </w:p>
        </w:tc>
      </w:tr>
      <w:tr w14:paraId="4243B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4AD9EFB7">
            <w:pPr>
              <w:jc w:val="center"/>
              <w:rPr>
                <w:rFonts w:hint="eastAsia" w:ascii="宋体" w:hAnsi="宋体" w:eastAsia="宋体"/>
                <w:sz w:val="24"/>
                <w:szCs w:val="24"/>
              </w:rPr>
            </w:pPr>
          </w:p>
        </w:tc>
        <w:tc>
          <w:tcPr>
            <w:tcW w:w="3291" w:type="dxa"/>
            <w:vAlign w:val="top"/>
          </w:tcPr>
          <w:p w14:paraId="6E1CDDCD">
            <w:pPr>
              <w:jc w:val="center"/>
              <w:rPr>
                <w:rFonts w:hint="eastAsia" w:ascii="宋体" w:hAnsi="宋体" w:eastAsia="宋体"/>
                <w:sz w:val="24"/>
                <w:szCs w:val="24"/>
              </w:rPr>
            </w:pPr>
          </w:p>
        </w:tc>
        <w:tc>
          <w:tcPr>
            <w:tcW w:w="2852" w:type="dxa"/>
            <w:vAlign w:val="top"/>
          </w:tcPr>
          <w:p w14:paraId="3255CCBC">
            <w:pPr>
              <w:jc w:val="center"/>
              <w:rPr>
                <w:rFonts w:hint="eastAsia" w:ascii="宋体" w:hAnsi="宋体" w:eastAsia="宋体"/>
                <w:sz w:val="24"/>
                <w:szCs w:val="24"/>
              </w:rPr>
            </w:pPr>
          </w:p>
        </w:tc>
        <w:tc>
          <w:tcPr>
            <w:tcW w:w="1308" w:type="dxa"/>
            <w:vAlign w:val="top"/>
          </w:tcPr>
          <w:p w14:paraId="760D93A3">
            <w:pPr>
              <w:jc w:val="center"/>
              <w:rPr>
                <w:rFonts w:hint="eastAsia" w:ascii="宋体" w:hAnsi="宋体" w:eastAsia="宋体"/>
                <w:sz w:val="24"/>
                <w:szCs w:val="24"/>
              </w:rPr>
            </w:pPr>
          </w:p>
        </w:tc>
        <w:tc>
          <w:tcPr>
            <w:tcW w:w="1173" w:type="dxa"/>
            <w:vAlign w:val="top"/>
          </w:tcPr>
          <w:p w14:paraId="640914CA">
            <w:pPr>
              <w:jc w:val="center"/>
              <w:rPr>
                <w:rFonts w:hint="eastAsia" w:ascii="宋体" w:hAnsi="宋体" w:eastAsia="宋体"/>
                <w:sz w:val="24"/>
                <w:szCs w:val="24"/>
              </w:rPr>
            </w:pPr>
          </w:p>
        </w:tc>
      </w:tr>
      <w:tr w14:paraId="69B3B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71D5EAAD">
            <w:pPr>
              <w:jc w:val="center"/>
              <w:rPr>
                <w:rFonts w:hint="eastAsia" w:ascii="宋体" w:hAnsi="宋体" w:eastAsia="宋体"/>
                <w:sz w:val="24"/>
                <w:szCs w:val="24"/>
              </w:rPr>
            </w:pPr>
          </w:p>
        </w:tc>
        <w:tc>
          <w:tcPr>
            <w:tcW w:w="3291" w:type="dxa"/>
            <w:vAlign w:val="top"/>
          </w:tcPr>
          <w:p w14:paraId="703C4ED4">
            <w:pPr>
              <w:jc w:val="center"/>
              <w:rPr>
                <w:rFonts w:hint="eastAsia" w:ascii="宋体" w:hAnsi="宋体" w:eastAsia="宋体"/>
                <w:sz w:val="24"/>
                <w:szCs w:val="24"/>
              </w:rPr>
            </w:pPr>
          </w:p>
        </w:tc>
        <w:tc>
          <w:tcPr>
            <w:tcW w:w="2852" w:type="dxa"/>
            <w:vAlign w:val="top"/>
          </w:tcPr>
          <w:p w14:paraId="54DC9793">
            <w:pPr>
              <w:jc w:val="center"/>
              <w:rPr>
                <w:rFonts w:hint="eastAsia" w:ascii="宋体" w:hAnsi="宋体" w:eastAsia="宋体"/>
                <w:sz w:val="24"/>
                <w:szCs w:val="24"/>
              </w:rPr>
            </w:pPr>
          </w:p>
        </w:tc>
        <w:tc>
          <w:tcPr>
            <w:tcW w:w="1308" w:type="dxa"/>
            <w:vAlign w:val="top"/>
          </w:tcPr>
          <w:p w14:paraId="664B9552">
            <w:pPr>
              <w:jc w:val="center"/>
              <w:rPr>
                <w:rFonts w:hint="eastAsia" w:ascii="宋体" w:hAnsi="宋体" w:eastAsia="宋体"/>
                <w:sz w:val="24"/>
                <w:szCs w:val="24"/>
              </w:rPr>
            </w:pPr>
          </w:p>
        </w:tc>
        <w:tc>
          <w:tcPr>
            <w:tcW w:w="1173" w:type="dxa"/>
            <w:vAlign w:val="top"/>
          </w:tcPr>
          <w:p w14:paraId="202DDBF6">
            <w:pPr>
              <w:jc w:val="center"/>
              <w:rPr>
                <w:rFonts w:hint="eastAsia" w:ascii="宋体" w:hAnsi="宋体" w:eastAsia="宋体"/>
                <w:sz w:val="24"/>
                <w:szCs w:val="24"/>
              </w:rPr>
            </w:pPr>
          </w:p>
        </w:tc>
      </w:tr>
      <w:tr w14:paraId="7AF70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260E6C97">
            <w:pPr>
              <w:jc w:val="center"/>
              <w:rPr>
                <w:rFonts w:hint="eastAsia" w:ascii="宋体" w:hAnsi="宋体" w:eastAsia="宋体"/>
                <w:sz w:val="24"/>
                <w:szCs w:val="24"/>
              </w:rPr>
            </w:pPr>
          </w:p>
        </w:tc>
        <w:tc>
          <w:tcPr>
            <w:tcW w:w="3291" w:type="dxa"/>
            <w:vAlign w:val="top"/>
          </w:tcPr>
          <w:p w14:paraId="4D2E6013">
            <w:pPr>
              <w:jc w:val="center"/>
              <w:rPr>
                <w:rFonts w:hint="eastAsia" w:ascii="宋体" w:hAnsi="宋体" w:eastAsia="宋体"/>
                <w:sz w:val="24"/>
                <w:szCs w:val="24"/>
              </w:rPr>
            </w:pPr>
          </w:p>
        </w:tc>
        <w:tc>
          <w:tcPr>
            <w:tcW w:w="2852" w:type="dxa"/>
            <w:vAlign w:val="top"/>
          </w:tcPr>
          <w:p w14:paraId="49614DDA">
            <w:pPr>
              <w:jc w:val="center"/>
              <w:rPr>
                <w:rFonts w:hint="eastAsia" w:ascii="宋体" w:hAnsi="宋体" w:eastAsia="宋体"/>
                <w:sz w:val="24"/>
                <w:szCs w:val="24"/>
              </w:rPr>
            </w:pPr>
          </w:p>
        </w:tc>
        <w:tc>
          <w:tcPr>
            <w:tcW w:w="1308" w:type="dxa"/>
            <w:vAlign w:val="top"/>
          </w:tcPr>
          <w:p w14:paraId="431BD55E">
            <w:pPr>
              <w:jc w:val="center"/>
              <w:rPr>
                <w:rFonts w:hint="eastAsia" w:ascii="宋体" w:hAnsi="宋体" w:eastAsia="宋体"/>
                <w:sz w:val="24"/>
                <w:szCs w:val="24"/>
              </w:rPr>
            </w:pPr>
          </w:p>
        </w:tc>
        <w:tc>
          <w:tcPr>
            <w:tcW w:w="1173" w:type="dxa"/>
            <w:vAlign w:val="top"/>
          </w:tcPr>
          <w:p w14:paraId="24206896">
            <w:pPr>
              <w:jc w:val="center"/>
              <w:rPr>
                <w:rFonts w:hint="eastAsia" w:ascii="宋体" w:hAnsi="宋体" w:eastAsia="宋体"/>
                <w:sz w:val="24"/>
                <w:szCs w:val="24"/>
              </w:rPr>
            </w:pPr>
          </w:p>
        </w:tc>
      </w:tr>
      <w:tr w14:paraId="0E6DF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203E37F3">
            <w:pPr>
              <w:jc w:val="center"/>
              <w:rPr>
                <w:rFonts w:hint="eastAsia" w:ascii="宋体" w:hAnsi="宋体" w:eastAsia="宋体"/>
                <w:sz w:val="24"/>
                <w:szCs w:val="24"/>
              </w:rPr>
            </w:pPr>
          </w:p>
        </w:tc>
        <w:tc>
          <w:tcPr>
            <w:tcW w:w="3291" w:type="dxa"/>
            <w:vAlign w:val="top"/>
          </w:tcPr>
          <w:p w14:paraId="4D5ACB8D">
            <w:pPr>
              <w:jc w:val="center"/>
              <w:rPr>
                <w:rFonts w:hint="eastAsia" w:ascii="宋体" w:hAnsi="宋体" w:eastAsia="宋体"/>
                <w:sz w:val="24"/>
                <w:szCs w:val="24"/>
              </w:rPr>
            </w:pPr>
          </w:p>
        </w:tc>
        <w:tc>
          <w:tcPr>
            <w:tcW w:w="2852" w:type="dxa"/>
            <w:vAlign w:val="top"/>
          </w:tcPr>
          <w:p w14:paraId="7F80B936">
            <w:pPr>
              <w:jc w:val="center"/>
              <w:rPr>
                <w:rFonts w:hint="eastAsia" w:ascii="宋体" w:hAnsi="宋体" w:eastAsia="宋体"/>
                <w:sz w:val="24"/>
                <w:szCs w:val="24"/>
              </w:rPr>
            </w:pPr>
          </w:p>
        </w:tc>
        <w:tc>
          <w:tcPr>
            <w:tcW w:w="1308" w:type="dxa"/>
            <w:vAlign w:val="top"/>
          </w:tcPr>
          <w:p w14:paraId="0F8D6360">
            <w:pPr>
              <w:jc w:val="center"/>
              <w:rPr>
                <w:rFonts w:hint="eastAsia" w:ascii="宋体" w:hAnsi="宋体" w:eastAsia="宋体"/>
                <w:sz w:val="24"/>
                <w:szCs w:val="24"/>
              </w:rPr>
            </w:pPr>
          </w:p>
        </w:tc>
        <w:tc>
          <w:tcPr>
            <w:tcW w:w="1173" w:type="dxa"/>
            <w:vAlign w:val="top"/>
          </w:tcPr>
          <w:p w14:paraId="304D5C11">
            <w:pPr>
              <w:jc w:val="center"/>
              <w:rPr>
                <w:rFonts w:hint="eastAsia" w:ascii="宋体" w:hAnsi="宋体" w:eastAsia="宋体"/>
                <w:sz w:val="24"/>
                <w:szCs w:val="24"/>
              </w:rPr>
            </w:pPr>
          </w:p>
        </w:tc>
      </w:tr>
      <w:tr w14:paraId="706F0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10B65810">
            <w:pPr>
              <w:jc w:val="center"/>
              <w:rPr>
                <w:rFonts w:hint="eastAsia" w:ascii="宋体" w:hAnsi="宋体" w:eastAsia="宋体"/>
                <w:sz w:val="24"/>
                <w:szCs w:val="24"/>
              </w:rPr>
            </w:pPr>
          </w:p>
        </w:tc>
        <w:tc>
          <w:tcPr>
            <w:tcW w:w="3291" w:type="dxa"/>
            <w:vAlign w:val="top"/>
          </w:tcPr>
          <w:p w14:paraId="58A5E7EC">
            <w:pPr>
              <w:jc w:val="center"/>
              <w:rPr>
                <w:rFonts w:hint="eastAsia" w:ascii="宋体" w:hAnsi="宋体" w:eastAsia="宋体"/>
                <w:sz w:val="24"/>
                <w:szCs w:val="24"/>
              </w:rPr>
            </w:pPr>
          </w:p>
        </w:tc>
        <w:tc>
          <w:tcPr>
            <w:tcW w:w="2852" w:type="dxa"/>
            <w:vAlign w:val="top"/>
          </w:tcPr>
          <w:p w14:paraId="32DDE5F6">
            <w:pPr>
              <w:jc w:val="center"/>
              <w:rPr>
                <w:rFonts w:hint="eastAsia" w:ascii="宋体" w:hAnsi="宋体" w:eastAsia="宋体"/>
                <w:sz w:val="24"/>
                <w:szCs w:val="24"/>
              </w:rPr>
            </w:pPr>
          </w:p>
        </w:tc>
        <w:tc>
          <w:tcPr>
            <w:tcW w:w="1308" w:type="dxa"/>
            <w:vAlign w:val="top"/>
          </w:tcPr>
          <w:p w14:paraId="16A9BB2F">
            <w:pPr>
              <w:jc w:val="center"/>
              <w:rPr>
                <w:rFonts w:hint="eastAsia" w:ascii="宋体" w:hAnsi="宋体" w:eastAsia="宋体"/>
                <w:sz w:val="24"/>
                <w:szCs w:val="24"/>
              </w:rPr>
            </w:pPr>
          </w:p>
        </w:tc>
        <w:tc>
          <w:tcPr>
            <w:tcW w:w="1173" w:type="dxa"/>
            <w:vAlign w:val="top"/>
          </w:tcPr>
          <w:p w14:paraId="3BD0563D">
            <w:pPr>
              <w:jc w:val="center"/>
              <w:rPr>
                <w:rFonts w:hint="eastAsia" w:ascii="宋体" w:hAnsi="宋体" w:eastAsia="宋体"/>
                <w:sz w:val="24"/>
                <w:szCs w:val="24"/>
              </w:rPr>
            </w:pPr>
          </w:p>
        </w:tc>
      </w:tr>
      <w:tr w14:paraId="5B3DD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31B577E5">
            <w:pPr>
              <w:jc w:val="center"/>
              <w:rPr>
                <w:rFonts w:hint="eastAsia" w:ascii="宋体" w:hAnsi="宋体" w:eastAsia="宋体"/>
                <w:sz w:val="24"/>
                <w:szCs w:val="24"/>
              </w:rPr>
            </w:pPr>
          </w:p>
        </w:tc>
        <w:tc>
          <w:tcPr>
            <w:tcW w:w="3291" w:type="dxa"/>
            <w:vAlign w:val="top"/>
          </w:tcPr>
          <w:p w14:paraId="40CA8D52">
            <w:pPr>
              <w:jc w:val="center"/>
              <w:rPr>
                <w:rFonts w:hint="eastAsia" w:ascii="宋体" w:hAnsi="宋体" w:eastAsia="宋体"/>
                <w:sz w:val="24"/>
                <w:szCs w:val="24"/>
              </w:rPr>
            </w:pPr>
          </w:p>
        </w:tc>
        <w:tc>
          <w:tcPr>
            <w:tcW w:w="2852" w:type="dxa"/>
            <w:vAlign w:val="top"/>
          </w:tcPr>
          <w:p w14:paraId="19D8CF1E">
            <w:pPr>
              <w:jc w:val="center"/>
              <w:rPr>
                <w:rFonts w:hint="eastAsia" w:ascii="宋体" w:hAnsi="宋体" w:eastAsia="宋体"/>
                <w:sz w:val="24"/>
                <w:szCs w:val="24"/>
              </w:rPr>
            </w:pPr>
          </w:p>
        </w:tc>
        <w:tc>
          <w:tcPr>
            <w:tcW w:w="1308" w:type="dxa"/>
            <w:vAlign w:val="top"/>
          </w:tcPr>
          <w:p w14:paraId="0F313EC5">
            <w:pPr>
              <w:jc w:val="center"/>
              <w:rPr>
                <w:rFonts w:hint="eastAsia" w:ascii="宋体" w:hAnsi="宋体" w:eastAsia="宋体"/>
                <w:sz w:val="24"/>
                <w:szCs w:val="24"/>
              </w:rPr>
            </w:pPr>
          </w:p>
        </w:tc>
        <w:tc>
          <w:tcPr>
            <w:tcW w:w="1173" w:type="dxa"/>
            <w:vAlign w:val="top"/>
          </w:tcPr>
          <w:p w14:paraId="5792D9F2">
            <w:pPr>
              <w:jc w:val="center"/>
              <w:rPr>
                <w:rFonts w:hint="eastAsia" w:ascii="宋体" w:hAnsi="宋体" w:eastAsia="宋体"/>
                <w:sz w:val="24"/>
                <w:szCs w:val="24"/>
              </w:rPr>
            </w:pPr>
          </w:p>
        </w:tc>
      </w:tr>
      <w:tr w14:paraId="1CCBE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166D8932">
            <w:pPr>
              <w:jc w:val="center"/>
              <w:rPr>
                <w:rFonts w:hint="eastAsia" w:ascii="宋体" w:hAnsi="宋体" w:eastAsia="宋体"/>
                <w:sz w:val="24"/>
                <w:szCs w:val="24"/>
              </w:rPr>
            </w:pPr>
          </w:p>
        </w:tc>
        <w:tc>
          <w:tcPr>
            <w:tcW w:w="3291" w:type="dxa"/>
            <w:vAlign w:val="top"/>
          </w:tcPr>
          <w:p w14:paraId="51ACC311">
            <w:pPr>
              <w:jc w:val="center"/>
              <w:rPr>
                <w:rFonts w:hint="eastAsia" w:ascii="宋体" w:hAnsi="宋体" w:eastAsia="宋体"/>
                <w:sz w:val="24"/>
                <w:szCs w:val="24"/>
              </w:rPr>
            </w:pPr>
          </w:p>
        </w:tc>
        <w:tc>
          <w:tcPr>
            <w:tcW w:w="2852" w:type="dxa"/>
            <w:vAlign w:val="top"/>
          </w:tcPr>
          <w:p w14:paraId="431D7CAD">
            <w:pPr>
              <w:jc w:val="center"/>
              <w:rPr>
                <w:rFonts w:hint="eastAsia" w:ascii="宋体" w:hAnsi="宋体" w:eastAsia="宋体"/>
                <w:sz w:val="24"/>
                <w:szCs w:val="24"/>
              </w:rPr>
            </w:pPr>
          </w:p>
        </w:tc>
        <w:tc>
          <w:tcPr>
            <w:tcW w:w="1308" w:type="dxa"/>
            <w:vAlign w:val="top"/>
          </w:tcPr>
          <w:p w14:paraId="3E7269D4">
            <w:pPr>
              <w:jc w:val="center"/>
              <w:rPr>
                <w:rFonts w:hint="eastAsia" w:ascii="宋体" w:hAnsi="宋体" w:eastAsia="宋体"/>
                <w:sz w:val="24"/>
                <w:szCs w:val="24"/>
              </w:rPr>
            </w:pPr>
          </w:p>
        </w:tc>
        <w:tc>
          <w:tcPr>
            <w:tcW w:w="1173" w:type="dxa"/>
            <w:vAlign w:val="top"/>
          </w:tcPr>
          <w:p w14:paraId="234AC0F2">
            <w:pPr>
              <w:jc w:val="center"/>
              <w:rPr>
                <w:rFonts w:hint="eastAsia" w:ascii="宋体" w:hAnsi="宋体" w:eastAsia="宋体"/>
                <w:sz w:val="24"/>
                <w:szCs w:val="24"/>
              </w:rPr>
            </w:pPr>
          </w:p>
        </w:tc>
      </w:tr>
      <w:tr w14:paraId="086BF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vAlign w:val="top"/>
          </w:tcPr>
          <w:p w14:paraId="1F3F543F">
            <w:pPr>
              <w:jc w:val="center"/>
              <w:rPr>
                <w:rFonts w:hint="eastAsia" w:ascii="宋体" w:hAnsi="宋体" w:eastAsia="宋体"/>
                <w:sz w:val="24"/>
                <w:szCs w:val="24"/>
              </w:rPr>
            </w:pPr>
          </w:p>
        </w:tc>
        <w:tc>
          <w:tcPr>
            <w:tcW w:w="3291" w:type="dxa"/>
            <w:vAlign w:val="top"/>
          </w:tcPr>
          <w:p w14:paraId="6B4631FF">
            <w:pPr>
              <w:jc w:val="center"/>
              <w:rPr>
                <w:rFonts w:hint="eastAsia" w:ascii="宋体" w:hAnsi="宋体" w:eastAsia="宋体"/>
                <w:sz w:val="24"/>
                <w:szCs w:val="24"/>
              </w:rPr>
            </w:pPr>
            <w:r>
              <w:rPr>
                <w:rFonts w:hint="eastAsia" w:ascii="宋体" w:hAnsi="宋体" w:eastAsia="宋体"/>
                <w:sz w:val="24"/>
                <w:szCs w:val="24"/>
              </w:rPr>
              <w:t>……</w:t>
            </w:r>
          </w:p>
        </w:tc>
        <w:tc>
          <w:tcPr>
            <w:tcW w:w="2852" w:type="dxa"/>
            <w:vAlign w:val="top"/>
          </w:tcPr>
          <w:p w14:paraId="0BF0BF56">
            <w:pPr>
              <w:jc w:val="center"/>
              <w:rPr>
                <w:rFonts w:hint="eastAsia" w:ascii="宋体" w:hAnsi="宋体" w:eastAsia="宋体"/>
                <w:sz w:val="24"/>
                <w:szCs w:val="24"/>
              </w:rPr>
            </w:pPr>
          </w:p>
        </w:tc>
        <w:tc>
          <w:tcPr>
            <w:tcW w:w="1308" w:type="dxa"/>
            <w:vAlign w:val="top"/>
          </w:tcPr>
          <w:p w14:paraId="3108728D">
            <w:pPr>
              <w:jc w:val="center"/>
              <w:rPr>
                <w:rFonts w:hint="eastAsia" w:ascii="宋体" w:hAnsi="宋体" w:eastAsia="宋体"/>
                <w:sz w:val="24"/>
                <w:szCs w:val="24"/>
              </w:rPr>
            </w:pPr>
          </w:p>
        </w:tc>
        <w:tc>
          <w:tcPr>
            <w:tcW w:w="1173" w:type="dxa"/>
            <w:vAlign w:val="top"/>
          </w:tcPr>
          <w:p w14:paraId="0291270E">
            <w:pPr>
              <w:jc w:val="center"/>
              <w:rPr>
                <w:rFonts w:hint="eastAsia" w:ascii="宋体" w:hAnsi="宋体" w:eastAsia="宋体"/>
                <w:sz w:val="24"/>
                <w:szCs w:val="24"/>
              </w:rPr>
            </w:pPr>
          </w:p>
        </w:tc>
      </w:tr>
    </w:tbl>
    <w:p w14:paraId="0CF52C0F">
      <w:pPr>
        <w:rPr>
          <w:rFonts w:hint="eastAsia" w:ascii="宋体" w:hAnsi="宋体" w:eastAsia="宋体"/>
          <w:sz w:val="24"/>
          <w:szCs w:val="24"/>
        </w:rPr>
      </w:pPr>
      <w:r>
        <w:rPr>
          <w:rFonts w:hint="eastAsia" w:ascii="宋体" w:hAnsi="宋体" w:eastAsia="宋体"/>
          <w:sz w:val="24"/>
          <w:szCs w:val="24"/>
        </w:rPr>
        <w:t>注： 行数不够，可自行添加。</w:t>
      </w:r>
    </w:p>
    <w:p w14:paraId="3E5A90DC">
      <w:pPr>
        <w:jc w:val="center"/>
        <w:rPr>
          <w:rFonts w:hint="eastAsia" w:ascii="宋体" w:hAnsi="宋体" w:eastAsia="宋体"/>
          <w:b/>
          <w:sz w:val="36"/>
        </w:rPr>
      </w:pPr>
    </w:p>
    <w:p w14:paraId="770DE875">
      <w:pPr>
        <w:jc w:val="center"/>
        <w:rPr>
          <w:rFonts w:hint="eastAsia" w:ascii="宋体" w:hAnsi="宋体" w:eastAsia="宋体"/>
          <w:b/>
          <w:sz w:val="36"/>
        </w:rPr>
      </w:pPr>
    </w:p>
    <w:p w14:paraId="6A3C757B">
      <w:pPr>
        <w:jc w:val="center"/>
        <w:rPr>
          <w:rFonts w:hint="eastAsia" w:ascii="宋体" w:hAnsi="宋体" w:eastAsia="宋体"/>
          <w:b/>
          <w:sz w:val="36"/>
        </w:rPr>
      </w:pPr>
    </w:p>
    <w:p w14:paraId="4666F7AC">
      <w:pPr>
        <w:jc w:val="center"/>
        <w:rPr>
          <w:rFonts w:hint="eastAsia" w:ascii="宋体" w:hAnsi="宋体" w:eastAsia="宋体"/>
          <w:b/>
          <w:sz w:val="36"/>
        </w:rPr>
      </w:pPr>
    </w:p>
    <w:p w14:paraId="4575AD70">
      <w:pPr>
        <w:rPr>
          <w:rFonts w:hint="eastAsia" w:ascii="宋体" w:hAnsi="宋体" w:eastAsia="宋体"/>
          <w:sz w:val="32"/>
        </w:rPr>
      </w:pPr>
    </w:p>
    <w:p w14:paraId="143928CF">
      <w:pPr>
        <w:rPr>
          <w:rFonts w:hint="eastAsia" w:ascii="宋体" w:hAnsi="宋体" w:eastAsia="宋体"/>
          <w:sz w:val="32"/>
        </w:rPr>
      </w:pPr>
    </w:p>
    <w:p w14:paraId="4EE3D282">
      <w:pPr>
        <w:rPr>
          <w:rFonts w:hint="eastAsia" w:ascii="宋体" w:hAnsi="宋体" w:eastAsia="宋体"/>
          <w:sz w:val="32"/>
        </w:rPr>
      </w:pPr>
    </w:p>
    <w:p w14:paraId="0B1AC937">
      <w:pPr>
        <w:jc w:val="center"/>
        <w:rPr>
          <w:rFonts w:hint="eastAsia" w:ascii="宋体" w:hAnsi="宋体" w:eastAsia="宋体"/>
          <w:b/>
          <w:sz w:val="36"/>
        </w:rPr>
      </w:pPr>
    </w:p>
    <w:p w14:paraId="6825F802">
      <w:pPr>
        <w:rPr>
          <w:rFonts w:hint="eastAsia" w:ascii="宋体" w:hAnsi="宋体" w:eastAsia="宋体"/>
          <w:sz w:val="32"/>
        </w:rPr>
      </w:pPr>
    </w:p>
    <w:bookmarkEnd w:id="244"/>
    <w:p w14:paraId="050E4947">
      <w:pPr>
        <w:jc w:val="center"/>
        <w:rPr>
          <w:rFonts w:hint="eastAsia" w:ascii="宋体" w:hAnsi="宋体" w:eastAsia="宋体"/>
          <w:b/>
          <w:sz w:val="32"/>
          <w:szCs w:val="32"/>
        </w:rPr>
      </w:pPr>
      <w:bookmarkStart w:id="248" w:name="_Hlt26955054"/>
      <w:bookmarkEnd w:id="248"/>
      <w:r>
        <w:rPr>
          <w:rFonts w:hint="eastAsia" w:ascii="宋体" w:hAnsi="宋体" w:eastAsia="宋体"/>
          <w:b/>
          <w:sz w:val="32"/>
          <w:szCs w:val="32"/>
        </w:rPr>
        <w:br w:type="page"/>
      </w:r>
      <w:r>
        <w:rPr>
          <w:rFonts w:hint="eastAsia" w:ascii="宋体" w:hAnsi="宋体" w:eastAsia="宋体"/>
          <w:b/>
          <w:sz w:val="32"/>
          <w:szCs w:val="32"/>
        </w:rPr>
        <w:t>十三、商务要求响应及偏离表（</w:t>
      </w:r>
      <w:r>
        <w:rPr>
          <w:rFonts w:hint="eastAsia" w:ascii="宋体" w:hAnsi="宋体"/>
          <w:b/>
          <w:sz w:val="32"/>
          <w:szCs w:val="32"/>
          <w:highlight w:val="none"/>
          <w:lang w:val="en-US" w:eastAsia="zh-CN"/>
        </w:rPr>
        <w:t>项目</w:t>
      </w:r>
      <w:r>
        <w:rPr>
          <w:rFonts w:hint="eastAsia" w:ascii="宋体" w:hAnsi="宋体"/>
          <w:b/>
          <w:sz w:val="32"/>
          <w:szCs w:val="32"/>
          <w:highlight w:val="none"/>
          <w:lang w:eastAsia="zh-CN"/>
        </w:rPr>
        <w:t>编号</w:t>
      </w:r>
      <w:r>
        <w:rPr>
          <w:rFonts w:hint="eastAsia" w:ascii="宋体" w:hAnsi="宋体" w:eastAsia="宋体"/>
          <w:b/>
          <w:sz w:val="32"/>
          <w:szCs w:val="32"/>
          <w:highlight w:val="none"/>
        </w:rPr>
        <w:t>：</w:t>
      </w:r>
      <w:r>
        <w:rPr>
          <w:rFonts w:hint="eastAsia" w:ascii="宋体" w:hAnsi="宋体" w:eastAsia="宋体"/>
          <w:b/>
          <w:sz w:val="32"/>
          <w:szCs w:val="32"/>
          <w:u w:val="single"/>
        </w:rPr>
        <w:t xml:space="preserve">   </w:t>
      </w:r>
      <w:r>
        <w:rPr>
          <w:rFonts w:hint="eastAsia" w:ascii="宋体" w:hAnsi="宋体" w:eastAsia="宋体"/>
          <w:b/>
          <w:sz w:val="32"/>
          <w:szCs w:val="32"/>
        </w:rPr>
        <w:t>）</w:t>
      </w:r>
    </w:p>
    <w:tbl>
      <w:tblPr>
        <w:tblStyle w:val="3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2688"/>
        <w:gridCol w:w="2883"/>
        <w:gridCol w:w="1302"/>
        <w:gridCol w:w="1614"/>
      </w:tblGrid>
      <w:tr w14:paraId="4AC3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82" w:type="dxa"/>
            <w:vAlign w:val="center"/>
          </w:tcPr>
          <w:p w14:paraId="2435EEA2">
            <w:pPr>
              <w:jc w:val="center"/>
              <w:rPr>
                <w:rFonts w:hint="eastAsia" w:ascii="宋体" w:hAnsi="宋体" w:eastAsia="宋体"/>
                <w:sz w:val="24"/>
                <w:szCs w:val="24"/>
              </w:rPr>
            </w:pPr>
            <w:bookmarkStart w:id="249" w:name="_Hlt26671372"/>
            <w:bookmarkEnd w:id="249"/>
            <w:bookmarkStart w:id="250" w:name="_Hlt26671343"/>
            <w:bookmarkEnd w:id="250"/>
            <w:bookmarkStart w:id="251" w:name="_Hlt26955064"/>
            <w:bookmarkEnd w:id="251"/>
            <w:bookmarkStart w:id="252" w:name="_Hlt26782999"/>
            <w:bookmarkEnd w:id="252"/>
            <w:bookmarkStart w:id="253" w:name="_Hlt26580838"/>
            <w:bookmarkEnd w:id="253"/>
            <w:bookmarkStart w:id="254" w:name="_Hlt24879081"/>
            <w:bookmarkEnd w:id="254"/>
            <w:bookmarkStart w:id="255" w:name="_Hlt26609391"/>
            <w:bookmarkEnd w:id="255"/>
            <w:bookmarkStart w:id="256" w:name="_Hlt26955056"/>
            <w:bookmarkEnd w:id="256"/>
            <w:r>
              <w:rPr>
                <w:rFonts w:hint="eastAsia" w:ascii="宋体" w:hAnsi="宋体" w:eastAsia="宋体"/>
                <w:sz w:val="24"/>
                <w:szCs w:val="24"/>
              </w:rPr>
              <w:t>序号</w:t>
            </w:r>
          </w:p>
        </w:tc>
        <w:tc>
          <w:tcPr>
            <w:tcW w:w="2688" w:type="dxa"/>
            <w:vAlign w:val="center"/>
          </w:tcPr>
          <w:p w14:paraId="2EB2205D">
            <w:pPr>
              <w:jc w:val="center"/>
              <w:rPr>
                <w:rFonts w:hint="eastAsia" w:ascii="宋体" w:hAnsi="宋体" w:eastAsia="宋体"/>
                <w:sz w:val="24"/>
                <w:szCs w:val="24"/>
              </w:rPr>
            </w:pPr>
            <w:r>
              <w:rPr>
                <w:rFonts w:hint="eastAsia" w:ascii="宋体" w:hAnsi="宋体" w:eastAsia="宋体"/>
                <w:sz w:val="24"/>
                <w:szCs w:val="24"/>
              </w:rPr>
              <w:t>招标文件要求</w:t>
            </w:r>
          </w:p>
        </w:tc>
        <w:tc>
          <w:tcPr>
            <w:tcW w:w="2883" w:type="dxa"/>
            <w:vAlign w:val="center"/>
          </w:tcPr>
          <w:p w14:paraId="21F0305A">
            <w:pPr>
              <w:jc w:val="center"/>
              <w:rPr>
                <w:rFonts w:hint="eastAsia" w:ascii="宋体" w:hAnsi="宋体" w:eastAsia="宋体"/>
                <w:sz w:val="24"/>
                <w:szCs w:val="24"/>
              </w:rPr>
            </w:pPr>
            <w:r>
              <w:rPr>
                <w:rFonts w:hint="eastAsia" w:ascii="宋体" w:hAnsi="宋体" w:eastAsia="宋体"/>
                <w:sz w:val="24"/>
                <w:szCs w:val="24"/>
              </w:rPr>
              <w:t>投标响应情况</w:t>
            </w:r>
          </w:p>
        </w:tc>
        <w:tc>
          <w:tcPr>
            <w:tcW w:w="1302" w:type="dxa"/>
            <w:vAlign w:val="center"/>
          </w:tcPr>
          <w:p w14:paraId="132FDF9E">
            <w:pPr>
              <w:jc w:val="center"/>
              <w:rPr>
                <w:rFonts w:hint="eastAsia" w:ascii="宋体" w:hAnsi="宋体" w:eastAsia="宋体"/>
                <w:sz w:val="24"/>
                <w:szCs w:val="24"/>
              </w:rPr>
            </w:pPr>
            <w:r>
              <w:rPr>
                <w:rFonts w:hint="eastAsia" w:ascii="宋体" w:hAnsi="宋体" w:eastAsia="宋体"/>
                <w:sz w:val="24"/>
                <w:szCs w:val="24"/>
              </w:rPr>
              <w:t>超出、符合或偏离</w:t>
            </w:r>
          </w:p>
        </w:tc>
        <w:tc>
          <w:tcPr>
            <w:tcW w:w="1614" w:type="dxa"/>
            <w:vAlign w:val="center"/>
          </w:tcPr>
          <w:p w14:paraId="3A22B48D">
            <w:pPr>
              <w:jc w:val="center"/>
              <w:rPr>
                <w:rFonts w:hint="eastAsia" w:ascii="宋体" w:hAnsi="宋体" w:eastAsia="宋体"/>
                <w:sz w:val="24"/>
                <w:szCs w:val="24"/>
              </w:rPr>
            </w:pPr>
            <w:r>
              <w:rPr>
                <w:rFonts w:hint="eastAsia" w:ascii="宋体" w:hAnsi="宋体" w:eastAsia="宋体"/>
                <w:sz w:val="24"/>
                <w:szCs w:val="24"/>
              </w:rPr>
              <w:t>证明</w:t>
            </w:r>
          </w:p>
          <w:p w14:paraId="4BC610AD">
            <w:pPr>
              <w:jc w:val="center"/>
              <w:rPr>
                <w:rFonts w:hint="eastAsia" w:ascii="宋体" w:hAnsi="宋体" w:eastAsia="宋体"/>
                <w:sz w:val="24"/>
                <w:szCs w:val="24"/>
              </w:rPr>
            </w:pPr>
            <w:r>
              <w:rPr>
                <w:rFonts w:hint="eastAsia" w:ascii="宋体" w:hAnsi="宋体" w:eastAsia="宋体"/>
                <w:sz w:val="24"/>
                <w:szCs w:val="24"/>
              </w:rPr>
              <w:t>材料</w:t>
            </w:r>
          </w:p>
        </w:tc>
      </w:tr>
      <w:tr w14:paraId="4045C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5F362736">
            <w:pPr>
              <w:jc w:val="center"/>
              <w:rPr>
                <w:rFonts w:hint="eastAsia" w:ascii="宋体" w:hAnsi="宋体" w:eastAsia="宋体"/>
                <w:sz w:val="24"/>
                <w:szCs w:val="24"/>
              </w:rPr>
            </w:pPr>
          </w:p>
        </w:tc>
        <w:tc>
          <w:tcPr>
            <w:tcW w:w="2688" w:type="dxa"/>
            <w:vAlign w:val="top"/>
          </w:tcPr>
          <w:p w14:paraId="60D867A8">
            <w:pPr>
              <w:jc w:val="center"/>
              <w:rPr>
                <w:rFonts w:hint="eastAsia" w:ascii="宋体" w:hAnsi="宋体" w:eastAsia="宋体"/>
                <w:sz w:val="24"/>
                <w:szCs w:val="24"/>
              </w:rPr>
            </w:pPr>
          </w:p>
        </w:tc>
        <w:tc>
          <w:tcPr>
            <w:tcW w:w="2883" w:type="dxa"/>
            <w:vAlign w:val="top"/>
          </w:tcPr>
          <w:p w14:paraId="5842FC39">
            <w:pPr>
              <w:jc w:val="center"/>
              <w:rPr>
                <w:rFonts w:hint="eastAsia" w:ascii="宋体" w:hAnsi="宋体" w:eastAsia="宋体"/>
                <w:sz w:val="24"/>
                <w:szCs w:val="24"/>
              </w:rPr>
            </w:pPr>
          </w:p>
        </w:tc>
        <w:tc>
          <w:tcPr>
            <w:tcW w:w="1302" w:type="dxa"/>
            <w:vAlign w:val="top"/>
          </w:tcPr>
          <w:p w14:paraId="1724A82B">
            <w:pPr>
              <w:jc w:val="center"/>
              <w:rPr>
                <w:rFonts w:hint="eastAsia" w:ascii="宋体" w:hAnsi="宋体" w:eastAsia="宋体"/>
                <w:sz w:val="24"/>
                <w:szCs w:val="24"/>
              </w:rPr>
            </w:pPr>
          </w:p>
        </w:tc>
        <w:tc>
          <w:tcPr>
            <w:tcW w:w="1614" w:type="dxa"/>
            <w:vAlign w:val="top"/>
          </w:tcPr>
          <w:p w14:paraId="230181B5">
            <w:pPr>
              <w:jc w:val="center"/>
              <w:rPr>
                <w:rFonts w:hint="eastAsia" w:ascii="宋体" w:hAnsi="宋体" w:eastAsia="宋体"/>
                <w:sz w:val="24"/>
                <w:szCs w:val="24"/>
              </w:rPr>
            </w:pPr>
          </w:p>
        </w:tc>
      </w:tr>
      <w:tr w14:paraId="3E457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7783B3C5">
            <w:pPr>
              <w:jc w:val="center"/>
              <w:rPr>
                <w:rFonts w:hint="eastAsia" w:ascii="宋体" w:hAnsi="宋体" w:eastAsia="宋体"/>
                <w:sz w:val="24"/>
                <w:szCs w:val="24"/>
              </w:rPr>
            </w:pPr>
          </w:p>
        </w:tc>
        <w:tc>
          <w:tcPr>
            <w:tcW w:w="2688" w:type="dxa"/>
            <w:vAlign w:val="top"/>
          </w:tcPr>
          <w:p w14:paraId="093267DB">
            <w:pPr>
              <w:jc w:val="center"/>
              <w:rPr>
                <w:rFonts w:hint="eastAsia" w:ascii="宋体" w:hAnsi="宋体" w:eastAsia="宋体"/>
                <w:sz w:val="24"/>
                <w:szCs w:val="24"/>
              </w:rPr>
            </w:pPr>
          </w:p>
        </w:tc>
        <w:tc>
          <w:tcPr>
            <w:tcW w:w="2883" w:type="dxa"/>
            <w:vAlign w:val="top"/>
          </w:tcPr>
          <w:p w14:paraId="4164281D">
            <w:pPr>
              <w:jc w:val="center"/>
              <w:rPr>
                <w:rFonts w:hint="eastAsia" w:ascii="宋体" w:hAnsi="宋体" w:eastAsia="宋体"/>
                <w:sz w:val="24"/>
                <w:szCs w:val="24"/>
              </w:rPr>
            </w:pPr>
          </w:p>
        </w:tc>
        <w:tc>
          <w:tcPr>
            <w:tcW w:w="1302" w:type="dxa"/>
            <w:vAlign w:val="top"/>
          </w:tcPr>
          <w:p w14:paraId="7E0F2CAC">
            <w:pPr>
              <w:jc w:val="center"/>
              <w:rPr>
                <w:rFonts w:hint="eastAsia" w:ascii="宋体" w:hAnsi="宋体" w:eastAsia="宋体"/>
                <w:sz w:val="24"/>
                <w:szCs w:val="24"/>
              </w:rPr>
            </w:pPr>
          </w:p>
        </w:tc>
        <w:tc>
          <w:tcPr>
            <w:tcW w:w="1614" w:type="dxa"/>
            <w:vAlign w:val="top"/>
          </w:tcPr>
          <w:p w14:paraId="0884E2DD">
            <w:pPr>
              <w:jc w:val="center"/>
              <w:rPr>
                <w:rFonts w:hint="eastAsia" w:ascii="宋体" w:hAnsi="宋体" w:eastAsia="宋体"/>
                <w:sz w:val="24"/>
                <w:szCs w:val="24"/>
              </w:rPr>
            </w:pPr>
          </w:p>
        </w:tc>
      </w:tr>
      <w:tr w14:paraId="58A94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74850C17">
            <w:pPr>
              <w:jc w:val="center"/>
              <w:rPr>
                <w:rFonts w:hint="eastAsia" w:ascii="宋体" w:hAnsi="宋体" w:eastAsia="宋体"/>
                <w:sz w:val="24"/>
                <w:szCs w:val="24"/>
              </w:rPr>
            </w:pPr>
          </w:p>
        </w:tc>
        <w:tc>
          <w:tcPr>
            <w:tcW w:w="2688" w:type="dxa"/>
            <w:vAlign w:val="top"/>
          </w:tcPr>
          <w:p w14:paraId="6D7DEFB2">
            <w:pPr>
              <w:jc w:val="center"/>
              <w:rPr>
                <w:rFonts w:hint="eastAsia" w:ascii="宋体" w:hAnsi="宋体" w:eastAsia="宋体"/>
                <w:sz w:val="24"/>
                <w:szCs w:val="24"/>
              </w:rPr>
            </w:pPr>
          </w:p>
        </w:tc>
        <w:tc>
          <w:tcPr>
            <w:tcW w:w="2883" w:type="dxa"/>
            <w:vAlign w:val="top"/>
          </w:tcPr>
          <w:p w14:paraId="7F6F2D73">
            <w:pPr>
              <w:jc w:val="center"/>
              <w:rPr>
                <w:rFonts w:hint="eastAsia" w:ascii="宋体" w:hAnsi="宋体" w:eastAsia="宋体"/>
                <w:sz w:val="24"/>
                <w:szCs w:val="24"/>
              </w:rPr>
            </w:pPr>
          </w:p>
        </w:tc>
        <w:tc>
          <w:tcPr>
            <w:tcW w:w="1302" w:type="dxa"/>
            <w:vAlign w:val="top"/>
          </w:tcPr>
          <w:p w14:paraId="6048C76A">
            <w:pPr>
              <w:jc w:val="center"/>
              <w:rPr>
                <w:rFonts w:hint="eastAsia" w:ascii="宋体" w:hAnsi="宋体" w:eastAsia="宋体"/>
                <w:sz w:val="24"/>
                <w:szCs w:val="24"/>
              </w:rPr>
            </w:pPr>
          </w:p>
        </w:tc>
        <w:tc>
          <w:tcPr>
            <w:tcW w:w="1614" w:type="dxa"/>
            <w:vAlign w:val="top"/>
          </w:tcPr>
          <w:p w14:paraId="74505E67">
            <w:pPr>
              <w:jc w:val="center"/>
              <w:rPr>
                <w:rFonts w:hint="eastAsia" w:ascii="宋体" w:hAnsi="宋体" w:eastAsia="宋体"/>
                <w:sz w:val="24"/>
                <w:szCs w:val="24"/>
              </w:rPr>
            </w:pPr>
          </w:p>
        </w:tc>
      </w:tr>
      <w:tr w14:paraId="29AB3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74D80E8E">
            <w:pPr>
              <w:jc w:val="center"/>
              <w:rPr>
                <w:rFonts w:hint="eastAsia" w:ascii="宋体" w:hAnsi="宋体" w:eastAsia="宋体"/>
                <w:sz w:val="24"/>
                <w:szCs w:val="24"/>
              </w:rPr>
            </w:pPr>
          </w:p>
        </w:tc>
        <w:tc>
          <w:tcPr>
            <w:tcW w:w="2688" w:type="dxa"/>
            <w:vAlign w:val="top"/>
          </w:tcPr>
          <w:p w14:paraId="4A1A1BB1">
            <w:pPr>
              <w:jc w:val="center"/>
              <w:rPr>
                <w:rFonts w:hint="eastAsia" w:ascii="宋体" w:hAnsi="宋体" w:eastAsia="宋体"/>
                <w:sz w:val="24"/>
                <w:szCs w:val="24"/>
              </w:rPr>
            </w:pPr>
          </w:p>
        </w:tc>
        <w:tc>
          <w:tcPr>
            <w:tcW w:w="2883" w:type="dxa"/>
            <w:vAlign w:val="top"/>
          </w:tcPr>
          <w:p w14:paraId="6B9DCDA6">
            <w:pPr>
              <w:jc w:val="center"/>
              <w:rPr>
                <w:rFonts w:hint="eastAsia" w:ascii="宋体" w:hAnsi="宋体" w:eastAsia="宋体"/>
                <w:sz w:val="24"/>
                <w:szCs w:val="24"/>
              </w:rPr>
            </w:pPr>
          </w:p>
        </w:tc>
        <w:tc>
          <w:tcPr>
            <w:tcW w:w="1302" w:type="dxa"/>
            <w:vAlign w:val="top"/>
          </w:tcPr>
          <w:p w14:paraId="2A8ACBED">
            <w:pPr>
              <w:jc w:val="center"/>
              <w:rPr>
                <w:rFonts w:hint="eastAsia" w:ascii="宋体" w:hAnsi="宋体" w:eastAsia="宋体"/>
                <w:sz w:val="24"/>
                <w:szCs w:val="24"/>
              </w:rPr>
            </w:pPr>
          </w:p>
        </w:tc>
        <w:tc>
          <w:tcPr>
            <w:tcW w:w="1614" w:type="dxa"/>
            <w:vAlign w:val="top"/>
          </w:tcPr>
          <w:p w14:paraId="7E7AB644">
            <w:pPr>
              <w:jc w:val="center"/>
              <w:rPr>
                <w:rFonts w:hint="eastAsia" w:ascii="宋体" w:hAnsi="宋体" w:eastAsia="宋体"/>
                <w:sz w:val="24"/>
                <w:szCs w:val="24"/>
              </w:rPr>
            </w:pPr>
          </w:p>
        </w:tc>
      </w:tr>
      <w:tr w14:paraId="3E305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008BD766">
            <w:pPr>
              <w:jc w:val="center"/>
              <w:rPr>
                <w:rFonts w:hint="eastAsia" w:ascii="宋体" w:hAnsi="宋体" w:eastAsia="宋体"/>
                <w:sz w:val="24"/>
                <w:szCs w:val="24"/>
              </w:rPr>
            </w:pPr>
          </w:p>
        </w:tc>
        <w:tc>
          <w:tcPr>
            <w:tcW w:w="2688" w:type="dxa"/>
            <w:vAlign w:val="top"/>
          </w:tcPr>
          <w:p w14:paraId="312FFA4F">
            <w:pPr>
              <w:jc w:val="center"/>
              <w:rPr>
                <w:rFonts w:hint="eastAsia" w:ascii="宋体" w:hAnsi="宋体" w:eastAsia="宋体"/>
                <w:sz w:val="24"/>
                <w:szCs w:val="24"/>
              </w:rPr>
            </w:pPr>
          </w:p>
        </w:tc>
        <w:tc>
          <w:tcPr>
            <w:tcW w:w="2883" w:type="dxa"/>
            <w:vAlign w:val="top"/>
          </w:tcPr>
          <w:p w14:paraId="01086A8D">
            <w:pPr>
              <w:jc w:val="center"/>
              <w:rPr>
                <w:rFonts w:hint="eastAsia" w:ascii="宋体" w:hAnsi="宋体" w:eastAsia="宋体"/>
                <w:sz w:val="24"/>
                <w:szCs w:val="24"/>
              </w:rPr>
            </w:pPr>
          </w:p>
        </w:tc>
        <w:tc>
          <w:tcPr>
            <w:tcW w:w="1302" w:type="dxa"/>
            <w:vAlign w:val="top"/>
          </w:tcPr>
          <w:p w14:paraId="2EAC75AA">
            <w:pPr>
              <w:jc w:val="center"/>
              <w:rPr>
                <w:rFonts w:hint="eastAsia" w:ascii="宋体" w:hAnsi="宋体" w:eastAsia="宋体"/>
                <w:sz w:val="24"/>
                <w:szCs w:val="24"/>
              </w:rPr>
            </w:pPr>
          </w:p>
        </w:tc>
        <w:tc>
          <w:tcPr>
            <w:tcW w:w="1614" w:type="dxa"/>
            <w:vAlign w:val="top"/>
          </w:tcPr>
          <w:p w14:paraId="4149C065">
            <w:pPr>
              <w:jc w:val="center"/>
              <w:rPr>
                <w:rFonts w:hint="eastAsia" w:ascii="宋体" w:hAnsi="宋体" w:eastAsia="宋体"/>
                <w:sz w:val="24"/>
                <w:szCs w:val="24"/>
              </w:rPr>
            </w:pPr>
          </w:p>
        </w:tc>
      </w:tr>
      <w:tr w14:paraId="45EC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5F71AE1A">
            <w:pPr>
              <w:jc w:val="center"/>
              <w:rPr>
                <w:rFonts w:hint="eastAsia" w:ascii="宋体" w:hAnsi="宋体" w:eastAsia="宋体"/>
                <w:sz w:val="24"/>
                <w:szCs w:val="24"/>
              </w:rPr>
            </w:pPr>
          </w:p>
        </w:tc>
        <w:tc>
          <w:tcPr>
            <w:tcW w:w="2688" w:type="dxa"/>
            <w:vAlign w:val="top"/>
          </w:tcPr>
          <w:p w14:paraId="5879D95F">
            <w:pPr>
              <w:jc w:val="center"/>
              <w:rPr>
                <w:rFonts w:hint="eastAsia" w:ascii="宋体" w:hAnsi="宋体" w:eastAsia="宋体"/>
                <w:sz w:val="24"/>
                <w:szCs w:val="24"/>
              </w:rPr>
            </w:pPr>
          </w:p>
        </w:tc>
        <w:tc>
          <w:tcPr>
            <w:tcW w:w="2883" w:type="dxa"/>
            <w:vAlign w:val="top"/>
          </w:tcPr>
          <w:p w14:paraId="2931172C">
            <w:pPr>
              <w:jc w:val="center"/>
              <w:rPr>
                <w:rFonts w:hint="eastAsia" w:ascii="宋体" w:hAnsi="宋体" w:eastAsia="宋体"/>
                <w:sz w:val="24"/>
                <w:szCs w:val="24"/>
              </w:rPr>
            </w:pPr>
          </w:p>
        </w:tc>
        <w:tc>
          <w:tcPr>
            <w:tcW w:w="1302" w:type="dxa"/>
            <w:vAlign w:val="top"/>
          </w:tcPr>
          <w:p w14:paraId="62CCC464">
            <w:pPr>
              <w:jc w:val="center"/>
              <w:rPr>
                <w:rFonts w:hint="eastAsia" w:ascii="宋体" w:hAnsi="宋体" w:eastAsia="宋体"/>
                <w:sz w:val="24"/>
                <w:szCs w:val="24"/>
              </w:rPr>
            </w:pPr>
          </w:p>
        </w:tc>
        <w:tc>
          <w:tcPr>
            <w:tcW w:w="1614" w:type="dxa"/>
            <w:vAlign w:val="top"/>
          </w:tcPr>
          <w:p w14:paraId="494BCA5D">
            <w:pPr>
              <w:jc w:val="center"/>
              <w:rPr>
                <w:rFonts w:hint="eastAsia" w:ascii="宋体" w:hAnsi="宋体" w:eastAsia="宋体"/>
                <w:sz w:val="24"/>
                <w:szCs w:val="24"/>
              </w:rPr>
            </w:pPr>
          </w:p>
        </w:tc>
      </w:tr>
      <w:tr w14:paraId="2AB2A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470A3FDF">
            <w:pPr>
              <w:jc w:val="center"/>
              <w:rPr>
                <w:rFonts w:hint="eastAsia" w:ascii="宋体" w:hAnsi="宋体" w:eastAsia="宋体"/>
                <w:sz w:val="24"/>
                <w:szCs w:val="24"/>
              </w:rPr>
            </w:pPr>
          </w:p>
        </w:tc>
        <w:tc>
          <w:tcPr>
            <w:tcW w:w="2688" w:type="dxa"/>
            <w:vAlign w:val="top"/>
          </w:tcPr>
          <w:p w14:paraId="4D3BA3A5">
            <w:pPr>
              <w:jc w:val="center"/>
              <w:rPr>
                <w:rFonts w:hint="eastAsia" w:ascii="宋体" w:hAnsi="宋体" w:eastAsia="宋体"/>
                <w:sz w:val="24"/>
                <w:szCs w:val="24"/>
              </w:rPr>
            </w:pPr>
          </w:p>
        </w:tc>
        <w:tc>
          <w:tcPr>
            <w:tcW w:w="2883" w:type="dxa"/>
            <w:vAlign w:val="top"/>
          </w:tcPr>
          <w:p w14:paraId="45673699">
            <w:pPr>
              <w:jc w:val="center"/>
              <w:rPr>
                <w:rFonts w:hint="eastAsia" w:ascii="宋体" w:hAnsi="宋体" w:eastAsia="宋体"/>
                <w:sz w:val="24"/>
                <w:szCs w:val="24"/>
              </w:rPr>
            </w:pPr>
          </w:p>
        </w:tc>
        <w:tc>
          <w:tcPr>
            <w:tcW w:w="1302" w:type="dxa"/>
            <w:vAlign w:val="top"/>
          </w:tcPr>
          <w:p w14:paraId="068A5905">
            <w:pPr>
              <w:jc w:val="center"/>
              <w:rPr>
                <w:rFonts w:hint="eastAsia" w:ascii="宋体" w:hAnsi="宋体" w:eastAsia="宋体"/>
                <w:sz w:val="24"/>
                <w:szCs w:val="24"/>
              </w:rPr>
            </w:pPr>
          </w:p>
        </w:tc>
        <w:tc>
          <w:tcPr>
            <w:tcW w:w="1614" w:type="dxa"/>
            <w:vAlign w:val="top"/>
          </w:tcPr>
          <w:p w14:paraId="361E4EAE">
            <w:pPr>
              <w:jc w:val="center"/>
              <w:rPr>
                <w:rFonts w:hint="eastAsia" w:ascii="宋体" w:hAnsi="宋体" w:eastAsia="宋体"/>
                <w:sz w:val="24"/>
                <w:szCs w:val="24"/>
              </w:rPr>
            </w:pPr>
          </w:p>
        </w:tc>
      </w:tr>
      <w:tr w14:paraId="56D01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682" w:type="dxa"/>
            <w:vAlign w:val="top"/>
          </w:tcPr>
          <w:p w14:paraId="5DA5712D">
            <w:pPr>
              <w:jc w:val="center"/>
              <w:rPr>
                <w:rFonts w:hint="eastAsia" w:ascii="宋体" w:hAnsi="宋体" w:eastAsia="宋体"/>
                <w:sz w:val="24"/>
                <w:szCs w:val="24"/>
              </w:rPr>
            </w:pPr>
          </w:p>
        </w:tc>
        <w:tc>
          <w:tcPr>
            <w:tcW w:w="2688" w:type="dxa"/>
            <w:vAlign w:val="top"/>
          </w:tcPr>
          <w:p w14:paraId="2B7068D2">
            <w:pPr>
              <w:jc w:val="center"/>
              <w:rPr>
                <w:rFonts w:hint="eastAsia" w:ascii="宋体" w:hAnsi="宋体" w:eastAsia="宋体"/>
                <w:sz w:val="24"/>
                <w:szCs w:val="24"/>
              </w:rPr>
            </w:pPr>
          </w:p>
        </w:tc>
        <w:tc>
          <w:tcPr>
            <w:tcW w:w="2883" w:type="dxa"/>
            <w:vAlign w:val="top"/>
          </w:tcPr>
          <w:p w14:paraId="0C6364D1">
            <w:pPr>
              <w:jc w:val="center"/>
              <w:rPr>
                <w:rFonts w:hint="eastAsia" w:ascii="宋体" w:hAnsi="宋体" w:eastAsia="宋体"/>
                <w:sz w:val="24"/>
                <w:szCs w:val="24"/>
              </w:rPr>
            </w:pPr>
          </w:p>
        </w:tc>
        <w:tc>
          <w:tcPr>
            <w:tcW w:w="1302" w:type="dxa"/>
            <w:vAlign w:val="top"/>
          </w:tcPr>
          <w:p w14:paraId="70E8EE4E">
            <w:pPr>
              <w:jc w:val="center"/>
              <w:rPr>
                <w:rFonts w:hint="eastAsia" w:ascii="宋体" w:hAnsi="宋体" w:eastAsia="宋体"/>
                <w:sz w:val="24"/>
                <w:szCs w:val="24"/>
              </w:rPr>
            </w:pPr>
          </w:p>
        </w:tc>
        <w:tc>
          <w:tcPr>
            <w:tcW w:w="1614" w:type="dxa"/>
            <w:vAlign w:val="top"/>
          </w:tcPr>
          <w:p w14:paraId="6F695265">
            <w:pPr>
              <w:jc w:val="center"/>
              <w:rPr>
                <w:rFonts w:hint="eastAsia" w:ascii="宋体" w:hAnsi="宋体" w:eastAsia="宋体"/>
                <w:sz w:val="24"/>
                <w:szCs w:val="24"/>
              </w:rPr>
            </w:pPr>
          </w:p>
        </w:tc>
      </w:tr>
    </w:tbl>
    <w:p w14:paraId="59424517">
      <w:pPr>
        <w:rPr>
          <w:rFonts w:hint="eastAsia" w:ascii="宋体" w:hAnsi="宋体" w:eastAsia="宋体"/>
          <w:sz w:val="24"/>
          <w:szCs w:val="24"/>
        </w:rPr>
      </w:pPr>
      <w:r>
        <w:rPr>
          <w:rFonts w:hint="eastAsia" w:ascii="宋体" w:hAnsi="宋体" w:eastAsia="宋体"/>
          <w:sz w:val="24"/>
          <w:szCs w:val="24"/>
        </w:rPr>
        <w:t>注： 行数不够，可自行添加。</w:t>
      </w:r>
    </w:p>
    <w:p w14:paraId="16A57E36">
      <w:pPr>
        <w:spacing w:line="480" w:lineRule="auto"/>
        <w:rPr>
          <w:rFonts w:hint="eastAsia" w:ascii="宋体" w:hAnsi="宋体" w:eastAsia="宋体"/>
          <w:sz w:val="24"/>
        </w:rPr>
      </w:pPr>
    </w:p>
    <w:p w14:paraId="38C303D8">
      <w:pPr>
        <w:spacing w:line="480" w:lineRule="auto"/>
        <w:rPr>
          <w:rFonts w:hint="eastAsia" w:ascii="宋体" w:hAnsi="宋体" w:eastAsia="宋体"/>
          <w:sz w:val="30"/>
        </w:rPr>
      </w:pPr>
    </w:p>
    <w:p w14:paraId="00A6EB41">
      <w:pPr>
        <w:jc w:val="center"/>
        <w:rPr>
          <w:rFonts w:hint="eastAsia" w:ascii="宋体" w:hAnsi="宋体" w:eastAsia="宋体"/>
          <w:b/>
          <w:sz w:val="36"/>
        </w:rPr>
      </w:pPr>
      <w:bookmarkStart w:id="257" w:name="_Hlt26671374"/>
      <w:bookmarkEnd w:id="257"/>
      <w:bookmarkStart w:id="258" w:name="_Hlt26609389"/>
      <w:bookmarkEnd w:id="258"/>
      <w:bookmarkStart w:id="259" w:name="_Hlt26955066"/>
      <w:bookmarkEnd w:id="259"/>
      <w:bookmarkStart w:id="260" w:name="_Toc462564146"/>
    </w:p>
    <w:p w14:paraId="2D0D136E">
      <w:pPr>
        <w:rPr>
          <w:rFonts w:hint="eastAsia" w:ascii="宋体" w:hAnsi="宋体" w:eastAsia="宋体"/>
          <w:sz w:val="32"/>
        </w:rPr>
      </w:pPr>
    </w:p>
    <w:p w14:paraId="09005328">
      <w:pPr>
        <w:jc w:val="center"/>
        <w:rPr>
          <w:rFonts w:hint="eastAsia" w:ascii="宋体" w:hAnsi="宋体" w:eastAsia="宋体"/>
          <w:b/>
          <w:sz w:val="36"/>
        </w:rPr>
      </w:pPr>
    </w:p>
    <w:p w14:paraId="10D5B1AA">
      <w:pPr>
        <w:rPr>
          <w:rFonts w:hint="eastAsia" w:ascii="宋体" w:hAnsi="宋体" w:eastAsia="宋体"/>
          <w:sz w:val="32"/>
        </w:rPr>
      </w:pPr>
    </w:p>
    <w:p w14:paraId="58DCB736">
      <w:pPr>
        <w:jc w:val="center"/>
        <w:rPr>
          <w:rFonts w:hint="eastAsia" w:ascii="宋体" w:hAnsi="宋体" w:eastAsia="宋体"/>
          <w:b/>
          <w:sz w:val="36"/>
        </w:rPr>
      </w:pPr>
    </w:p>
    <w:p w14:paraId="58B6538B">
      <w:pPr>
        <w:rPr>
          <w:rFonts w:hint="eastAsia" w:ascii="宋体" w:hAnsi="宋体" w:eastAsia="宋体"/>
          <w:sz w:val="32"/>
        </w:rPr>
      </w:pPr>
    </w:p>
    <w:p w14:paraId="04EFEF72">
      <w:pPr>
        <w:jc w:val="center"/>
        <w:rPr>
          <w:rFonts w:hint="eastAsia" w:ascii="宋体" w:hAnsi="宋体" w:eastAsia="宋体"/>
          <w:b/>
          <w:sz w:val="36"/>
        </w:rPr>
      </w:pPr>
    </w:p>
    <w:p w14:paraId="51984947">
      <w:pPr>
        <w:rPr>
          <w:rFonts w:hint="eastAsia" w:ascii="宋体" w:hAnsi="宋体" w:eastAsia="宋体"/>
          <w:sz w:val="32"/>
        </w:rPr>
      </w:pPr>
    </w:p>
    <w:p w14:paraId="5CD03554">
      <w:pPr>
        <w:pStyle w:val="195"/>
        <w:ind w:firstLine="0"/>
        <w:rPr>
          <w:rFonts w:hint="eastAsia" w:ascii="宋体" w:hAnsi="宋体" w:eastAsia="宋体"/>
          <w:sz w:val="24"/>
        </w:rPr>
      </w:pPr>
    </w:p>
    <w:bookmarkEnd w:id="260"/>
    <w:p w14:paraId="063E793C">
      <w:pPr>
        <w:jc w:val="center"/>
        <w:rPr>
          <w:rFonts w:hint="eastAsia" w:ascii="宋体" w:hAnsi="宋体" w:eastAsia="宋体"/>
          <w:b/>
          <w:sz w:val="32"/>
          <w:szCs w:val="32"/>
        </w:rPr>
      </w:pPr>
      <w:bookmarkStart w:id="261" w:name="_格式2__法定代表人授权书"/>
      <w:bookmarkEnd w:id="261"/>
    </w:p>
    <w:p w14:paraId="1C7C44E0">
      <w:pPr>
        <w:jc w:val="center"/>
        <w:rPr>
          <w:rFonts w:hint="eastAsia" w:ascii="宋体" w:hAnsi="宋体" w:eastAsia="宋体"/>
          <w:b/>
          <w:sz w:val="32"/>
          <w:szCs w:val="32"/>
        </w:rPr>
      </w:pPr>
    </w:p>
    <w:p w14:paraId="0FC275D7">
      <w:pPr>
        <w:rPr>
          <w:rFonts w:hint="eastAsia" w:ascii="宋体" w:hAnsi="宋体" w:eastAsia="宋体"/>
          <w:b/>
          <w:sz w:val="32"/>
          <w:szCs w:val="32"/>
        </w:rPr>
      </w:pPr>
    </w:p>
    <w:p w14:paraId="7CC14780">
      <w:pPr>
        <w:rPr>
          <w:rFonts w:hint="eastAsia" w:ascii="宋体" w:hAnsi="宋体" w:eastAsia="宋体"/>
          <w:b/>
          <w:sz w:val="32"/>
          <w:szCs w:val="32"/>
        </w:rPr>
      </w:pPr>
    </w:p>
    <w:p w14:paraId="17EB7654">
      <w:pPr>
        <w:rPr>
          <w:rFonts w:hint="eastAsia" w:ascii="宋体" w:hAnsi="宋体" w:eastAsia="宋体"/>
          <w:b/>
          <w:i/>
          <w:sz w:val="32"/>
          <w:szCs w:val="32"/>
          <w:u w:val="single"/>
        </w:rPr>
      </w:pPr>
      <w:r>
        <w:rPr>
          <w:rFonts w:hint="eastAsia" w:ascii="宋体" w:hAnsi="宋体" w:eastAsia="宋体"/>
          <w:b/>
          <w:i/>
          <w:sz w:val="32"/>
          <w:szCs w:val="32"/>
          <w:u w:val="single"/>
        </w:rPr>
        <w:br w:type="page"/>
      </w:r>
    </w:p>
    <w:p w14:paraId="39E8316B">
      <w:pPr>
        <w:outlineLvl w:val="1"/>
        <w:rPr>
          <w:rFonts w:hint="eastAsia" w:ascii="宋体" w:hAnsi="宋体" w:eastAsia="宋体"/>
          <w:i w:val="0"/>
          <w:iCs/>
          <w:sz w:val="32"/>
          <w:szCs w:val="32"/>
          <w:u w:val="none"/>
        </w:rPr>
      </w:pPr>
      <w:r>
        <w:rPr>
          <w:rFonts w:hint="eastAsia" w:ascii="宋体" w:hAnsi="宋体" w:eastAsia="宋体"/>
          <w:i w:val="0"/>
          <w:iCs/>
          <w:sz w:val="32"/>
          <w:szCs w:val="32"/>
          <w:u w:val="none"/>
        </w:rPr>
        <w:t>十四、开标一览表</w:t>
      </w:r>
    </w:p>
    <w:p w14:paraId="34879855">
      <w:pPr>
        <w:spacing w:line="360" w:lineRule="auto"/>
        <w:ind w:firstLine="480"/>
        <w:rPr>
          <w:rFonts w:hint="eastAsia" w:ascii="宋体" w:hAnsi="宋体" w:eastAsia="宋体"/>
          <w:sz w:val="24"/>
          <w:szCs w:val="24"/>
        </w:rPr>
      </w:pPr>
    </w:p>
    <w:p w14:paraId="3752CDFA">
      <w:pPr>
        <w:spacing w:line="360" w:lineRule="auto"/>
        <w:ind w:firstLine="787" w:firstLineChars="328"/>
        <w:rPr>
          <w:rFonts w:hint="eastAsia" w:ascii="宋体" w:hAnsi="宋体" w:eastAsia="宋体"/>
          <w:sz w:val="24"/>
          <w:szCs w:val="24"/>
        </w:rPr>
      </w:pPr>
      <w:r>
        <w:rPr>
          <w:rFonts w:hint="eastAsia" w:ascii="宋体" w:hAnsi="宋体" w:eastAsia="宋体"/>
          <w:sz w:val="24"/>
          <w:szCs w:val="24"/>
        </w:rPr>
        <w:t>投标人全称（加盖CA电子签章）：</w:t>
      </w:r>
    </w:p>
    <w:p w14:paraId="090E12F4">
      <w:pPr>
        <w:spacing w:line="360" w:lineRule="auto"/>
        <w:ind w:firstLine="787" w:firstLineChars="328"/>
        <w:rPr>
          <w:rFonts w:hint="eastAsia" w:ascii="宋体" w:hAnsi="宋体" w:eastAsia="宋体"/>
          <w:sz w:val="24"/>
          <w:szCs w:val="24"/>
        </w:rPr>
      </w:pPr>
      <w:r>
        <w:rPr>
          <w:rFonts w:hint="eastAsia" w:ascii="宋体" w:hAnsi="宋体" w:eastAsia="宋体"/>
          <w:sz w:val="24"/>
          <w:szCs w:val="24"/>
        </w:rPr>
        <w:t>项目名称：</w:t>
      </w:r>
    </w:p>
    <w:p w14:paraId="746088E0">
      <w:pPr>
        <w:spacing w:line="360" w:lineRule="auto"/>
        <w:ind w:firstLine="787" w:firstLineChars="328"/>
        <w:rPr>
          <w:rFonts w:hint="eastAsia" w:ascii="宋体" w:hAnsi="宋体" w:eastAsia="宋体"/>
          <w:sz w:val="24"/>
          <w:szCs w:val="24"/>
          <w:highlight w:val="none"/>
        </w:rPr>
      </w:pPr>
      <w:r>
        <w:rPr>
          <w:rFonts w:hint="eastAsia" w:ascii="宋体" w:hAnsi="宋体" w:eastAsia="宋体"/>
          <w:sz w:val="24"/>
          <w:szCs w:val="24"/>
        </w:rPr>
        <w:t xml:space="preserve">招标编号：                                 </w:t>
      </w:r>
      <w:r>
        <w:rPr>
          <w:rFonts w:hint="eastAsia" w:ascii="宋体" w:hAnsi="宋体" w:eastAsia="宋体"/>
          <w:sz w:val="24"/>
          <w:szCs w:val="24"/>
          <w:highlight w:val="none"/>
        </w:rPr>
        <w:t xml:space="preserve">  </w:t>
      </w:r>
      <w:r>
        <w:rPr>
          <w:rFonts w:hint="eastAsia" w:ascii="宋体" w:hAnsi="宋体"/>
          <w:sz w:val="24"/>
          <w:szCs w:val="24"/>
          <w:highlight w:val="none"/>
          <w:lang w:eastAsia="zh-CN"/>
        </w:rPr>
        <w:t>标段编号</w:t>
      </w:r>
      <w:r>
        <w:rPr>
          <w:rFonts w:hint="eastAsia" w:ascii="宋体" w:hAnsi="宋体" w:eastAsia="宋体"/>
          <w:sz w:val="24"/>
          <w:szCs w:val="24"/>
          <w:highlight w:val="none"/>
        </w:rPr>
        <w:t>：</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06"/>
      </w:tblGrid>
      <w:tr w14:paraId="026EC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5" w:hRule="atLeast"/>
          <w:jc w:val="center"/>
        </w:trPr>
        <w:tc>
          <w:tcPr>
            <w:tcW w:w="8206" w:type="dxa"/>
            <w:vAlign w:val="center"/>
          </w:tcPr>
          <w:p w14:paraId="568CB8FA">
            <w:pPr>
              <w:rPr>
                <w:rFonts w:hint="eastAsia" w:ascii="宋体" w:hAnsi="宋体" w:eastAsia="宋体"/>
                <w:sz w:val="24"/>
                <w:szCs w:val="24"/>
              </w:rPr>
            </w:pPr>
            <w:r>
              <w:rPr>
                <w:rFonts w:hint="eastAsia" w:ascii="宋体" w:hAnsi="宋体" w:eastAsia="宋体"/>
                <w:sz w:val="24"/>
                <w:szCs w:val="24"/>
              </w:rPr>
              <w:t xml:space="preserve">                      投标总报价</w:t>
            </w:r>
          </w:p>
        </w:tc>
      </w:tr>
      <w:tr w14:paraId="26AF4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jc w:val="center"/>
        </w:trPr>
        <w:tc>
          <w:tcPr>
            <w:tcW w:w="8206" w:type="dxa"/>
            <w:vAlign w:val="center"/>
          </w:tcPr>
          <w:p w14:paraId="787985AE">
            <w:pPr>
              <w:pStyle w:val="276"/>
              <w:spacing w:before="0" w:after="0" w:line="500" w:lineRule="exact"/>
              <w:ind w:firstLine="0"/>
              <w:rPr>
                <w:rFonts w:hint="eastAsia" w:ascii="宋体" w:hAnsi="宋体" w:eastAsia="宋体"/>
              </w:rPr>
            </w:pPr>
            <w:r>
              <w:rPr>
                <w:rFonts w:hint="eastAsia" w:ascii="宋体" w:hAnsi="宋体" w:eastAsia="宋体"/>
              </w:rPr>
              <w:t>小写：                             （人民币：元）</w:t>
            </w:r>
          </w:p>
        </w:tc>
      </w:tr>
    </w:tbl>
    <w:p w14:paraId="5BD89EF3">
      <w:pPr>
        <w:rPr>
          <w:rFonts w:hint="eastAsia" w:ascii="宋体" w:hAnsi="宋体" w:eastAsia="宋体"/>
          <w:sz w:val="24"/>
          <w:szCs w:val="24"/>
        </w:rPr>
      </w:pPr>
    </w:p>
    <w:p w14:paraId="1C3C3B35">
      <w:pPr>
        <w:ind w:firstLine="480"/>
        <w:rPr>
          <w:rFonts w:hint="eastAsia" w:ascii="宋体" w:hAnsi="宋体" w:eastAsia="宋体"/>
          <w:sz w:val="24"/>
          <w:szCs w:val="24"/>
        </w:rPr>
      </w:pPr>
      <w:r>
        <w:rPr>
          <w:rFonts w:hint="eastAsia" w:ascii="宋体" w:hAnsi="宋体" w:eastAsia="宋体"/>
          <w:sz w:val="24"/>
          <w:szCs w:val="24"/>
        </w:rPr>
        <w:t xml:space="preserve">                                            日期：  </w:t>
      </w:r>
      <w:r>
        <w:rPr>
          <w:rFonts w:hint="eastAsia" w:ascii="宋体" w:hAnsi="宋体" w:eastAsia="宋体"/>
          <w:sz w:val="24"/>
          <w:szCs w:val="24"/>
          <w:u w:val="single"/>
        </w:rPr>
        <w:t xml:space="preserve">     </w:t>
      </w:r>
      <w:r>
        <w:rPr>
          <w:rFonts w:hint="eastAsia" w:ascii="宋体" w:hAnsi="宋体" w:eastAsia="宋体"/>
          <w:sz w:val="24"/>
          <w:szCs w:val="24"/>
        </w:rPr>
        <w:t>年</w:t>
      </w:r>
      <w:r>
        <w:rPr>
          <w:rFonts w:hint="eastAsia" w:ascii="宋体" w:hAnsi="宋体" w:eastAsia="宋体"/>
          <w:sz w:val="24"/>
          <w:szCs w:val="24"/>
          <w:u w:val="single"/>
        </w:rPr>
        <w:t xml:space="preserve">   </w:t>
      </w:r>
      <w:r>
        <w:rPr>
          <w:rFonts w:hint="eastAsia" w:ascii="宋体" w:hAnsi="宋体" w:eastAsia="宋体"/>
          <w:sz w:val="24"/>
          <w:szCs w:val="24"/>
        </w:rPr>
        <w:t>月</w:t>
      </w:r>
      <w:r>
        <w:rPr>
          <w:rFonts w:hint="eastAsia" w:ascii="宋体" w:hAnsi="宋体" w:eastAsia="宋体"/>
          <w:sz w:val="24"/>
          <w:szCs w:val="24"/>
          <w:u w:val="single"/>
        </w:rPr>
        <w:t xml:space="preserve">   </w:t>
      </w:r>
      <w:r>
        <w:rPr>
          <w:rFonts w:hint="eastAsia" w:ascii="宋体" w:hAnsi="宋体" w:eastAsia="宋体"/>
          <w:sz w:val="24"/>
          <w:szCs w:val="24"/>
        </w:rPr>
        <w:t>日</w:t>
      </w:r>
    </w:p>
    <w:p w14:paraId="644A98F7">
      <w:pPr>
        <w:ind w:firstLine="480"/>
        <w:rPr>
          <w:rFonts w:hint="eastAsia" w:ascii="宋体" w:hAnsi="宋体" w:eastAsia="宋体"/>
          <w:sz w:val="24"/>
          <w:szCs w:val="24"/>
        </w:rPr>
      </w:pPr>
    </w:p>
    <w:p w14:paraId="5982D1ED">
      <w:pPr>
        <w:ind w:firstLine="480"/>
        <w:rPr>
          <w:rFonts w:hint="eastAsia" w:ascii="宋体" w:hAnsi="宋体" w:eastAsia="宋体"/>
          <w:sz w:val="24"/>
          <w:szCs w:val="24"/>
        </w:rPr>
      </w:pPr>
    </w:p>
    <w:p w14:paraId="52B834D3">
      <w:pPr>
        <w:ind w:firstLine="480"/>
        <w:rPr>
          <w:rFonts w:hint="eastAsia" w:ascii="宋体" w:hAnsi="宋体" w:eastAsia="宋体"/>
          <w:sz w:val="24"/>
          <w:szCs w:val="24"/>
        </w:rPr>
      </w:pPr>
    </w:p>
    <w:p w14:paraId="09467283">
      <w:pPr>
        <w:ind w:firstLine="480"/>
        <w:rPr>
          <w:rFonts w:hint="eastAsia" w:ascii="宋体" w:hAnsi="宋体" w:eastAsia="宋体"/>
          <w:sz w:val="24"/>
          <w:szCs w:val="24"/>
        </w:rPr>
      </w:pPr>
    </w:p>
    <w:p w14:paraId="4ED2338A">
      <w:pPr>
        <w:ind w:firstLine="480"/>
        <w:rPr>
          <w:rFonts w:hint="eastAsia" w:ascii="宋体" w:hAnsi="宋体" w:eastAsia="宋体"/>
          <w:sz w:val="24"/>
          <w:szCs w:val="24"/>
        </w:rPr>
      </w:pPr>
    </w:p>
    <w:p w14:paraId="65660D5A">
      <w:pPr>
        <w:ind w:firstLine="480"/>
        <w:rPr>
          <w:rFonts w:hint="eastAsia" w:ascii="宋体" w:hAnsi="宋体" w:eastAsia="宋体"/>
          <w:sz w:val="24"/>
          <w:szCs w:val="24"/>
        </w:rPr>
      </w:pPr>
    </w:p>
    <w:p w14:paraId="4F1450F5">
      <w:pPr>
        <w:ind w:firstLine="480"/>
        <w:rPr>
          <w:rFonts w:hint="eastAsia" w:ascii="宋体" w:hAnsi="宋体" w:eastAsia="宋体"/>
          <w:sz w:val="24"/>
          <w:szCs w:val="24"/>
        </w:rPr>
      </w:pPr>
    </w:p>
    <w:p w14:paraId="05687145">
      <w:pPr>
        <w:ind w:firstLine="480"/>
        <w:rPr>
          <w:rFonts w:hint="eastAsia" w:ascii="宋体" w:hAnsi="宋体" w:eastAsia="宋体"/>
          <w:sz w:val="24"/>
          <w:szCs w:val="24"/>
        </w:rPr>
      </w:pPr>
    </w:p>
    <w:p w14:paraId="5E5ECA0C">
      <w:pPr>
        <w:ind w:firstLine="480"/>
        <w:rPr>
          <w:rFonts w:hint="eastAsia" w:ascii="宋体" w:hAnsi="宋体" w:eastAsia="宋体"/>
          <w:sz w:val="24"/>
          <w:szCs w:val="24"/>
        </w:rPr>
      </w:pPr>
    </w:p>
    <w:p w14:paraId="0D338328">
      <w:pPr>
        <w:ind w:firstLine="480"/>
        <w:rPr>
          <w:rFonts w:hint="eastAsia" w:ascii="宋体" w:hAnsi="宋体" w:eastAsia="宋体"/>
          <w:sz w:val="24"/>
          <w:szCs w:val="24"/>
        </w:rPr>
      </w:pPr>
    </w:p>
    <w:p w14:paraId="2FC72BEA">
      <w:pPr>
        <w:ind w:firstLine="480"/>
        <w:rPr>
          <w:rFonts w:hint="eastAsia" w:ascii="宋体" w:hAnsi="宋体" w:eastAsia="宋体"/>
          <w:sz w:val="24"/>
          <w:szCs w:val="24"/>
        </w:rPr>
      </w:pPr>
    </w:p>
    <w:p w14:paraId="02B77227">
      <w:pPr>
        <w:ind w:firstLine="480"/>
        <w:rPr>
          <w:rFonts w:hint="eastAsia" w:ascii="宋体" w:hAnsi="宋体" w:eastAsia="宋体"/>
          <w:sz w:val="24"/>
          <w:szCs w:val="24"/>
        </w:rPr>
      </w:pPr>
    </w:p>
    <w:p w14:paraId="231CDD4E">
      <w:pPr>
        <w:ind w:firstLine="480"/>
        <w:rPr>
          <w:rFonts w:hint="eastAsia" w:ascii="宋体" w:hAnsi="宋体" w:eastAsia="宋体"/>
          <w:sz w:val="24"/>
          <w:szCs w:val="24"/>
        </w:rPr>
      </w:pPr>
    </w:p>
    <w:p w14:paraId="3E4DBDF0">
      <w:pPr>
        <w:ind w:firstLine="480"/>
        <w:rPr>
          <w:rFonts w:hint="eastAsia" w:ascii="宋体" w:hAnsi="宋体" w:eastAsia="宋体"/>
          <w:sz w:val="24"/>
          <w:szCs w:val="24"/>
        </w:rPr>
      </w:pPr>
    </w:p>
    <w:p w14:paraId="787BBE33">
      <w:pPr>
        <w:ind w:firstLine="480"/>
        <w:rPr>
          <w:rFonts w:hint="eastAsia" w:ascii="宋体" w:hAnsi="宋体" w:eastAsia="宋体"/>
          <w:sz w:val="24"/>
          <w:szCs w:val="24"/>
        </w:rPr>
      </w:pPr>
    </w:p>
    <w:p w14:paraId="2C2A4738">
      <w:pPr>
        <w:ind w:firstLine="480"/>
        <w:rPr>
          <w:rFonts w:hint="eastAsia" w:ascii="宋体" w:hAnsi="宋体" w:eastAsia="宋体"/>
          <w:sz w:val="24"/>
          <w:szCs w:val="24"/>
        </w:rPr>
      </w:pPr>
    </w:p>
    <w:p w14:paraId="4AC340D2">
      <w:pPr>
        <w:ind w:firstLine="480"/>
        <w:rPr>
          <w:rFonts w:hint="eastAsia" w:ascii="宋体" w:hAnsi="宋体" w:eastAsia="宋体"/>
          <w:sz w:val="24"/>
          <w:szCs w:val="24"/>
        </w:rPr>
      </w:pPr>
    </w:p>
    <w:p w14:paraId="48FAACD7">
      <w:pPr>
        <w:ind w:firstLine="480"/>
        <w:rPr>
          <w:rFonts w:hint="eastAsia" w:ascii="宋体" w:hAnsi="宋体" w:eastAsia="宋体"/>
          <w:sz w:val="24"/>
          <w:szCs w:val="24"/>
        </w:rPr>
      </w:pPr>
    </w:p>
    <w:p w14:paraId="37A10043">
      <w:pPr>
        <w:ind w:firstLine="480"/>
        <w:rPr>
          <w:rFonts w:hint="eastAsia" w:ascii="宋体" w:hAnsi="宋体" w:eastAsia="宋体"/>
          <w:sz w:val="24"/>
          <w:szCs w:val="24"/>
        </w:rPr>
      </w:pPr>
    </w:p>
    <w:p w14:paraId="2F1ACE52">
      <w:pPr>
        <w:ind w:firstLine="480"/>
        <w:rPr>
          <w:rFonts w:hint="eastAsia" w:ascii="宋体" w:hAnsi="宋体" w:eastAsia="宋体"/>
          <w:sz w:val="24"/>
          <w:szCs w:val="24"/>
        </w:rPr>
      </w:pPr>
    </w:p>
    <w:p w14:paraId="60BE2BAD">
      <w:pPr>
        <w:ind w:firstLine="480"/>
        <w:rPr>
          <w:rFonts w:hint="eastAsia" w:ascii="宋体" w:hAnsi="宋体" w:eastAsia="宋体"/>
          <w:sz w:val="24"/>
          <w:szCs w:val="24"/>
        </w:rPr>
      </w:pPr>
    </w:p>
    <w:p w14:paraId="7EA921DE">
      <w:pPr>
        <w:outlineLvl w:val="1"/>
        <w:rPr>
          <w:rFonts w:hint="eastAsia" w:ascii="宋体" w:hAnsi="宋体" w:eastAsia="宋体"/>
          <w:b/>
          <w:iCs/>
          <w:sz w:val="32"/>
          <w:szCs w:val="32"/>
        </w:rPr>
      </w:pPr>
      <w:r>
        <w:rPr>
          <w:rFonts w:hint="eastAsia" w:ascii="宋体" w:hAnsi="宋体" w:eastAsia="宋体"/>
          <w:b/>
          <w:iCs/>
          <w:sz w:val="32"/>
          <w:szCs w:val="32"/>
        </w:rPr>
        <w:br w:type="page"/>
      </w:r>
      <w:r>
        <w:rPr>
          <w:rFonts w:hint="eastAsia" w:ascii="宋体" w:hAnsi="宋体" w:eastAsia="宋体"/>
          <w:b/>
          <w:iCs/>
          <w:sz w:val="32"/>
          <w:szCs w:val="32"/>
        </w:rPr>
        <w:t>十五、</w:t>
      </w:r>
      <w:r>
        <w:rPr>
          <w:rFonts w:hint="eastAsia" w:ascii="宋体" w:hAnsi="宋体" w:eastAsia="宋体"/>
          <w:b/>
          <w:iCs/>
          <w:sz w:val="32"/>
          <w:szCs w:val="32"/>
          <w:lang w:eastAsia="zh-CN"/>
        </w:rPr>
        <w:t>其他材料</w:t>
      </w:r>
    </w:p>
    <w:p w14:paraId="694FCED8">
      <w:pPr>
        <w:spacing w:line="520" w:lineRule="exact"/>
        <w:jc w:val="center"/>
        <w:rPr>
          <w:rFonts w:hint="eastAsia" w:ascii="宋体" w:hAnsi="宋体" w:eastAsia="宋体"/>
          <w:bCs/>
          <w:sz w:val="36"/>
          <w:szCs w:val="28"/>
          <w:lang w:eastAsia="zh-CN"/>
        </w:rPr>
      </w:pPr>
      <w:r>
        <w:rPr>
          <w:rFonts w:hint="eastAsia" w:ascii="宋体" w:hAnsi="宋体" w:eastAsia="宋体"/>
          <w:bCs/>
          <w:sz w:val="36"/>
          <w:szCs w:val="28"/>
          <w:lang w:eastAsia="zh-CN"/>
        </w:rPr>
        <w:t>其他材料</w:t>
      </w:r>
    </w:p>
    <w:p w14:paraId="2BB7E33C">
      <w:pPr>
        <w:spacing w:line="520" w:lineRule="exact"/>
        <w:ind w:firstLine="420"/>
        <w:rPr>
          <w:rFonts w:hint="eastAsia" w:ascii="宋体" w:hAnsi="宋体" w:eastAsia="宋体"/>
          <w:sz w:val="28"/>
          <w:szCs w:val="22"/>
        </w:rPr>
      </w:pPr>
    </w:p>
    <w:p w14:paraId="1366E145">
      <w:pPr>
        <w:spacing w:line="520" w:lineRule="exact"/>
        <w:ind w:firstLine="315"/>
        <w:jc w:val="center"/>
        <w:rPr>
          <w:rFonts w:hint="eastAsia" w:ascii="宋体" w:hAnsi="宋体" w:eastAsia="宋体"/>
          <w:sz w:val="24"/>
          <w:szCs w:val="24"/>
        </w:rPr>
      </w:pPr>
      <w:r>
        <w:rPr>
          <w:rFonts w:hint="eastAsia" w:ascii="宋体" w:hAnsi="宋体" w:eastAsia="宋体"/>
          <w:sz w:val="24"/>
          <w:szCs w:val="24"/>
        </w:rPr>
        <w:t xml:space="preserve"> 供应商认为有必要提供的材料或评分标准中需要提供的材料。</w:t>
      </w:r>
    </w:p>
    <w:p w14:paraId="2EAFA947">
      <w:pPr>
        <w:rPr>
          <w:rFonts w:hint="eastAsia" w:ascii="宋体" w:hAnsi="宋体" w:eastAsia="宋体"/>
          <w:b/>
          <w:bCs/>
          <w:sz w:val="32"/>
          <w:szCs w:val="32"/>
        </w:rPr>
      </w:pPr>
    </w:p>
    <w:p w14:paraId="033E55DC">
      <w:pPr>
        <w:rPr>
          <w:rFonts w:hint="eastAsia" w:ascii="宋体" w:hAnsi="宋体" w:eastAsia="宋体"/>
          <w:b/>
          <w:bCs/>
          <w:sz w:val="32"/>
          <w:szCs w:val="32"/>
        </w:rPr>
      </w:pPr>
    </w:p>
    <w:p w14:paraId="390B43E1">
      <w:pPr>
        <w:rPr>
          <w:rFonts w:hint="eastAsia" w:ascii="宋体" w:hAnsi="宋体" w:eastAsia="宋体"/>
          <w:b/>
          <w:bCs/>
          <w:sz w:val="32"/>
          <w:szCs w:val="32"/>
        </w:rPr>
      </w:pPr>
    </w:p>
    <w:p w14:paraId="68A83EAC">
      <w:pPr>
        <w:rPr>
          <w:rFonts w:hint="eastAsia" w:ascii="宋体" w:hAnsi="宋体" w:eastAsia="宋体"/>
          <w:b/>
          <w:bCs/>
          <w:sz w:val="32"/>
          <w:szCs w:val="32"/>
        </w:rPr>
      </w:pPr>
    </w:p>
    <w:p w14:paraId="1E505839">
      <w:pPr>
        <w:rPr>
          <w:rFonts w:hint="eastAsia" w:ascii="宋体" w:hAnsi="宋体" w:eastAsia="宋体"/>
          <w:b/>
          <w:bCs/>
          <w:sz w:val="32"/>
          <w:szCs w:val="32"/>
        </w:rPr>
      </w:pPr>
    </w:p>
    <w:p w14:paraId="270644FF">
      <w:pPr>
        <w:rPr>
          <w:rFonts w:hint="eastAsia" w:ascii="宋体" w:hAnsi="宋体" w:eastAsia="宋体"/>
          <w:b/>
          <w:bCs/>
          <w:sz w:val="32"/>
          <w:szCs w:val="32"/>
        </w:rPr>
      </w:pPr>
    </w:p>
    <w:p w14:paraId="49611FAB">
      <w:pPr>
        <w:rPr>
          <w:rFonts w:hint="eastAsia" w:ascii="宋体" w:hAnsi="宋体" w:eastAsia="宋体"/>
          <w:b/>
          <w:bCs/>
          <w:sz w:val="32"/>
          <w:szCs w:val="32"/>
        </w:rPr>
      </w:pPr>
    </w:p>
    <w:p w14:paraId="5BB394ED">
      <w:pPr>
        <w:rPr>
          <w:rFonts w:hint="eastAsia" w:ascii="宋体" w:hAnsi="宋体" w:eastAsia="宋体"/>
          <w:b/>
          <w:bCs/>
          <w:sz w:val="32"/>
          <w:szCs w:val="32"/>
        </w:rPr>
      </w:pPr>
    </w:p>
    <w:p w14:paraId="189B614F">
      <w:pPr>
        <w:rPr>
          <w:rFonts w:hint="eastAsia" w:ascii="宋体" w:hAnsi="宋体" w:eastAsia="宋体"/>
          <w:b/>
          <w:bCs/>
          <w:sz w:val="32"/>
          <w:szCs w:val="32"/>
        </w:rPr>
      </w:pPr>
    </w:p>
    <w:p w14:paraId="7BBF3749">
      <w:pPr>
        <w:rPr>
          <w:rFonts w:hint="eastAsia" w:ascii="宋体" w:hAnsi="宋体" w:eastAsia="宋体"/>
          <w:b/>
          <w:bCs/>
          <w:sz w:val="32"/>
          <w:szCs w:val="32"/>
        </w:rPr>
      </w:pPr>
    </w:p>
    <w:p w14:paraId="014A7519">
      <w:pPr>
        <w:rPr>
          <w:rFonts w:hint="eastAsia" w:ascii="宋体" w:hAnsi="宋体" w:eastAsia="宋体"/>
          <w:b/>
          <w:bCs/>
          <w:sz w:val="32"/>
          <w:szCs w:val="32"/>
        </w:rPr>
      </w:pPr>
    </w:p>
    <w:p w14:paraId="1D62BB25">
      <w:pPr>
        <w:rPr>
          <w:rFonts w:hint="eastAsia" w:ascii="宋体" w:hAnsi="宋体" w:eastAsia="宋体"/>
          <w:b/>
          <w:bCs/>
          <w:sz w:val="32"/>
          <w:szCs w:val="32"/>
        </w:rPr>
      </w:pPr>
    </w:p>
    <w:p w14:paraId="475AEBB0">
      <w:pPr>
        <w:rPr>
          <w:rFonts w:hint="eastAsia" w:ascii="宋体" w:hAnsi="宋体" w:eastAsia="宋体"/>
          <w:b/>
          <w:bCs/>
          <w:sz w:val="32"/>
          <w:szCs w:val="32"/>
        </w:rPr>
      </w:pPr>
    </w:p>
    <w:p w14:paraId="0F2E5B41">
      <w:pPr>
        <w:rPr>
          <w:rFonts w:hint="eastAsia" w:ascii="宋体" w:hAnsi="宋体" w:eastAsia="宋体"/>
          <w:b/>
          <w:bCs/>
          <w:sz w:val="32"/>
          <w:szCs w:val="32"/>
        </w:rPr>
      </w:pPr>
    </w:p>
    <w:p w14:paraId="0A0AECC6">
      <w:pPr>
        <w:rPr>
          <w:rFonts w:hint="eastAsia" w:ascii="宋体" w:hAnsi="宋体" w:eastAsia="宋体"/>
          <w:b/>
          <w:bCs/>
          <w:sz w:val="32"/>
          <w:szCs w:val="32"/>
        </w:rPr>
      </w:pPr>
    </w:p>
    <w:p w14:paraId="427F4100">
      <w:pPr>
        <w:rPr>
          <w:rFonts w:hint="eastAsia" w:ascii="宋体" w:hAnsi="宋体" w:eastAsia="宋体"/>
          <w:b/>
          <w:bCs/>
          <w:sz w:val="32"/>
          <w:szCs w:val="32"/>
        </w:rPr>
      </w:pPr>
    </w:p>
    <w:p w14:paraId="2D2E6A41">
      <w:pPr>
        <w:rPr>
          <w:rFonts w:hint="eastAsia" w:ascii="宋体" w:hAnsi="宋体" w:eastAsia="宋体"/>
          <w:b/>
          <w:bCs/>
          <w:sz w:val="32"/>
          <w:szCs w:val="32"/>
        </w:rPr>
      </w:pPr>
    </w:p>
    <w:p w14:paraId="1AEF4830">
      <w:pPr>
        <w:rPr>
          <w:rFonts w:hint="eastAsia" w:ascii="宋体" w:hAnsi="宋体" w:eastAsia="宋体"/>
          <w:b/>
          <w:bCs/>
          <w:sz w:val="32"/>
          <w:szCs w:val="32"/>
        </w:rPr>
      </w:pPr>
    </w:p>
    <w:p w14:paraId="5583FFB0">
      <w:pPr>
        <w:rPr>
          <w:rFonts w:hint="eastAsia" w:ascii="宋体" w:hAnsi="宋体" w:eastAsia="宋体"/>
          <w:b/>
          <w:bCs/>
          <w:sz w:val="32"/>
          <w:szCs w:val="32"/>
        </w:rPr>
      </w:pPr>
    </w:p>
    <w:p w14:paraId="24E72EA5">
      <w:pPr>
        <w:rPr>
          <w:rFonts w:hint="eastAsia" w:ascii="宋体" w:hAnsi="宋体" w:eastAsia="宋体"/>
          <w:b/>
          <w:bCs/>
          <w:sz w:val="32"/>
          <w:szCs w:val="32"/>
        </w:rPr>
      </w:pPr>
    </w:p>
    <w:p w14:paraId="2C0FC8A1">
      <w:pPr>
        <w:rPr>
          <w:rFonts w:hint="eastAsia" w:ascii="宋体" w:hAnsi="宋体" w:eastAsia="宋体"/>
          <w:b/>
          <w:bCs/>
          <w:sz w:val="32"/>
          <w:szCs w:val="32"/>
        </w:rPr>
      </w:pPr>
    </w:p>
    <w:p w14:paraId="716C77DE">
      <w:pPr>
        <w:rPr>
          <w:rFonts w:hint="eastAsia" w:ascii="宋体" w:hAnsi="宋体" w:eastAsia="宋体"/>
          <w:b/>
          <w:bCs/>
          <w:sz w:val="32"/>
          <w:szCs w:val="32"/>
        </w:rPr>
      </w:pPr>
    </w:p>
    <w:p w14:paraId="26BF9608">
      <w:pPr>
        <w:rPr>
          <w:rFonts w:hint="eastAsia" w:ascii="宋体" w:hAnsi="宋体" w:eastAsia="宋体"/>
          <w:b/>
          <w:bCs/>
          <w:sz w:val="32"/>
          <w:szCs w:val="32"/>
        </w:rPr>
      </w:pPr>
    </w:p>
    <w:p w14:paraId="74E4A15D">
      <w:pPr>
        <w:jc w:val="center"/>
        <w:rPr>
          <w:rFonts w:hint="eastAsia" w:ascii="宋体" w:hAnsi="宋体" w:eastAsia="宋体"/>
          <w:b/>
          <w:bCs/>
          <w:sz w:val="32"/>
          <w:szCs w:val="32"/>
        </w:rPr>
      </w:pPr>
      <w:r>
        <w:rPr>
          <w:rFonts w:hint="eastAsia" w:ascii="宋体" w:hAnsi="宋体" w:eastAsia="宋体"/>
          <w:b/>
          <w:bCs/>
          <w:sz w:val="32"/>
          <w:szCs w:val="32"/>
        </w:rPr>
        <w:br w:type="page"/>
      </w:r>
      <w:r>
        <w:rPr>
          <w:rFonts w:hint="eastAsia" w:ascii="宋体" w:hAnsi="宋体" w:eastAsia="宋体"/>
          <w:b/>
          <w:bCs/>
          <w:sz w:val="32"/>
          <w:szCs w:val="32"/>
        </w:rPr>
        <w:t>质疑函范本</w:t>
      </w:r>
    </w:p>
    <w:p w14:paraId="29991C22">
      <w:pPr>
        <w:spacing w:before="290" w:line="360" w:lineRule="auto"/>
        <w:rPr>
          <w:rFonts w:hint="eastAsia" w:ascii="宋体" w:hAnsi="宋体" w:eastAsia="宋体"/>
          <w:bCs/>
          <w:sz w:val="24"/>
          <w:szCs w:val="24"/>
        </w:rPr>
      </w:pPr>
      <w:r>
        <w:rPr>
          <w:rFonts w:hint="eastAsia" w:ascii="宋体" w:hAnsi="宋体" w:eastAsia="宋体"/>
          <w:bCs/>
          <w:sz w:val="24"/>
          <w:szCs w:val="24"/>
        </w:rPr>
        <w:t>一、质疑供应商基本信息</w:t>
      </w:r>
    </w:p>
    <w:p w14:paraId="292C50EC">
      <w:pPr>
        <w:spacing w:line="360" w:lineRule="auto"/>
        <w:rPr>
          <w:rFonts w:hint="eastAsia" w:ascii="宋体" w:hAnsi="宋体" w:eastAsia="宋体"/>
          <w:sz w:val="24"/>
          <w:szCs w:val="24"/>
        </w:rPr>
      </w:pPr>
      <w:r>
        <w:rPr>
          <w:rFonts w:hint="eastAsia" w:ascii="宋体" w:hAnsi="宋体" w:eastAsia="宋体"/>
          <w:sz w:val="24"/>
          <w:szCs w:val="24"/>
        </w:rPr>
        <w:t>质疑供应商：</w:t>
      </w:r>
      <w:r>
        <w:rPr>
          <w:rFonts w:hint="eastAsia" w:ascii="宋体" w:hAnsi="宋体" w:eastAsia="宋体"/>
          <w:sz w:val="24"/>
          <w:szCs w:val="24"/>
          <w:u w:val="single"/>
        </w:rPr>
        <w:t xml:space="preserve">                                                              </w:t>
      </w:r>
    </w:p>
    <w:p w14:paraId="23546026">
      <w:pPr>
        <w:spacing w:line="360" w:lineRule="auto"/>
        <w:rPr>
          <w:rFonts w:hint="eastAsia" w:ascii="宋体" w:hAnsi="宋体" w:eastAsia="宋体"/>
          <w:sz w:val="24"/>
          <w:szCs w:val="24"/>
        </w:rPr>
      </w:pPr>
      <w:r>
        <w:rPr>
          <w:rFonts w:hint="eastAsia" w:ascii="宋体" w:hAnsi="宋体" w:eastAsia="宋体"/>
          <w:sz w:val="24"/>
          <w:szCs w:val="24"/>
        </w:rPr>
        <w:t>地址：</w:t>
      </w:r>
      <w:r>
        <w:rPr>
          <w:rFonts w:hint="eastAsia" w:ascii="宋体" w:hAnsi="宋体" w:eastAsia="宋体"/>
          <w:sz w:val="24"/>
          <w:szCs w:val="24"/>
          <w:u w:val="single"/>
        </w:rPr>
        <w:t xml:space="preserve">                             </w:t>
      </w:r>
      <w:r>
        <w:rPr>
          <w:rFonts w:hint="eastAsia" w:ascii="宋体" w:hAnsi="宋体" w:eastAsia="宋体"/>
          <w:sz w:val="24"/>
          <w:szCs w:val="24"/>
        </w:rPr>
        <w:t>邮编：</w:t>
      </w:r>
      <w:r>
        <w:rPr>
          <w:rFonts w:hint="eastAsia" w:ascii="宋体" w:hAnsi="宋体" w:eastAsia="宋体"/>
          <w:sz w:val="24"/>
          <w:szCs w:val="24"/>
          <w:u w:val="single"/>
        </w:rPr>
        <w:t xml:space="preserve">                                    </w:t>
      </w:r>
    </w:p>
    <w:p w14:paraId="59FBAA33">
      <w:pPr>
        <w:spacing w:line="360" w:lineRule="auto"/>
        <w:rPr>
          <w:rFonts w:hint="eastAsia" w:ascii="宋体" w:hAnsi="宋体" w:eastAsia="宋体"/>
          <w:sz w:val="24"/>
          <w:szCs w:val="24"/>
        </w:rPr>
      </w:pPr>
      <w:r>
        <w:rPr>
          <w:rFonts w:hint="eastAsia" w:ascii="宋体" w:hAnsi="宋体" w:eastAsia="宋体"/>
          <w:sz w:val="24"/>
          <w:szCs w:val="24"/>
        </w:rPr>
        <w:t>联系人：</w:t>
      </w:r>
      <w:r>
        <w:rPr>
          <w:rFonts w:hint="eastAsia" w:ascii="宋体" w:hAnsi="宋体" w:eastAsia="宋体"/>
          <w:sz w:val="24"/>
          <w:szCs w:val="24"/>
          <w:u w:val="single"/>
        </w:rPr>
        <w:t xml:space="preserve">                      </w:t>
      </w:r>
      <w:r>
        <w:rPr>
          <w:rFonts w:hint="eastAsia" w:ascii="宋体" w:hAnsi="宋体" w:eastAsia="宋体"/>
          <w:sz w:val="24"/>
          <w:szCs w:val="24"/>
        </w:rPr>
        <w:t>联系电话：</w:t>
      </w:r>
      <w:r>
        <w:rPr>
          <w:rFonts w:hint="eastAsia" w:ascii="宋体" w:hAnsi="宋体" w:eastAsia="宋体"/>
          <w:sz w:val="24"/>
          <w:szCs w:val="24"/>
          <w:u w:val="single"/>
        </w:rPr>
        <w:t xml:space="preserve">                                       </w:t>
      </w:r>
    </w:p>
    <w:p w14:paraId="3183B78C">
      <w:pPr>
        <w:spacing w:line="360" w:lineRule="auto"/>
        <w:rPr>
          <w:rFonts w:hint="eastAsia" w:ascii="宋体" w:hAnsi="宋体" w:eastAsia="宋体"/>
          <w:sz w:val="24"/>
          <w:szCs w:val="24"/>
        </w:rPr>
      </w:pPr>
      <w:r>
        <w:rPr>
          <w:rFonts w:hint="eastAsia" w:ascii="宋体" w:hAnsi="宋体" w:eastAsia="宋体"/>
          <w:sz w:val="24"/>
          <w:szCs w:val="24"/>
        </w:rPr>
        <w:t>授权代表：</w:t>
      </w:r>
      <w:r>
        <w:rPr>
          <w:rFonts w:hint="eastAsia" w:ascii="宋体" w:hAnsi="宋体" w:eastAsia="宋体"/>
          <w:sz w:val="24"/>
          <w:szCs w:val="24"/>
          <w:u w:val="single"/>
        </w:rPr>
        <w:t xml:space="preserve">                                                                 </w:t>
      </w:r>
    </w:p>
    <w:p w14:paraId="47AC9420">
      <w:pPr>
        <w:spacing w:line="360" w:lineRule="auto"/>
        <w:rPr>
          <w:rFonts w:hint="eastAsia" w:ascii="宋体" w:hAnsi="宋体" w:eastAsia="宋体"/>
          <w:sz w:val="24"/>
          <w:szCs w:val="24"/>
        </w:rPr>
      </w:pPr>
      <w:r>
        <w:rPr>
          <w:rFonts w:hint="eastAsia" w:ascii="宋体" w:hAnsi="宋体" w:eastAsia="宋体"/>
          <w:sz w:val="24"/>
          <w:szCs w:val="24"/>
        </w:rPr>
        <w:t>联系电话：</w:t>
      </w:r>
      <w:r>
        <w:rPr>
          <w:rFonts w:hint="eastAsia" w:ascii="宋体" w:hAnsi="宋体" w:eastAsia="宋体"/>
          <w:sz w:val="24"/>
          <w:szCs w:val="24"/>
          <w:u w:val="single"/>
        </w:rPr>
        <w:t xml:space="preserve">                                                                </w:t>
      </w:r>
    </w:p>
    <w:p w14:paraId="7E990975">
      <w:pPr>
        <w:spacing w:line="360" w:lineRule="auto"/>
        <w:rPr>
          <w:rFonts w:hint="eastAsia" w:ascii="宋体" w:hAnsi="宋体" w:eastAsia="宋体"/>
          <w:sz w:val="24"/>
          <w:szCs w:val="24"/>
        </w:rPr>
      </w:pPr>
      <w:r>
        <w:rPr>
          <w:rFonts w:hint="eastAsia" w:ascii="宋体" w:hAnsi="宋体" w:eastAsia="宋体"/>
          <w:sz w:val="24"/>
          <w:szCs w:val="24"/>
        </w:rPr>
        <w:t xml:space="preserve">地址： </w:t>
      </w:r>
      <w:r>
        <w:rPr>
          <w:rFonts w:hint="eastAsia" w:ascii="宋体" w:hAnsi="宋体" w:eastAsia="宋体"/>
          <w:sz w:val="24"/>
          <w:szCs w:val="24"/>
          <w:u w:val="single"/>
        </w:rPr>
        <w:t xml:space="preserve">                        </w:t>
      </w:r>
      <w:r>
        <w:rPr>
          <w:rFonts w:hint="eastAsia" w:ascii="宋体" w:hAnsi="宋体" w:eastAsia="宋体"/>
          <w:sz w:val="24"/>
          <w:szCs w:val="24"/>
        </w:rPr>
        <w:t>邮编：</w:t>
      </w:r>
      <w:r>
        <w:rPr>
          <w:rFonts w:hint="eastAsia" w:ascii="宋体" w:hAnsi="宋体" w:eastAsia="宋体"/>
          <w:sz w:val="24"/>
          <w:szCs w:val="24"/>
          <w:u w:val="single"/>
        </w:rPr>
        <w:t xml:space="preserve">                                     </w:t>
      </w:r>
    </w:p>
    <w:p w14:paraId="378EC765">
      <w:pPr>
        <w:spacing w:line="360" w:lineRule="auto"/>
        <w:rPr>
          <w:rFonts w:hint="eastAsia" w:ascii="宋体" w:hAnsi="宋体" w:eastAsia="宋体"/>
          <w:bCs/>
          <w:sz w:val="24"/>
          <w:szCs w:val="24"/>
        </w:rPr>
      </w:pPr>
      <w:r>
        <w:rPr>
          <w:rFonts w:hint="eastAsia" w:ascii="宋体" w:hAnsi="宋体" w:eastAsia="宋体"/>
          <w:bCs/>
          <w:sz w:val="24"/>
          <w:szCs w:val="24"/>
        </w:rPr>
        <w:t>二、质疑项目基本情况</w:t>
      </w:r>
    </w:p>
    <w:p w14:paraId="531021C9">
      <w:pPr>
        <w:spacing w:line="360" w:lineRule="auto"/>
        <w:rPr>
          <w:rFonts w:hint="eastAsia" w:ascii="宋体" w:hAnsi="宋体" w:eastAsia="宋体"/>
          <w:sz w:val="24"/>
          <w:szCs w:val="24"/>
        </w:rPr>
      </w:pPr>
      <w:r>
        <w:rPr>
          <w:rFonts w:hint="eastAsia" w:ascii="宋体" w:hAnsi="宋体" w:eastAsia="宋体"/>
          <w:sz w:val="24"/>
          <w:szCs w:val="24"/>
        </w:rPr>
        <w:t>质疑项目的名称：</w:t>
      </w:r>
      <w:r>
        <w:rPr>
          <w:rFonts w:hint="eastAsia" w:ascii="宋体" w:hAnsi="宋体" w:eastAsia="宋体"/>
          <w:sz w:val="24"/>
          <w:szCs w:val="24"/>
          <w:u w:val="single"/>
        </w:rPr>
        <w:t xml:space="preserve">                                                          </w:t>
      </w:r>
    </w:p>
    <w:p w14:paraId="1EE38495">
      <w:pPr>
        <w:spacing w:line="360" w:lineRule="auto"/>
        <w:rPr>
          <w:rFonts w:hint="eastAsia" w:ascii="宋体" w:hAnsi="宋体" w:eastAsia="宋体"/>
          <w:sz w:val="24"/>
          <w:szCs w:val="24"/>
        </w:rPr>
      </w:pPr>
      <w:r>
        <w:rPr>
          <w:rFonts w:hint="eastAsia" w:ascii="宋体" w:hAnsi="宋体" w:eastAsia="宋体"/>
          <w:sz w:val="24"/>
          <w:szCs w:val="24"/>
        </w:rPr>
        <w:t>质疑项目的编号：</w:t>
      </w:r>
      <w:r>
        <w:rPr>
          <w:rFonts w:hint="eastAsia" w:ascii="宋体" w:hAnsi="宋体" w:eastAsia="宋体"/>
          <w:sz w:val="24"/>
          <w:szCs w:val="24"/>
          <w:u w:val="single"/>
        </w:rPr>
        <w:t xml:space="preserve">                         </w:t>
      </w:r>
      <w:r>
        <w:rPr>
          <w:rFonts w:hint="eastAsia" w:ascii="宋体" w:hAnsi="宋体"/>
          <w:sz w:val="24"/>
          <w:szCs w:val="24"/>
          <w:highlight w:val="none"/>
          <w:lang w:val="en-US" w:eastAsia="zh-CN"/>
        </w:rPr>
        <w:t>标段</w:t>
      </w:r>
      <w:r>
        <w:rPr>
          <w:rFonts w:hint="eastAsia" w:ascii="宋体" w:hAnsi="宋体" w:eastAsia="宋体"/>
          <w:sz w:val="24"/>
          <w:szCs w:val="24"/>
          <w:highlight w:val="none"/>
        </w:rPr>
        <w:t>号：</w:t>
      </w:r>
      <w:r>
        <w:rPr>
          <w:rFonts w:hint="eastAsia" w:ascii="宋体" w:hAnsi="宋体" w:eastAsia="宋体"/>
          <w:sz w:val="24"/>
          <w:szCs w:val="24"/>
          <w:u w:val="single"/>
        </w:rPr>
        <w:t xml:space="preserve">                           </w:t>
      </w:r>
    </w:p>
    <w:p w14:paraId="3EE29E30">
      <w:pPr>
        <w:spacing w:line="360" w:lineRule="auto"/>
        <w:rPr>
          <w:rFonts w:hint="eastAsia" w:ascii="宋体" w:hAnsi="宋体" w:eastAsia="宋体"/>
          <w:sz w:val="24"/>
          <w:szCs w:val="24"/>
        </w:rPr>
      </w:pPr>
      <w:r>
        <w:rPr>
          <w:rFonts w:hint="eastAsia" w:ascii="宋体" w:hAnsi="宋体" w:eastAsia="宋体"/>
          <w:sz w:val="24"/>
          <w:szCs w:val="24"/>
        </w:rPr>
        <w:t>采购人名称：</w:t>
      </w:r>
      <w:r>
        <w:rPr>
          <w:rFonts w:hint="eastAsia" w:ascii="宋体" w:hAnsi="宋体" w:eastAsia="宋体"/>
          <w:sz w:val="24"/>
          <w:szCs w:val="24"/>
          <w:u w:val="single"/>
        </w:rPr>
        <w:t xml:space="preserve">                                                              </w:t>
      </w:r>
    </w:p>
    <w:p w14:paraId="354D613E">
      <w:pPr>
        <w:spacing w:line="360" w:lineRule="auto"/>
        <w:rPr>
          <w:rFonts w:hint="eastAsia" w:ascii="宋体" w:hAnsi="宋体" w:eastAsia="宋体"/>
          <w:sz w:val="24"/>
          <w:szCs w:val="24"/>
        </w:rPr>
      </w:pPr>
      <w:r>
        <w:rPr>
          <w:rFonts w:hint="eastAsia" w:ascii="宋体" w:hAnsi="宋体" w:eastAsia="宋体"/>
          <w:sz w:val="24"/>
          <w:szCs w:val="24"/>
        </w:rPr>
        <w:t>采购文件获取日期：</w:t>
      </w:r>
      <w:r>
        <w:rPr>
          <w:rFonts w:hint="eastAsia" w:ascii="宋体" w:hAnsi="宋体" w:eastAsia="宋体"/>
          <w:sz w:val="24"/>
          <w:szCs w:val="24"/>
          <w:u w:val="single"/>
        </w:rPr>
        <w:t xml:space="preserve">                                                        </w:t>
      </w:r>
    </w:p>
    <w:p w14:paraId="2234C1F9">
      <w:pPr>
        <w:spacing w:line="360" w:lineRule="auto"/>
        <w:rPr>
          <w:rFonts w:hint="eastAsia" w:ascii="宋体" w:hAnsi="宋体" w:eastAsia="宋体"/>
          <w:bCs/>
          <w:sz w:val="24"/>
          <w:szCs w:val="24"/>
        </w:rPr>
      </w:pPr>
      <w:r>
        <w:rPr>
          <w:rFonts w:hint="eastAsia" w:ascii="宋体" w:hAnsi="宋体" w:eastAsia="宋体"/>
          <w:bCs/>
          <w:sz w:val="24"/>
          <w:szCs w:val="24"/>
        </w:rPr>
        <w:t>三、质疑事项具体内容</w:t>
      </w:r>
    </w:p>
    <w:p w14:paraId="5B8701C7">
      <w:pPr>
        <w:spacing w:line="360" w:lineRule="auto"/>
        <w:rPr>
          <w:rFonts w:hint="eastAsia" w:ascii="宋体" w:hAnsi="宋体" w:eastAsia="宋体"/>
          <w:sz w:val="24"/>
          <w:szCs w:val="24"/>
        </w:rPr>
      </w:pPr>
      <w:r>
        <w:rPr>
          <w:rFonts w:hint="eastAsia" w:ascii="宋体" w:hAnsi="宋体" w:eastAsia="宋体"/>
          <w:sz w:val="24"/>
          <w:szCs w:val="24"/>
        </w:rPr>
        <w:t>质疑事项1：</w:t>
      </w:r>
      <w:r>
        <w:rPr>
          <w:rFonts w:hint="eastAsia" w:ascii="宋体" w:hAnsi="宋体" w:eastAsia="宋体"/>
          <w:sz w:val="24"/>
          <w:szCs w:val="24"/>
          <w:u w:val="single"/>
        </w:rPr>
        <w:t xml:space="preserve">                                                              </w:t>
      </w:r>
    </w:p>
    <w:p w14:paraId="1EEE42D3">
      <w:pPr>
        <w:spacing w:line="360" w:lineRule="auto"/>
        <w:rPr>
          <w:rFonts w:hint="eastAsia" w:ascii="宋体" w:hAnsi="宋体" w:eastAsia="宋体"/>
          <w:sz w:val="24"/>
          <w:szCs w:val="24"/>
        </w:rPr>
      </w:pPr>
      <w:r>
        <w:rPr>
          <w:rFonts w:hint="eastAsia" w:ascii="宋体" w:hAnsi="宋体" w:eastAsia="宋体"/>
          <w:sz w:val="24"/>
          <w:szCs w:val="24"/>
        </w:rPr>
        <w:t>事实依据：</w:t>
      </w:r>
      <w:r>
        <w:rPr>
          <w:rFonts w:hint="eastAsia" w:ascii="宋体" w:hAnsi="宋体" w:eastAsia="宋体"/>
          <w:sz w:val="24"/>
          <w:szCs w:val="24"/>
          <w:u w:val="single"/>
        </w:rPr>
        <w:t xml:space="preserve">                                                                </w:t>
      </w:r>
    </w:p>
    <w:p w14:paraId="31573935">
      <w:pPr>
        <w:spacing w:line="360" w:lineRule="auto"/>
        <w:rPr>
          <w:rFonts w:hint="eastAsia" w:ascii="宋体" w:hAnsi="宋体" w:eastAsia="宋体"/>
          <w:sz w:val="24"/>
          <w:szCs w:val="24"/>
          <w:u w:val="single"/>
        </w:rPr>
      </w:pPr>
      <w:r>
        <w:rPr>
          <w:rFonts w:hint="eastAsia" w:ascii="宋体" w:hAnsi="宋体" w:eastAsia="宋体"/>
          <w:sz w:val="24"/>
          <w:szCs w:val="24"/>
          <w:u w:val="single"/>
        </w:rPr>
        <w:t xml:space="preserve">                                                                           </w:t>
      </w:r>
    </w:p>
    <w:p w14:paraId="757CE8A6">
      <w:pPr>
        <w:spacing w:line="360" w:lineRule="auto"/>
        <w:rPr>
          <w:rFonts w:hint="eastAsia" w:ascii="宋体" w:hAnsi="宋体" w:eastAsia="宋体"/>
          <w:sz w:val="24"/>
          <w:szCs w:val="24"/>
        </w:rPr>
      </w:pPr>
      <w:r>
        <w:rPr>
          <w:rFonts w:hint="eastAsia" w:ascii="宋体" w:hAnsi="宋体" w:eastAsia="宋体"/>
          <w:sz w:val="24"/>
          <w:szCs w:val="24"/>
        </w:rPr>
        <w:t>法律依据：</w:t>
      </w:r>
      <w:r>
        <w:rPr>
          <w:rFonts w:hint="eastAsia" w:ascii="宋体" w:hAnsi="宋体" w:eastAsia="宋体"/>
          <w:sz w:val="24"/>
          <w:szCs w:val="24"/>
          <w:u w:val="single"/>
        </w:rPr>
        <w:t xml:space="preserve">                                                                 </w:t>
      </w:r>
    </w:p>
    <w:p w14:paraId="43609B2C">
      <w:pPr>
        <w:spacing w:line="360" w:lineRule="auto"/>
        <w:rPr>
          <w:rFonts w:hint="eastAsia" w:ascii="宋体" w:hAnsi="宋体" w:eastAsia="宋体"/>
          <w:sz w:val="24"/>
          <w:szCs w:val="24"/>
          <w:u w:val="single"/>
        </w:rPr>
      </w:pPr>
      <w:r>
        <w:rPr>
          <w:rFonts w:hint="eastAsia" w:ascii="宋体" w:hAnsi="宋体" w:eastAsia="宋体"/>
          <w:sz w:val="24"/>
          <w:szCs w:val="24"/>
          <w:u w:val="single"/>
        </w:rPr>
        <w:t xml:space="preserve">                                                                           </w:t>
      </w:r>
    </w:p>
    <w:p w14:paraId="79E59AF0">
      <w:pPr>
        <w:spacing w:line="360" w:lineRule="auto"/>
        <w:rPr>
          <w:rFonts w:hint="eastAsia" w:ascii="宋体" w:hAnsi="宋体" w:eastAsia="宋体"/>
          <w:sz w:val="24"/>
          <w:szCs w:val="24"/>
        </w:rPr>
      </w:pPr>
      <w:r>
        <w:rPr>
          <w:rFonts w:hint="eastAsia" w:ascii="宋体" w:hAnsi="宋体" w:eastAsia="宋体"/>
          <w:sz w:val="24"/>
          <w:szCs w:val="24"/>
        </w:rPr>
        <w:t>质疑事项2</w:t>
      </w:r>
    </w:p>
    <w:p w14:paraId="03804D0C">
      <w:pPr>
        <w:spacing w:line="360" w:lineRule="auto"/>
        <w:rPr>
          <w:rFonts w:hint="eastAsia" w:ascii="宋体" w:hAnsi="宋体" w:eastAsia="宋体"/>
          <w:sz w:val="24"/>
          <w:szCs w:val="24"/>
        </w:rPr>
      </w:pPr>
      <w:r>
        <w:rPr>
          <w:rFonts w:hint="eastAsia" w:ascii="宋体" w:hAnsi="宋体" w:eastAsia="宋体"/>
          <w:sz w:val="24"/>
          <w:szCs w:val="24"/>
        </w:rPr>
        <w:t>……</w:t>
      </w:r>
    </w:p>
    <w:p w14:paraId="739E998A">
      <w:pPr>
        <w:spacing w:line="360" w:lineRule="auto"/>
        <w:rPr>
          <w:rFonts w:hint="eastAsia" w:ascii="宋体" w:hAnsi="宋体" w:eastAsia="宋体"/>
          <w:bCs/>
          <w:sz w:val="24"/>
          <w:szCs w:val="24"/>
        </w:rPr>
      </w:pPr>
      <w:r>
        <w:rPr>
          <w:rFonts w:hint="eastAsia" w:ascii="宋体" w:hAnsi="宋体" w:eastAsia="宋体"/>
          <w:bCs/>
          <w:sz w:val="24"/>
          <w:szCs w:val="24"/>
        </w:rPr>
        <w:t>四、与质疑事项相关的质疑请求</w:t>
      </w:r>
    </w:p>
    <w:p w14:paraId="0EA51D25">
      <w:pPr>
        <w:spacing w:line="360" w:lineRule="auto"/>
        <w:rPr>
          <w:rFonts w:hint="eastAsia" w:ascii="宋体" w:hAnsi="宋体" w:eastAsia="宋体"/>
          <w:sz w:val="24"/>
          <w:szCs w:val="24"/>
        </w:rPr>
      </w:pPr>
      <w:r>
        <w:rPr>
          <w:rFonts w:hint="eastAsia" w:ascii="宋体" w:hAnsi="宋体" w:eastAsia="宋体"/>
          <w:sz w:val="24"/>
          <w:szCs w:val="24"/>
        </w:rPr>
        <w:t>请求：</w:t>
      </w:r>
      <w:r>
        <w:rPr>
          <w:rFonts w:hint="eastAsia" w:ascii="宋体" w:hAnsi="宋体" w:eastAsia="宋体"/>
          <w:sz w:val="24"/>
          <w:szCs w:val="24"/>
          <w:u w:val="single"/>
        </w:rPr>
        <w:t xml:space="preserve">                                                                     </w:t>
      </w:r>
    </w:p>
    <w:p w14:paraId="4B960C36">
      <w:pPr>
        <w:spacing w:line="360" w:lineRule="auto"/>
        <w:rPr>
          <w:rFonts w:hint="eastAsia" w:ascii="宋体" w:hAnsi="宋体" w:eastAsia="宋体"/>
          <w:sz w:val="24"/>
          <w:szCs w:val="24"/>
        </w:rPr>
      </w:pPr>
      <w:r>
        <w:rPr>
          <w:rFonts w:hint="eastAsia" w:ascii="宋体" w:hAnsi="宋体" w:eastAsia="宋体"/>
          <w:sz w:val="24"/>
          <w:szCs w:val="24"/>
        </w:rPr>
        <w:t>签字(签章</w:t>
      </w:r>
      <w:r>
        <w:rPr>
          <w:rFonts w:hint="eastAsia" w:ascii="宋体" w:hAnsi="宋体" w:eastAsia="宋体"/>
          <w:sz w:val="24"/>
          <w:szCs w:val="24"/>
          <w:lang w:eastAsia="zh-CN"/>
        </w:rPr>
        <w:t>）</w:t>
      </w:r>
      <w:r>
        <w:rPr>
          <w:rFonts w:hint="eastAsia" w:ascii="宋体" w:hAnsi="宋体" w:eastAsia="宋体"/>
          <w:sz w:val="24"/>
          <w:szCs w:val="24"/>
        </w:rPr>
        <w:t xml:space="preserve">：                   公章：                      </w:t>
      </w:r>
    </w:p>
    <w:p w14:paraId="519D413F">
      <w:pPr>
        <w:spacing w:line="360" w:lineRule="auto"/>
        <w:rPr>
          <w:rFonts w:hint="eastAsia" w:ascii="宋体" w:hAnsi="宋体" w:eastAsia="宋体"/>
          <w:sz w:val="24"/>
          <w:szCs w:val="24"/>
        </w:rPr>
      </w:pPr>
      <w:r>
        <w:rPr>
          <w:rFonts w:hint="eastAsia" w:ascii="宋体" w:hAnsi="宋体" w:eastAsia="宋体"/>
          <w:sz w:val="24"/>
          <w:szCs w:val="24"/>
        </w:rPr>
        <w:t xml:space="preserve">日期：    </w:t>
      </w:r>
    </w:p>
    <w:p w14:paraId="5FA7369A">
      <w:pPr>
        <w:spacing w:line="360" w:lineRule="auto"/>
        <w:rPr>
          <w:rFonts w:hint="eastAsia" w:ascii="宋体" w:hAnsi="宋体" w:eastAsia="宋体"/>
          <w:b/>
          <w:sz w:val="24"/>
          <w:szCs w:val="24"/>
        </w:rPr>
      </w:pPr>
      <w:r>
        <w:rPr>
          <w:rFonts w:hint="eastAsia" w:ascii="宋体" w:hAnsi="宋体" w:eastAsia="宋体"/>
          <w:b/>
          <w:sz w:val="24"/>
          <w:szCs w:val="24"/>
        </w:rPr>
        <w:t>质疑函制作说明：</w:t>
      </w:r>
    </w:p>
    <w:p w14:paraId="559A495F">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1.供应商提出质疑时，应提交质疑函和必要的证明材料。</w:t>
      </w:r>
    </w:p>
    <w:p w14:paraId="6A1633D2">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CCD2CBC">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3.质疑供应商若对项目的某一</w:t>
      </w:r>
      <w:r>
        <w:rPr>
          <w:rFonts w:hint="eastAsia" w:ascii="宋体" w:hAnsi="宋体"/>
          <w:sz w:val="24"/>
          <w:szCs w:val="24"/>
          <w:highlight w:val="none"/>
          <w:lang w:val="en-US" w:eastAsia="zh-CN"/>
        </w:rPr>
        <w:t>标段</w:t>
      </w:r>
      <w:r>
        <w:rPr>
          <w:rFonts w:hint="eastAsia" w:ascii="宋体" w:hAnsi="宋体" w:eastAsia="宋体"/>
          <w:sz w:val="24"/>
          <w:szCs w:val="24"/>
        </w:rPr>
        <w:t>进行质疑，质疑函中应列明具体</w:t>
      </w:r>
      <w:r>
        <w:rPr>
          <w:rFonts w:hint="eastAsia" w:ascii="宋体" w:hAnsi="宋体"/>
          <w:sz w:val="24"/>
          <w:szCs w:val="24"/>
          <w:lang w:eastAsia="zh-CN"/>
        </w:rPr>
        <w:t>标段编号</w:t>
      </w:r>
      <w:r>
        <w:rPr>
          <w:rFonts w:hint="eastAsia" w:ascii="宋体" w:hAnsi="宋体" w:eastAsia="宋体"/>
          <w:sz w:val="24"/>
          <w:szCs w:val="24"/>
        </w:rPr>
        <w:t>。</w:t>
      </w:r>
    </w:p>
    <w:p w14:paraId="04A6FE70">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4.质疑函的质疑事项应具体、明确，并有必要的事实依据和法律依据。</w:t>
      </w:r>
    </w:p>
    <w:p w14:paraId="508E7C63">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5.质疑函的质疑请求应与质疑事项相关。</w:t>
      </w:r>
    </w:p>
    <w:p w14:paraId="0B27E19C">
      <w:pPr>
        <w:widowControl/>
        <w:spacing w:line="360" w:lineRule="auto"/>
        <w:ind w:firstLine="480"/>
        <w:jc w:val="left"/>
        <w:rPr>
          <w:rFonts w:hint="eastAsia" w:ascii="宋体" w:hAnsi="宋体" w:eastAsia="宋体"/>
          <w:sz w:val="24"/>
          <w:szCs w:val="24"/>
        </w:rPr>
      </w:pPr>
      <w:r>
        <w:rPr>
          <w:rFonts w:hint="eastAsia" w:ascii="宋体" w:hAnsi="宋体" w:eastAsia="宋体"/>
          <w:sz w:val="24"/>
          <w:szCs w:val="24"/>
        </w:rPr>
        <w:t>6.质疑供应商为自然人的，质疑函应由本人签字；质疑供应商为法人或者其他组织的，质疑函应由法定代表人、主要负责人，或者其授权代表签字或者盖章，并加盖公章。</w:t>
      </w:r>
    </w:p>
    <w:p w14:paraId="24AC5967">
      <w:pPr>
        <w:pStyle w:val="195"/>
        <w:spacing w:line="360" w:lineRule="auto"/>
        <w:rPr>
          <w:rFonts w:hint="eastAsia" w:ascii="宋体" w:hAnsi="宋体" w:eastAsia="宋体"/>
          <w:sz w:val="24"/>
          <w:szCs w:val="24"/>
        </w:rPr>
      </w:pPr>
    </w:p>
    <w:p w14:paraId="701E994F">
      <w:pPr>
        <w:pStyle w:val="195"/>
        <w:rPr>
          <w:color w:val="auto"/>
          <w:sz w:val="24"/>
          <w:szCs w:val="24"/>
          <w:highlight w:val="none"/>
        </w:rPr>
      </w:pPr>
    </w:p>
    <w:sectPr>
      <w:footerReference r:id="rId7" w:type="first"/>
      <w:footerReference r:id="rId6" w:type="default"/>
      <w:pgSz w:w="11906" w:h="16838"/>
      <w:pgMar w:top="1418" w:right="1588" w:bottom="1418" w:left="1365" w:header="851" w:footer="907" w:gutter="0"/>
      <w:pgBorders>
        <w:top w:val="none" w:sz="0" w:space="0"/>
        <w:left w:val="none" w:sz="0" w:space="0"/>
        <w:bottom w:val="none" w:sz="0" w:space="0"/>
        <w:right w:val="none" w:sz="0" w:space="0"/>
      </w:pgBorders>
      <w:pgNumType w:start="1"/>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S Mincho">
    <w:altName w:val="Segoe Print"/>
    <w:panose1 w:val="02020603050405090304"/>
    <w:charset w:val="00"/>
    <w:family w:val="auto"/>
    <w:pitch w:val="default"/>
    <w:sig w:usb0="00000000" w:usb1="00000000" w:usb2="00000000" w:usb3="00000000" w:csb0="00000000" w:csb1="00000000"/>
  </w:font>
  <w:font w:name="幼圆">
    <w:altName w:val="Yu Gothic UI"/>
    <w:panose1 w:val="02010509060101010101"/>
    <w:charset w:val="00"/>
    <w:family w:val="auto"/>
    <w:pitch w:val="default"/>
    <w:sig w:usb0="00000000" w:usb1="00000000" w:usb2="00000000" w:usb3="00000000" w:csb0="00000000" w:csb1="00000000"/>
  </w:font>
  <w:font w:name="PMingLiU">
    <w:altName w:val="Sitka Text"/>
    <w:panose1 w:val="020205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Arial Unicode MS">
    <w:altName w:val="Arial"/>
    <w:panose1 w:val="020B0604020202020204"/>
    <w:charset w:val="00"/>
    <w:family w:val="auto"/>
    <w:pitch w:val="default"/>
    <w:sig w:usb0="00000000" w:usb1="00000000" w:usb2="00000000" w:usb3="00000000" w:csb0="00000000" w:csb1="00000000"/>
  </w:font>
  <w:font w:name="方正黑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howcard Gothic">
    <w:altName w:val="Segoe Print"/>
    <w:panose1 w:val="00000000000000000000"/>
    <w:charset w:val="00"/>
    <w:family w:val="decorative"/>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EB1ED">
    <w:pPr>
      <w:pStyle w:val="238"/>
      <w:jc w:val="center"/>
      <w:rPr>
        <w:rFonts w:hint="eastAsia" w:eastAsia="宋体"/>
        <w:b/>
        <w:i/>
        <w:lang w:val="en-US" w:eastAsia="zh-CN"/>
      </w:rPr>
    </w:pPr>
    <w:r>
      <w:rPr>
        <w:b/>
        <w:i/>
        <w:sz w:val="20"/>
      </w:rPr>
      <w:t xml:space="preserve"> </w:t>
    </w:r>
    <w:r>
      <w:rPr>
        <w:rFonts w:hint="eastAsia"/>
        <w:b/>
        <w:i/>
        <w:sz w:val="20"/>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B69B">
    <w:pPr>
      <w:pStyle w:val="23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54CB2">
    <w:pPr>
      <w:pStyle w:val="238"/>
      <w:framePr w:wrap="around" w:vAnchor="text" w:hAnchor="margin" w:xAlign="center" w:y="1"/>
      <w:rPr>
        <w:rStyle w:val="264"/>
        <w:rFonts w:hint="eastAsia" w:ascii="宋体" w:hAnsi="宋体" w:eastAsia="宋体" w:cs="宋体"/>
        <w:sz w:val="18"/>
        <w:szCs w:val="18"/>
      </w:rPr>
    </w:pPr>
    <w:r>
      <w:rPr>
        <w:rFonts w:hint="eastAsia" w:ascii="宋体" w:hAnsi="宋体" w:eastAsia="宋体" w:cs="宋体"/>
        <w:sz w:val="18"/>
        <w:szCs w:val="18"/>
      </w:rPr>
      <w:fldChar w:fldCharType="begin"/>
    </w:r>
    <w:r>
      <w:rPr>
        <w:rStyle w:val="264"/>
        <w:rFonts w:hint="eastAsia" w:ascii="宋体" w:hAnsi="宋体" w:eastAsia="宋体" w:cs="宋体"/>
        <w:sz w:val="18"/>
        <w:szCs w:val="18"/>
      </w:rPr>
      <w:instrText xml:space="preserve">PAGE  </w:instrText>
    </w:r>
    <w:r>
      <w:rPr>
        <w:rFonts w:hint="eastAsia" w:ascii="宋体" w:hAnsi="宋体" w:eastAsia="宋体" w:cs="宋体"/>
        <w:sz w:val="18"/>
        <w:szCs w:val="18"/>
      </w:rPr>
      <w:fldChar w:fldCharType="separate"/>
    </w:r>
    <w:r>
      <w:rPr>
        <w:rStyle w:val="264"/>
        <w:rFonts w:hint="eastAsia" w:ascii="宋体" w:hAnsi="宋体" w:eastAsia="宋体" w:cs="宋体"/>
        <w:sz w:val="18"/>
        <w:szCs w:val="18"/>
      </w:rPr>
      <w:t>３５</w:t>
    </w:r>
    <w:r>
      <w:rPr>
        <w:rFonts w:hint="eastAsia" w:ascii="宋体" w:hAnsi="宋体" w:eastAsia="宋体" w:cs="宋体"/>
        <w:sz w:val="18"/>
        <w:szCs w:val="18"/>
      </w:rPr>
      <w:fldChar w:fldCharType="end"/>
    </w:r>
  </w:p>
  <w:p w14:paraId="582BA3B8">
    <w:pPr>
      <w:pStyle w:val="238"/>
      <w:jc w:val="center"/>
      <w:rPr>
        <w:rFonts w:hint="eastAsia" w:eastAsia="宋体"/>
        <w:b/>
        <w:i/>
        <w:lang w:val="en-US" w:eastAsia="zh-CN"/>
      </w:rPr>
    </w:pPr>
    <w:r>
      <w:rPr>
        <w:b/>
        <w:i/>
        <w:sz w:val="20"/>
      </w:rPr>
      <w:t xml:space="preserve"> </w:t>
    </w:r>
    <w:r>
      <w:rPr>
        <w:rFonts w:hint="eastAsia"/>
        <w:b/>
        <w:i/>
        <w:sz w:val="20"/>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DB51B">
    <w:pPr>
      <w:pStyle w:val="23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5D09">
    <w:pPr>
      <w:pStyle w:val="240"/>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27C56"/>
    <w:multiLevelType w:val="multilevel"/>
    <w:tmpl w:val="96E27C56"/>
    <w:lvl w:ilvl="0" w:tentative="0">
      <w:start w:val="1"/>
      <w:numFmt w:val="chineseCounting"/>
      <w:suff w:val="space"/>
      <w:lvlText w:val="第%1章"/>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9CD6D2FD"/>
    <w:multiLevelType w:val="multilevel"/>
    <w:tmpl w:val="9CD6D2FD"/>
    <w:lvl w:ilvl="0" w:tentative="0">
      <w:start w:val="1"/>
      <w:numFmt w:val="decimal"/>
      <w:pStyle w:val="29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A821A09C"/>
    <w:multiLevelType w:val="multilevel"/>
    <w:tmpl w:val="A821A09C"/>
    <w:lvl w:ilvl="0" w:tentative="0">
      <w:start w:val="8"/>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A8D523BE"/>
    <w:multiLevelType w:val="multilevel"/>
    <w:tmpl w:val="A8D523BE"/>
    <w:lvl w:ilvl="0" w:tentative="0">
      <w:start w:val="1"/>
      <w:numFmt w:val="upperLetter"/>
      <w:pStyle w:val="279"/>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112943EA"/>
    <w:multiLevelType w:val="multilevel"/>
    <w:tmpl w:val="112943E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C10EAA2"/>
    <w:multiLevelType w:val="multilevel"/>
    <w:tmpl w:val="1C10EAA2"/>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198"/>
      <w:suff w:val="nothing"/>
      <w:lvlText w:val=""/>
      <w:lvlJc w:val="left"/>
      <w:pPr>
        <w:ind w:left="0" w:firstLine="0"/>
      </w:pPr>
      <w:rPr>
        <w:rFonts w:hint="eastAsia"/>
      </w:rPr>
    </w:lvl>
    <w:lvl w:ilvl="6" w:tentative="0">
      <w:start w:val="1"/>
      <w:numFmt w:val="decimal"/>
      <w:pStyle w:val="199"/>
      <w:suff w:val="nothing"/>
      <w:lvlText w:val=""/>
      <w:lvlJc w:val="left"/>
      <w:pPr>
        <w:ind w:left="0" w:firstLine="0"/>
      </w:pPr>
      <w:rPr>
        <w:rFonts w:hint="eastAsia"/>
      </w:rPr>
    </w:lvl>
    <w:lvl w:ilvl="7" w:tentative="0">
      <w:start w:val="1"/>
      <w:numFmt w:val="decimal"/>
      <w:pStyle w:val="200"/>
      <w:suff w:val="nothing"/>
      <w:lvlText w:val=""/>
      <w:lvlJc w:val="left"/>
      <w:pPr>
        <w:ind w:left="0" w:firstLine="0"/>
      </w:pPr>
      <w:rPr>
        <w:rFonts w:hint="eastAsia"/>
      </w:rPr>
    </w:lvl>
    <w:lvl w:ilvl="8" w:tentative="0">
      <w:start w:val="1"/>
      <w:numFmt w:val="decimal"/>
      <w:pStyle w:val="201"/>
      <w:suff w:val="nothing"/>
      <w:lvlText w:val=""/>
      <w:lvlJc w:val="left"/>
      <w:pPr>
        <w:ind w:left="0" w:firstLine="0"/>
      </w:pPr>
      <w:rPr>
        <w:rFonts w:hint="eastAsia"/>
      </w:rPr>
    </w:lvl>
  </w:abstractNum>
  <w:abstractNum w:abstractNumId="6">
    <w:nsid w:val="629F7852"/>
    <w:multiLevelType w:val="multilevel"/>
    <w:tmpl w:val="629F7852"/>
    <w:lvl w:ilvl="0" w:tentative="0">
      <w:start w:val="1"/>
      <w:numFmt w:val="japaneseCounting"/>
      <w:lvlText w:val="第%1章"/>
      <w:lvlJc w:val="left"/>
      <w:pPr>
        <w:tabs>
          <w:tab w:val="left" w:pos="1440"/>
        </w:tabs>
        <w:ind w:left="1440" w:hanging="1440"/>
      </w:pPr>
      <w:rPr>
        <w:rFonts w:hint="eastAsia" w:ascii="黑体" w:eastAsia="黑体"/>
        <w:b w:val="0"/>
        <w:sz w:val="36"/>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yNzc1MThhMjg3OGI0MTg3YzBlNTRlMDJmOGFmM2MifQ=="/>
  </w:docVars>
  <w:rsids>
    <w:rsidRoot w:val="00000000"/>
    <w:rsid w:val="0BBB5879"/>
    <w:rsid w:val="110F0353"/>
    <w:rsid w:val="114867AC"/>
    <w:rsid w:val="15EB2300"/>
    <w:rsid w:val="2A40615F"/>
    <w:rsid w:val="2AE01F34"/>
    <w:rsid w:val="2B5B16E7"/>
    <w:rsid w:val="2FE24AAF"/>
    <w:rsid w:val="35DA635B"/>
    <w:rsid w:val="3684230E"/>
    <w:rsid w:val="38C3585F"/>
    <w:rsid w:val="3F187690"/>
    <w:rsid w:val="468D1E31"/>
    <w:rsid w:val="4A0329EB"/>
    <w:rsid w:val="4C2D2C83"/>
    <w:rsid w:val="4F255848"/>
    <w:rsid w:val="57672177"/>
    <w:rsid w:val="59D32AE1"/>
    <w:rsid w:val="5C7B67CF"/>
    <w:rsid w:val="60A977CB"/>
    <w:rsid w:val="63737AA4"/>
    <w:rsid w:val="64047D3A"/>
    <w:rsid w:val="6558033E"/>
    <w:rsid w:val="6ACC6187"/>
    <w:rsid w:val="75BE7D6F"/>
    <w:rsid w:val="7A3F2A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qFormat="1"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17"/>
    <w:qFormat/>
    <w:uiPriority w:val="0"/>
    <w:pPr>
      <w:widowControl w:val="0"/>
      <w:jc w:val="both"/>
    </w:pPr>
    <w:rPr>
      <w:rFonts w:hint="default" w:ascii="Times New Roman" w:hAnsi="Times New Roman" w:eastAsia="宋体" w:cs="Times New Roman"/>
      <w:sz w:val="21"/>
      <w:szCs w:val="21"/>
      <w:lang w:val="en-US" w:eastAsia="zh-CN" w:bidi="ar-SA"/>
    </w:rPr>
  </w:style>
  <w:style w:type="paragraph" w:styleId="3">
    <w:name w:val="heading 1"/>
    <w:basedOn w:val="1"/>
    <w:next w:val="1"/>
    <w:link w:val="44"/>
    <w:qFormat/>
    <w:uiPriority w:val="9"/>
    <w:pPr>
      <w:keepNext/>
      <w:keepLines/>
      <w:spacing w:before="480" w:after="200"/>
      <w:outlineLvl w:val="0"/>
    </w:pPr>
    <w:rPr>
      <w:rFonts w:ascii="Arial" w:hAnsi="Arial" w:eastAsia="Arial" w:cs="Arial"/>
      <w:sz w:val="40"/>
      <w:szCs w:val="40"/>
    </w:rPr>
  </w:style>
  <w:style w:type="paragraph" w:styleId="4">
    <w:name w:val="heading 2"/>
    <w:basedOn w:val="1"/>
    <w:next w:val="1"/>
    <w:link w:val="45"/>
    <w:unhideWhenUsed/>
    <w:qFormat/>
    <w:uiPriority w:val="9"/>
    <w:pPr>
      <w:keepNext/>
      <w:keepLines/>
      <w:spacing w:before="360" w:after="200"/>
      <w:outlineLvl w:val="1"/>
    </w:pPr>
    <w:rPr>
      <w:rFonts w:ascii="Arial" w:hAnsi="Arial" w:eastAsia="Arial" w:cs="Arial"/>
      <w:sz w:val="34"/>
    </w:rPr>
  </w:style>
  <w:style w:type="paragraph" w:styleId="5">
    <w:name w:val="heading 3"/>
    <w:basedOn w:val="1"/>
    <w:next w:val="1"/>
    <w:link w:val="46"/>
    <w:unhideWhenUsed/>
    <w:qFormat/>
    <w:uiPriority w:val="9"/>
    <w:pPr>
      <w:keepNext/>
      <w:keepLines/>
      <w:spacing w:before="320" w:after="200"/>
      <w:outlineLvl w:val="2"/>
    </w:pPr>
    <w:rPr>
      <w:rFonts w:ascii="Arial" w:hAnsi="Arial" w:eastAsia="Arial" w:cs="Arial"/>
      <w:sz w:val="30"/>
      <w:szCs w:val="30"/>
    </w:rPr>
  </w:style>
  <w:style w:type="paragraph" w:styleId="6">
    <w:name w:val="heading 4"/>
    <w:basedOn w:val="1"/>
    <w:next w:val="1"/>
    <w:link w:val="47"/>
    <w:unhideWhenUsed/>
    <w:qFormat/>
    <w:uiPriority w:val="9"/>
    <w:pPr>
      <w:keepNext/>
      <w:keepLines/>
      <w:spacing w:before="320" w:after="200"/>
      <w:outlineLvl w:val="3"/>
    </w:pPr>
    <w:rPr>
      <w:rFonts w:ascii="Arial" w:hAnsi="Arial" w:eastAsia="Arial" w:cs="Arial"/>
      <w:b/>
      <w:bCs/>
      <w:sz w:val="26"/>
      <w:szCs w:val="26"/>
    </w:rPr>
  </w:style>
  <w:style w:type="paragraph" w:styleId="7">
    <w:name w:val="heading 5"/>
    <w:basedOn w:val="1"/>
    <w:next w:val="1"/>
    <w:link w:val="48"/>
    <w:unhideWhenUsed/>
    <w:qFormat/>
    <w:uiPriority w:val="9"/>
    <w:pPr>
      <w:keepNext/>
      <w:keepLines/>
      <w:spacing w:before="320" w:after="200"/>
      <w:outlineLvl w:val="4"/>
    </w:pPr>
    <w:rPr>
      <w:rFonts w:ascii="Arial" w:hAnsi="Arial" w:eastAsia="Arial" w:cs="Arial"/>
      <w:b/>
      <w:bCs/>
      <w:sz w:val="24"/>
      <w:szCs w:val="24"/>
    </w:rPr>
  </w:style>
  <w:style w:type="paragraph" w:styleId="8">
    <w:name w:val="heading 6"/>
    <w:basedOn w:val="1"/>
    <w:next w:val="1"/>
    <w:link w:val="49"/>
    <w:unhideWhenUsed/>
    <w:qFormat/>
    <w:uiPriority w:val="9"/>
    <w:pPr>
      <w:keepNext/>
      <w:keepLines/>
      <w:spacing w:before="320" w:after="200"/>
      <w:outlineLvl w:val="5"/>
    </w:pPr>
    <w:rPr>
      <w:rFonts w:ascii="Arial" w:hAnsi="Arial" w:eastAsia="Arial" w:cs="Arial"/>
      <w:b/>
      <w:bCs/>
      <w:sz w:val="22"/>
      <w:szCs w:val="22"/>
    </w:rPr>
  </w:style>
  <w:style w:type="paragraph" w:styleId="9">
    <w:name w:val="heading 7"/>
    <w:basedOn w:val="1"/>
    <w:next w:val="1"/>
    <w:link w:val="50"/>
    <w:unhideWhenUsed/>
    <w:qFormat/>
    <w:uiPriority w:val="9"/>
    <w:pPr>
      <w:keepNext/>
      <w:keepLines/>
      <w:spacing w:before="320" w:after="200"/>
      <w:outlineLvl w:val="6"/>
    </w:pPr>
    <w:rPr>
      <w:rFonts w:ascii="Arial" w:hAnsi="Arial" w:eastAsia="Arial" w:cs="Arial"/>
      <w:b/>
      <w:bCs/>
      <w:i/>
      <w:iCs/>
      <w:sz w:val="22"/>
      <w:szCs w:val="22"/>
    </w:rPr>
  </w:style>
  <w:style w:type="paragraph" w:styleId="10">
    <w:name w:val="heading 8"/>
    <w:basedOn w:val="1"/>
    <w:next w:val="1"/>
    <w:link w:val="51"/>
    <w:unhideWhenUsed/>
    <w:qFormat/>
    <w:uiPriority w:val="9"/>
    <w:pPr>
      <w:keepNext/>
      <w:keepLines/>
      <w:spacing w:before="320" w:after="200"/>
      <w:outlineLvl w:val="7"/>
    </w:pPr>
    <w:rPr>
      <w:rFonts w:ascii="Arial" w:hAnsi="Arial" w:eastAsia="Arial" w:cs="Arial"/>
      <w:i/>
      <w:iCs/>
      <w:sz w:val="22"/>
      <w:szCs w:val="22"/>
    </w:rPr>
  </w:style>
  <w:style w:type="paragraph" w:styleId="11">
    <w:name w:val="heading 9"/>
    <w:basedOn w:val="1"/>
    <w:next w:val="1"/>
    <w:link w:val="52"/>
    <w:unhideWhenUsed/>
    <w:qFormat/>
    <w:uiPriority w:val="9"/>
    <w:pPr>
      <w:keepNext/>
      <w:keepLines/>
      <w:spacing w:before="320" w:after="200"/>
      <w:outlineLvl w:val="8"/>
    </w:pPr>
    <w:rPr>
      <w:rFonts w:ascii="Arial" w:hAnsi="Arial" w:eastAsia="Arial" w:cs="Arial"/>
      <w:i/>
      <w:iCs/>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2"/>
    </w:rPr>
  </w:style>
  <w:style w:type="paragraph" w:styleId="12">
    <w:name w:val="toc 7"/>
    <w:basedOn w:val="1"/>
    <w:next w:val="1"/>
    <w:unhideWhenUsed/>
    <w:qFormat/>
    <w:uiPriority w:val="39"/>
    <w:pPr>
      <w:spacing w:after="57"/>
      <w:ind w:left="1701" w:right="0" w:firstLine="0"/>
    </w:pPr>
  </w:style>
  <w:style w:type="paragraph" w:styleId="13">
    <w:name w:val="table of authorities"/>
    <w:basedOn w:val="1"/>
    <w:next w:val="1"/>
    <w:unhideWhenUsed/>
    <w:qFormat/>
    <w:uiPriority w:val="0"/>
    <w:pPr>
      <w:ind w:left="420"/>
    </w:pPr>
  </w:style>
  <w:style w:type="paragraph" w:styleId="14">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5">
    <w:name w:val="annotation text"/>
    <w:basedOn w:val="1"/>
    <w:semiHidden/>
    <w:unhideWhenUsed/>
    <w:qFormat/>
    <w:uiPriority w:val="99"/>
    <w:pPr>
      <w:jc w:val="left"/>
    </w:pPr>
  </w:style>
  <w:style w:type="paragraph" w:styleId="16">
    <w:name w:val="Body Text"/>
    <w:basedOn w:val="1"/>
    <w:next w:val="1"/>
    <w:qFormat/>
    <w:uiPriority w:val="0"/>
    <w:rPr>
      <w:rFonts w:eastAsia="楷体_GB2312"/>
      <w:b/>
      <w:bCs/>
      <w:color w:val="FF0000"/>
      <w:sz w:val="32"/>
      <w:szCs w:val="32"/>
      <w:lang w:val="zh-CN"/>
    </w:rPr>
  </w:style>
  <w:style w:type="paragraph" w:styleId="17">
    <w:name w:val="toc 5"/>
    <w:basedOn w:val="1"/>
    <w:next w:val="1"/>
    <w:unhideWhenUsed/>
    <w:qFormat/>
    <w:uiPriority w:val="39"/>
    <w:pPr>
      <w:spacing w:after="57"/>
      <w:ind w:left="1134" w:right="0" w:firstLine="0"/>
    </w:pPr>
  </w:style>
  <w:style w:type="paragraph" w:styleId="18">
    <w:name w:val="toc 3"/>
    <w:basedOn w:val="1"/>
    <w:next w:val="1"/>
    <w:unhideWhenUsed/>
    <w:qFormat/>
    <w:uiPriority w:val="39"/>
    <w:pPr>
      <w:spacing w:after="57"/>
      <w:ind w:left="567" w:right="0" w:firstLine="0"/>
    </w:pPr>
  </w:style>
  <w:style w:type="paragraph" w:styleId="19">
    <w:name w:val="Plain Text"/>
    <w:basedOn w:val="1"/>
    <w:qFormat/>
    <w:uiPriority w:val="0"/>
    <w:rPr>
      <w:rFonts w:ascii="宋体" w:hAnsi="Courier New"/>
      <w:szCs w:val="20"/>
    </w:rPr>
  </w:style>
  <w:style w:type="paragraph" w:styleId="20">
    <w:name w:val="toc 8"/>
    <w:basedOn w:val="1"/>
    <w:next w:val="1"/>
    <w:unhideWhenUsed/>
    <w:qFormat/>
    <w:uiPriority w:val="39"/>
    <w:pPr>
      <w:spacing w:after="57"/>
      <w:ind w:left="1984" w:right="0" w:firstLine="0"/>
    </w:pPr>
  </w:style>
  <w:style w:type="paragraph" w:styleId="21">
    <w:name w:val="endnote text"/>
    <w:basedOn w:val="1"/>
    <w:link w:val="190"/>
    <w:semiHidden/>
    <w:unhideWhenUsed/>
    <w:qFormat/>
    <w:uiPriority w:val="99"/>
    <w:pPr>
      <w:spacing w:after="0" w:line="240" w:lineRule="auto"/>
    </w:pPr>
    <w:rPr>
      <w:sz w:val="20"/>
    </w:rPr>
  </w:style>
  <w:style w:type="paragraph" w:styleId="22">
    <w:name w:val="footer"/>
    <w:basedOn w:val="1"/>
    <w:link w:val="63"/>
    <w:unhideWhenUsed/>
    <w:qFormat/>
    <w:uiPriority w:val="99"/>
    <w:pPr>
      <w:tabs>
        <w:tab w:val="center" w:pos="7143"/>
        <w:tab w:val="right" w:pos="14287"/>
      </w:tabs>
      <w:spacing w:after="0" w:line="240" w:lineRule="auto"/>
    </w:pPr>
  </w:style>
  <w:style w:type="paragraph" w:styleId="23">
    <w:name w:val="header"/>
    <w:basedOn w:val="1"/>
    <w:link w:val="61"/>
    <w:unhideWhenUsed/>
    <w:qFormat/>
    <w:uiPriority w:val="99"/>
    <w:pPr>
      <w:tabs>
        <w:tab w:val="center" w:pos="7143"/>
        <w:tab w:val="right" w:pos="14287"/>
      </w:tabs>
      <w:spacing w:after="0" w:line="240" w:lineRule="auto"/>
    </w:pPr>
  </w:style>
  <w:style w:type="paragraph" w:styleId="24">
    <w:name w:val="toc 1"/>
    <w:basedOn w:val="1"/>
    <w:next w:val="1"/>
    <w:unhideWhenUsed/>
    <w:qFormat/>
    <w:uiPriority w:val="39"/>
    <w:pPr>
      <w:spacing w:after="57"/>
      <w:ind w:left="0" w:right="0" w:firstLine="0"/>
    </w:pPr>
  </w:style>
  <w:style w:type="paragraph" w:styleId="25">
    <w:name w:val="toc 4"/>
    <w:basedOn w:val="1"/>
    <w:next w:val="1"/>
    <w:unhideWhenUsed/>
    <w:qFormat/>
    <w:uiPriority w:val="39"/>
    <w:pPr>
      <w:spacing w:after="57"/>
      <w:ind w:left="850" w:right="0" w:firstLine="0"/>
    </w:pPr>
  </w:style>
  <w:style w:type="paragraph" w:styleId="26">
    <w:name w:val="Subtitle"/>
    <w:basedOn w:val="1"/>
    <w:next w:val="1"/>
    <w:link w:val="56"/>
    <w:qFormat/>
    <w:uiPriority w:val="11"/>
    <w:pPr>
      <w:spacing w:before="200" w:after="200"/>
    </w:pPr>
    <w:rPr>
      <w:sz w:val="24"/>
      <w:szCs w:val="24"/>
    </w:rPr>
  </w:style>
  <w:style w:type="paragraph" w:styleId="27">
    <w:name w:val="footnote text"/>
    <w:basedOn w:val="1"/>
    <w:link w:val="189"/>
    <w:semiHidden/>
    <w:unhideWhenUsed/>
    <w:qFormat/>
    <w:uiPriority w:val="99"/>
    <w:pPr>
      <w:spacing w:after="40" w:line="240" w:lineRule="auto"/>
    </w:pPr>
    <w:rPr>
      <w:sz w:val="18"/>
    </w:rPr>
  </w:style>
  <w:style w:type="paragraph" w:styleId="28">
    <w:name w:val="toc 6"/>
    <w:basedOn w:val="1"/>
    <w:next w:val="1"/>
    <w:unhideWhenUsed/>
    <w:qFormat/>
    <w:uiPriority w:val="39"/>
    <w:pPr>
      <w:spacing w:after="57"/>
      <w:ind w:left="1417" w:right="0" w:firstLine="0"/>
    </w:pPr>
  </w:style>
  <w:style w:type="paragraph" w:styleId="29">
    <w:name w:val="table of figures"/>
    <w:basedOn w:val="1"/>
    <w:next w:val="1"/>
    <w:unhideWhenUsed/>
    <w:qFormat/>
    <w:uiPriority w:val="99"/>
    <w:pPr>
      <w:spacing w:after="0" w:afterAutospacing="0"/>
    </w:pPr>
  </w:style>
  <w:style w:type="paragraph" w:styleId="30">
    <w:name w:val="toc 2"/>
    <w:basedOn w:val="1"/>
    <w:next w:val="1"/>
    <w:unhideWhenUsed/>
    <w:qFormat/>
    <w:uiPriority w:val="39"/>
    <w:pPr>
      <w:spacing w:after="57"/>
      <w:ind w:left="283" w:right="0" w:firstLine="0"/>
    </w:pPr>
  </w:style>
  <w:style w:type="paragraph" w:styleId="31">
    <w:name w:val="toc 9"/>
    <w:basedOn w:val="1"/>
    <w:next w:val="1"/>
    <w:unhideWhenUsed/>
    <w:qFormat/>
    <w:uiPriority w:val="39"/>
    <w:pPr>
      <w:spacing w:after="57"/>
      <w:ind w:left="2268" w:right="0" w:firstLine="0"/>
    </w:pPr>
  </w:style>
  <w:style w:type="paragraph" w:styleId="32">
    <w:name w:val="Body Text 2"/>
    <w:basedOn w:val="1"/>
    <w:next w:val="16"/>
    <w:qFormat/>
    <w:uiPriority w:val="0"/>
    <w:pPr>
      <w:spacing w:line="560" w:lineRule="exact"/>
    </w:pPr>
    <w:rPr>
      <w:rFonts w:ascii="仿宋_GB2312" w:eastAsia="仿宋_GB2312"/>
      <w:sz w:val="28"/>
      <w:szCs w:val="30"/>
    </w:rPr>
  </w:style>
  <w:style w:type="paragraph" w:styleId="33">
    <w:name w:val="List Continue 2"/>
    <w:basedOn w:val="1"/>
    <w:next w:val="1"/>
    <w:qFormat/>
    <w:uiPriority w:val="0"/>
    <w:pPr>
      <w:spacing w:after="120"/>
      <w:ind w:left="840"/>
    </w:pPr>
    <w:rPr>
      <w:rFonts w:eastAsia="宋体"/>
    </w:rPr>
  </w:style>
  <w:style w:type="paragraph" w:styleId="34">
    <w:name w:val="Normal (Web)"/>
    <w:basedOn w:val="1"/>
    <w:qFormat/>
    <w:uiPriority w:val="99"/>
    <w:pPr>
      <w:widowControl/>
      <w:jc w:val="left"/>
    </w:pPr>
    <w:rPr>
      <w:rFonts w:ascii="宋体" w:hAnsi="宋体" w:cs="宋体"/>
      <w:color w:val="000000"/>
      <w:kern w:val="0"/>
      <w:sz w:val="24"/>
      <w:szCs w:val="24"/>
    </w:rPr>
  </w:style>
  <w:style w:type="paragraph" w:styleId="35">
    <w:name w:val="Title"/>
    <w:basedOn w:val="1"/>
    <w:next w:val="1"/>
    <w:link w:val="55"/>
    <w:qFormat/>
    <w:uiPriority w:val="10"/>
    <w:pPr>
      <w:spacing w:before="300" w:after="200"/>
      <w:contextualSpacing/>
    </w:pPr>
    <w:rPr>
      <w:sz w:val="48"/>
      <w:szCs w:val="48"/>
    </w:rPr>
  </w:style>
  <w:style w:type="table" w:styleId="37">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9">
    <w:name w:val="Strong"/>
    <w:qFormat/>
    <w:uiPriority w:val="22"/>
    <w:rPr>
      <w:b/>
      <w:bCs/>
    </w:rPr>
  </w:style>
  <w:style w:type="character" w:styleId="40">
    <w:name w:val="endnote reference"/>
    <w:semiHidden/>
    <w:unhideWhenUsed/>
    <w:qFormat/>
    <w:uiPriority w:val="99"/>
    <w:rPr>
      <w:vertAlign w:val="superscript"/>
    </w:rPr>
  </w:style>
  <w:style w:type="character" w:styleId="41">
    <w:name w:val="Hyperlink"/>
    <w:unhideWhenUsed/>
    <w:qFormat/>
    <w:uiPriority w:val="99"/>
    <w:rPr>
      <w:color w:val="0000FF" w:themeColor="hyperlink"/>
      <w:u w:val="single"/>
      <w14:textFill>
        <w14:solidFill>
          <w14:schemeClr w14:val="hlink"/>
        </w14:solidFill>
      </w14:textFill>
    </w:rPr>
  </w:style>
  <w:style w:type="character" w:styleId="42">
    <w:name w:val="footnote reference"/>
    <w:unhideWhenUsed/>
    <w:qFormat/>
    <w:uiPriority w:val="99"/>
    <w:rPr>
      <w:vertAlign w:val="superscript"/>
    </w:rPr>
  </w:style>
  <w:style w:type="paragraph" w:customStyle="1" w:styleId="43">
    <w:name w:val="Default"/>
    <w:qFormat/>
    <w:uiPriority w:val="0"/>
    <w:pPr>
      <w:widowControl w:val="0"/>
    </w:pPr>
    <w:rPr>
      <w:rFonts w:hint="default" w:ascii="MS Mincho" w:hAnsi="Calibri" w:eastAsia="宋体" w:cs="Times New Roman"/>
      <w:color w:val="000000"/>
      <w:sz w:val="21"/>
      <w:szCs w:val="24"/>
      <w:lang w:val="en-US" w:eastAsia="zh-CN" w:bidi="ar-SA"/>
    </w:rPr>
  </w:style>
  <w:style w:type="character" w:customStyle="1" w:styleId="44">
    <w:name w:val="Heading 1 Char"/>
    <w:link w:val="3"/>
    <w:qFormat/>
    <w:uiPriority w:val="9"/>
    <w:rPr>
      <w:rFonts w:ascii="Arial" w:hAnsi="Arial" w:eastAsia="Arial" w:cs="Arial"/>
      <w:sz w:val="40"/>
      <w:szCs w:val="40"/>
    </w:rPr>
  </w:style>
  <w:style w:type="character" w:customStyle="1" w:styleId="45">
    <w:name w:val="Heading 2 Char"/>
    <w:link w:val="4"/>
    <w:qFormat/>
    <w:uiPriority w:val="9"/>
    <w:rPr>
      <w:rFonts w:ascii="Arial" w:hAnsi="Arial" w:eastAsia="Arial" w:cs="Arial"/>
      <w:sz w:val="34"/>
    </w:rPr>
  </w:style>
  <w:style w:type="character" w:customStyle="1" w:styleId="46">
    <w:name w:val="Heading 3 Char"/>
    <w:link w:val="5"/>
    <w:qFormat/>
    <w:uiPriority w:val="9"/>
    <w:rPr>
      <w:rFonts w:ascii="Arial" w:hAnsi="Arial" w:eastAsia="Arial" w:cs="Arial"/>
      <w:sz w:val="30"/>
      <w:szCs w:val="30"/>
    </w:rPr>
  </w:style>
  <w:style w:type="character" w:customStyle="1" w:styleId="47">
    <w:name w:val="Heading 4 Char"/>
    <w:link w:val="6"/>
    <w:qFormat/>
    <w:uiPriority w:val="9"/>
    <w:rPr>
      <w:rFonts w:ascii="Arial" w:hAnsi="Arial" w:eastAsia="Arial" w:cs="Arial"/>
      <w:b/>
      <w:bCs/>
      <w:sz w:val="26"/>
      <w:szCs w:val="26"/>
    </w:rPr>
  </w:style>
  <w:style w:type="character" w:customStyle="1" w:styleId="48">
    <w:name w:val="Heading 5 Char"/>
    <w:link w:val="7"/>
    <w:qFormat/>
    <w:uiPriority w:val="9"/>
    <w:rPr>
      <w:rFonts w:ascii="Arial" w:hAnsi="Arial" w:eastAsia="Arial" w:cs="Arial"/>
      <w:b/>
      <w:bCs/>
      <w:sz w:val="24"/>
      <w:szCs w:val="24"/>
    </w:rPr>
  </w:style>
  <w:style w:type="character" w:customStyle="1" w:styleId="49">
    <w:name w:val="Heading 6 Char"/>
    <w:link w:val="8"/>
    <w:qFormat/>
    <w:uiPriority w:val="9"/>
    <w:rPr>
      <w:rFonts w:ascii="Arial" w:hAnsi="Arial" w:eastAsia="Arial" w:cs="Arial"/>
      <w:b/>
      <w:bCs/>
      <w:sz w:val="22"/>
      <w:szCs w:val="22"/>
    </w:rPr>
  </w:style>
  <w:style w:type="character" w:customStyle="1" w:styleId="50">
    <w:name w:val="Heading 7 Char"/>
    <w:link w:val="9"/>
    <w:qFormat/>
    <w:uiPriority w:val="9"/>
    <w:rPr>
      <w:rFonts w:ascii="Arial" w:hAnsi="Arial" w:eastAsia="Arial" w:cs="Arial"/>
      <w:b/>
      <w:bCs/>
      <w:i/>
      <w:iCs/>
      <w:sz w:val="22"/>
      <w:szCs w:val="22"/>
    </w:rPr>
  </w:style>
  <w:style w:type="character" w:customStyle="1" w:styleId="51">
    <w:name w:val="Heading 8 Char"/>
    <w:link w:val="10"/>
    <w:qFormat/>
    <w:uiPriority w:val="9"/>
    <w:rPr>
      <w:rFonts w:ascii="Arial" w:hAnsi="Arial" w:eastAsia="Arial" w:cs="Arial"/>
      <w:i/>
      <w:iCs/>
      <w:sz w:val="22"/>
      <w:szCs w:val="22"/>
    </w:rPr>
  </w:style>
  <w:style w:type="character" w:customStyle="1" w:styleId="52">
    <w:name w:val="Heading 9 Char"/>
    <w:link w:val="11"/>
    <w:qFormat/>
    <w:uiPriority w:val="9"/>
    <w:rPr>
      <w:rFonts w:ascii="Arial" w:hAnsi="Arial" w:eastAsia="Arial" w:cs="Arial"/>
      <w:i/>
      <w:iCs/>
      <w:sz w:val="21"/>
      <w:szCs w:val="21"/>
    </w:rPr>
  </w:style>
  <w:style w:type="paragraph" w:styleId="53">
    <w:name w:val="List Paragraph"/>
    <w:basedOn w:val="1"/>
    <w:qFormat/>
    <w:uiPriority w:val="34"/>
    <w:pPr>
      <w:ind w:left="720"/>
      <w:contextualSpacing/>
    </w:pPr>
  </w:style>
  <w:style w:type="paragraph" w:styleId="54">
    <w:name w:val="No Spacing"/>
    <w:qFormat/>
    <w:uiPriority w:val="1"/>
    <w:pPr>
      <w:spacing w:before="0" w:after="0" w:line="240" w:lineRule="auto"/>
    </w:pPr>
    <w:rPr>
      <w:rFonts w:hint="default" w:ascii="Times New Roman" w:hAnsi="Times New Roman" w:eastAsia="宋体" w:cs="Times New Roman"/>
    </w:rPr>
  </w:style>
  <w:style w:type="character" w:customStyle="1" w:styleId="55">
    <w:name w:val="Title Char"/>
    <w:link w:val="35"/>
    <w:qFormat/>
    <w:uiPriority w:val="10"/>
    <w:rPr>
      <w:sz w:val="48"/>
      <w:szCs w:val="48"/>
    </w:rPr>
  </w:style>
  <w:style w:type="character" w:customStyle="1" w:styleId="56">
    <w:name w:val="Subtitle Char"/>
    <w:link w:val="26"/>
    <w:qFormat/>
    <w:uiPriority w:val="11"/>
    <w:rPr>
      <w:sz w:val="24"/>
      <w:szCs w:val="24"/>
    </w:rPr>
  </w:style>
  <w:style w:type="paragraph" w:styleId="57">
    <w:name w:val="Quote"/>
    <w:basedOn w:val="1"/>
    <w:next w:val="1"/>
    <w:link w:val="58"/>
    <w:qFormat/>
    <w:uiPriority w:val="29"/>
    <w:pPr>
      <w:ind w:left="720" w:right="720"/>
    </w:pPr>
    <w:rPr>
      <w:i/>
    </w:rPr>
  </w:style>
  <w:style w:type="character" w:customStyle="1" w:styleId="58">
    <w:name w:val="Quote Char"/>
    <w:link w:val="57"/>
    <w:qFormat/>
    <w:uiPriority w:val="29"/>
    <w:rPr>
      <w:i/>
    </w:rPr>
  </w:style>
  <w:style w:type="paragraph" w:styleId="59">
    <w:name w:val="Intense Quote"/>
    <w:basedOn w:val="1"/>
    <w:next w:val="1"/>
    <w:link w:val="6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0">
    <w:name w:val="Intense Quote Char"/>
    <w:link w:val="59"/>
    <w:qFormat/>
    <w:uiPriority w:val="30"/>
    <w:rPr>
      <w:i/>
    </w:rPr>
  </w:style>
  <w:style w:type="character" w:customStyle="1" w:styleId="61">
    <w:name w:val="Header Char"/>
    <w:link w:val="23"/>
    <w:qFormat/>
    <w:uiPriority w:val="99"/>
  </w:style>
  <w:style w:type="character" w:customStyle="1" w:styleId="62">
    <w:name w:val="Footer Char"/>
    <w:link w:val="22"/>
    <w:qFormat/>
    <w:uiPriority w:val="99"/>
  </w:style>
  <w:style w:type="character" w:customStyle="1" w:styleId="63">
    <w:name w:val="Caption Char"/>
    <w:link w:val="22"/>
    <w:qFormat/>
    <w:uiPriority w:val="99"/>
  </w:style>
  <w:style w:type="table" w:customStyle="1" w:styleId="64">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65">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66">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7">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8">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9">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70">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71">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72">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73">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74">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75">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76">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7">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8">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9">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0">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1">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2">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3">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4">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5">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86">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7">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8">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9">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0">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1">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2">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93">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94">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95">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6">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7">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8">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9">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00">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01">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02">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03">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04">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05">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6">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7">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8">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9">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0">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1">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12">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13">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14">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15">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16">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7">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8">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19">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20">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21">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22">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23">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24">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25">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26">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27">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28">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29">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0">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1">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2">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3">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34">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35">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36">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7">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8">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9">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40">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1">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42">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43">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44">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45">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6">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47">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48">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49">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50">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51">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52">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53">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54">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55">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6">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7">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8">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9">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0">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1">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62">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63">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64">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65">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66">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7">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8">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9">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70">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1">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2">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3">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4">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5">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76">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77">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8">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9">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80">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81">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82">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83">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84">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85">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86">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7">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8">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9">
    <w:name w:val="Footnote Text Char"/>
    <w:link w:val="27"/>
    <w:qFormat/>
    <w:uiPriority w:val="99"/>
    <w:rPr>
      <w:sz w:val="18"/>
    </w:rPr>
  </w:style>
  <w:style w:type="character" w:customStyle="1" w:styleId="190">
    <w:name w:val="Endnote Text Char"/>
    <w:link w:val="21"/>
    <w:qFormat/>
    <w:uiPriority w:val="99"/>
    <w:rPr>
      <w:sz w:val="20"/>
    </w:rPr>
  </w:style>
  <w:style w:type="paragraph" w:customStyle="1" w:styleId="191">
    <w:name w:val="TOC Heading"/>
    <w:unhideWhenUsed/>
    <w:qFormat/>
    <w:uiPriority w:val="39"/>
    <w:rPr>
      <w:rFonts w:hint="default" w:ascii="Times New Roman" w:hAnsi="Times New Roman" w:eastAsia="宋体" w:cs="Times New Roman"/>
    </w:rPr>
  </w:style>
  <w:style w:type="paragraph" w:customStyle="1" w:styleId="192">
    <w:name w:val="标题 11"/>
    <w:basedOn w:val="1"/>
    <w:next w:val="1"/>
    <w:link w:val="204"/>
    <w:qFormat/>
    <w:uiPriority w:val="0"/>
    <w:pPr>
      <w:keepNext/>
      <w:jc w:val="center"/>
      <w:outlineLvl w:val="0"/>
    </w:pPr>
    <w:rPr>
      <w:rFonts w:ascii="楷体_GB2312" w:eastAsia="楷体_GB2312"/>
      <w:sz w:val="28"/>
      <w:szCs w:val="28"/>
    </w:rPr>
  </w:style>
  <w:style w:type="paragraph" w:customStyle="1" w:styleId="193">
    <w:name w:val="标题 21"/>
    <w:basedOn w:val="1"/>
    <w:link w:val="205"/>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194">
    <w:name w:val="标题 31"/>
    <w:basedOn w:val="1"/>
    <w:next w:val="195"/>
    <w:link w:val="206"/>
    <w:qFormat/>
    <w:uiPriority w:val="0"/>
    <w:pPr>
      <w:keepNext/>
      <w:keepLines/>
      <w:spacing w:before="260" w:after="260" w:line="416" w:lineRule="auto"/>
      <w:outlineLvl w:val="2"/>
    </w:pPr>
    <w:rPr>
      <w:b/>
      <w:bCs/>
      <w:sz w:val="32"/>
      <w:szCs w:val="32"/>
    </w:rPr>
  </w:style>
  <w:style w:type="paragraph" w:customStyle="1" w:styleId="195">
    <w:name w:val="正文缩进1"/>
    <w:basedOn w:val="1"/>
    <w:link w:val="207"/>
    <w:qFormat/>
    <w:uiPriority w:val="0"/>
    <w:pPr>
      <w:ind w:firstLine="420"/>
    </w:pPr>
  </w:style>
  <w:style w:type="paragraph" w:customStyle="1" w:styleId="196">
    <w:name w:val="标题 41"/>
    <w:basedOn w:val="1"/>
    <w:next w:val="195"/>
    <w:link w:val="208"/>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197">
    <w:name w:val="标题 51"/>
    <w:basedOn w:val="1"/>
    <w:next w:val="195"/>
    <w:link w:val="209"/>
    <w:qFormat/>
    <w:uiPriority w:val="0"/>
    <w:pPr>
      <w:keepNext/>
      <w:outlineLvl w:val="4"/>
    </w:pPr>
    <w:rPr>
      <w:rFonts w:ascii="宋体"/>
      <w:color w:val="000000"/>
      <w:sz w:val="28"/>
      <w:szCs w:val="28"/>
    </w:rPr>
  </w:style>
  <w:style w:type="paragraph" w:customStyle="1" w:styleId="198">
    <w:name w:val="标题 61"/>
    <w:basedOn w:val="1"/>
    <w:next w:val="1"/>
    <w:link w:val="210"/>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customStyle="1" w:styleId="199">
    <w:name w:val="标题 71"/>
    <w:basedOn w:val="1"/>
    <w:next w:val="1"/>
    <w:link w:val="211"/>
    <w:qFormat/>
    <w:uiPriority w:val="0"/>
    <w:pPr>
      <w:keepNext/>
      <w:keepLines/>
      <w:numPr>
        <w:ilvl w:val="6"/>
        <w:numId w:val="1"/>
      </w:numPr>
      <w:spacing w:before="240" w:after="64" w:line="320" w:lineRule="auto"/>
      <w:outlineLvl w:val="6"/>
    </w:pPr>
    <w:rPr>
      <w:b/>
      <w:bCs/>
      <w:sz w:val="24"/>
      <w:szCs w:val="24"/>
    </w:rPr>
  </w:style>
  <w:style w:type="paragraph" w:customStyle="1" w:styleId="200">
    <w:name w:val="标题 81"/>
    <w:basedOn w:val="1"/>
    <w:next w:val="1"/>
    <w:link w:val="212"/>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customStyle="1" w:styleId="201">
    <w:name w:val="标题 91"/>
    <w:basedOn w:val="1"/>
    <w:next w:val="1"/>
    <w:link w:val="213"/>
    <w:qFormat/>
    <w:uiPriority w:val="0"/>
    <w:pPr>
      <w:keepNext/>
      <w:keepLines/>
      <w:numPr>
        <w:ilvl w:val="8"/>
        <w:numId w:val="1"/>
      </w:numPr>
      <w:spacing w:before="240" w:after="64" w:line="320" w:lineRule="auto"/>
      <w:outlineLvl w:val="8"/>
    </w:pPr>
    <w:rPr>
      <w:rFonts w:ascii="Arial" w:hAnsi="Arial" w:eastAsia="黑体"/>
    </w:rPr>
  </w:style>
  <w:style w:type="character" w:customStyle="1" w:styleId="202">
    <w:name w:val="默认段落字体1"/>
    <w:link w:val="1"/>
    <w:unhideWhenUsed/>
    <w:qFormat/>
    <w:uiPriority w:val="1"/>
  </w:style>
  <w:style w:type="table" w:customStyle="1" w:styleId="203">
    <w:name w:val="普通表格1"/>
    <w:unhideWhenUsed/>
    <w:qFormat/>
    <w:uiPriority w:val="99"/>
  </w:style>
  <w:style w:type="character" w:customStyle="1" w:styleId="204">
    <w:name w:val="标题 1 Char"/>
    <w:link w:val="192"/>
    <w:qFormat/>
    <w:uiPriority w:val="0"/>
    <w:rPr>
      <w:rFonts w:ascii="楷体_GB2312" w:hAnsi="Times New Roman" w:eastAsia="楷体_GB2312" w:cs="Times New Roman"/>
      <w:sz w:val="28"/>
      <w:szCs w:val="28"/>
    </w:rPr>
  </w:style>
  <w:style w:type="character" w:customStyle="1" w:styleId="205">
    <w:name w:val="标题 2 Char"/>
    <w:link w:val="193"/>
    <w:qFormat/>
    <w:uiPriority w:val="0"/>
    <w:rPr>
      <w:rFonts w:ascii="Arial" w:hAnsi="Arial" w:eastAsia="幼圆" w:cs="Arial"/>
      <w:b/>
      <w:bCs/>
      <w:sz w:val="44"/>
      <w:szCs w:val="44"/>
    </w:rPr>
  </w:style>
  <w:style w:type="character" w:customStyle="1" w:styleId="206">
    <w:name w:val="标题 3 Char"/>
    <w:link w:val="194"/>
    <w:qFormat/>
    <w:uiPriority w:val="0"/>
    <w:rPr>
      <w:rFonts w:ascii="Times New Roman" w:hAnsi="Times New Roman" w:eastAsia="宋体" w:cs="Times New Roman"/>
      <w:b/>
      <w:bCs/>
      <w:sz w:val="32"/>
      <w:szCs w:val="32"/>
    </w:rPr>
  </w:style>
  <w:style w:type="character" w:customStyle="1" w:styleId="207">
    <w:name w:val="正文缩进 Char"/>
    <w:link w:val="195"/>
    <w:qFormat/>
    <w:uiPriority w:val="0"/>
    <w:rPr>
      <w:rFonts w:ascii="Times New Roman" w:hAnsi="Times New Roman" w:eastAsia="宋体" w:cs="Times New Roman"/>
      <w:szCs w:val="21"/>
    </w:rPr>
  </w:style>
  <w:style w:type="character" w:customStyle="1" w:styleId="208">
    <w:name w:val="标题 4 Char"/>
    <w:link w:val="196"/>
    <w:qFormat/>
    <w:uiPriority w:val="0"/>
    <w:rPr>
      <w:rFonts w:ascii="Arial" w:hAnsi="Arial" w:eastAsia="黑体" w:cs="Arial"/>
      <w:b/>
      <w:bCs/>
      <w:sz w:val="28"/>
      <w:szCs w:val="28"/>
    </w:rPr>
  </w:style>
  <w:style w:type="character" w:customStyle="1" w:styleId="209">
    <w:name w:val="标题 5 Char"/>
    <w:link w:val="197"/>
    <w:qFormat/>
    <w:uiPriority w:val="0"/>
    <w:rPr>
      <w:rFonts w:ascii="宋体" w:hAnsi="Times New Roman" w:eastAsia="宋体" w:cs="Times New Roman"/>
      <w:color w:val="000000"/>
      <w:sz w:val="28"/>
      <w:szCs w:val="28"/>
    </w:rPr>
  </w:style>
  <w:style w:type="character" w:customStyle="1" w:styleId="210">
    <w:name w:val="标题 6 Char"/>
    <w:link w:val="198"/>
    <w:qFormat/>
    <w:uiPriority w:val="0"/>
    <w:rPr>
      <w:rFonts w:ascii="Arial" w:hAnsi="Arial" w:eastAsia="黑体" w:cs="Times New Roman"/>
      <w:b/>
      <w:bCs/>
      <w:sz w:val="24"/>
      <w:szCs w:val="24"/>
    </w:rPr>
  </w:style>
  <w:style w:type="character" w:customStyle="1" w:styleId="211">
    <w:name w:val="标题 7 Char"/>
    <w:link w:val="199"/>
    <w:qFormat/>
    <w:uiPriority w:val="0"/>
    <w:rPr>
      <w:rFonts w:ascii="Times New Roman" w:hAnsi="Times New Roman" w:eastAsia="宋体" w:cs="Times New Roman"/>
      <w:b/>
      <w:bCs/>
      <w:sz w:val="24"/>
      <w:szCs w:val="24"/>
    </w:rPr>
  </w:style>
  <w:style w:type="character" w:customStyle="1" w:styleId="212">
    <w:name w:val="标题 8 Char"/>
    <w:link w:val="200"/>
    <w:qFormat/>
    <w:uiPriority w:val="0"/>
    <w:rPr>
      <w:rFonts w:ascii="Arial" w:hAnsi="Arial" w:eastAsia="黑体" w:cs="Times New Roman"/>
      <w:sz w:val="24"/>
      <w:szCs w:val="24"/>
    </w:rPr>
  </w:style>
  <w:style w:type="character" w:customStyle="1" w:styleId="213">
    <w:name w:val="标题 9 Char"/>
    <w:link w:val="201"/>
    <w:qFormat/>
    <w:uiPriority w:val="0"/>
    <w:rPr>
      <w:rFonts w:ascii="Arial" w:hAnsi="Arial" w:eastAsia="黑体" w:cs="Times New Roman"/>
      <w:szCs w:val="21"/>
    </w:rPr>
  </w:style>
  <w:style w:type="paragraph" w:customStyle="1" w:styleId="214">
    <w:name w:val="列表 31"/>
    <w:basedOn w:val="1"/>
    <w:qFormat/>
    <w:uiPriority w:val="0"/>
    <w:pPr>
      <w:ind w:left="100" w:hanging="200"/>
    </w:pPr>
  </w:style>
  <w:style w:type="paragraph" w:customStyle="1" w:styleId="215">
    <w:name w:val="目录 71"/>
    <w:basedOn w:val="1"/>
    <w:next w:val="1"/>
    <w:semiHidden/>
    <w:qFormat/>
    <w:uiPriority w:val="0"/>
    <w:pPr>
      <w:ind w:left="1260"/>
      <w:jc w:val="left"/>
    </w:pPr>
  </w:style>
  <w:style w:type="paragraph" w:customStyle="1" w:styleId="216">
    <w:name w:val="文档结构图1"/>
    <w:basedOn w:val="1"/>
    <w:link w:val="217"/>
    <w:semiHidden/>
    <w:qFormat/>
    <w:uiPriority w:val="0"/>
    <w:pPr>
      <w:shd w:val="clear" w:color="auto" w:fill="000080"/>
    </w:pPr>
  </w:style>
  <w:style w:type="character" w:customStyle="1" w:styleId="217">
    <w:name w:val="文档结构图 Char"/>
    <w:link w:val="216"/>
    <w:semiHidden/>
    <w:qFormat/>
    <w:uiPriority w:val="0"/>
    <w:rPr>
      <w:rFonts w:ascii="Times New Roman" w:hAnsi="Times New Roman" w:eastAsia="宋体" w:cs="Times New Roman"/>
      <w:szCs w:val="21"/>
      <w:shd w:val="clear" w:color="auto" w:fill="000080"/>
    </w:rPr>
  </w:style>
  <w:style w:type="paragraph" w:customStyle="1" w:styleId="218">
    <w:name w:val="批注文字1"/>
    <w:basedOn w:val="1"/>
    <w:link w:val="219"/>
    <w:semiHidden/>
    <w:qFormat/>
    <w:uiPriority w:val="0"/>
    <w:pPr>
      <w:jc w:val="left"/>
    </w:pPr>
  </w:style>
  <w:style w:type="character" w:customStyle="1" w:styleId="219">
    <w:name w:val="批注文字 Char"/>
    <w:link w:val="218"/>
    <w:semiHidden/>
    <w:qFormat/>
    <w:uiPriority w:val="0"/>
    <w:rPr>
      <w:rFonts w:ascii="Times New Roman" w:hAnsi="Times New Roman" w:eastAsia="宋体" w:cs="Times New Roman"/>
      <w:szCs w:val="21"/>
    </w:rPr>
  </w:style>
  <w:style w:type="paragraph" w:customStyle="1" w:styleId="220">
    <w:name w:val="正文文本 31"/>
    <w:basedOn w:val="1"/>
    <w:link w:val="221"/>
    <w:qFormat/>
    <w:uiPriority w:val="0"/>
    <w:rPr>
      <w:rFonts w:ascii="仿宋_GB2312" w:hAnsi="Arial" w:eastAsia="仿宋_GB2312"/>
      <w:sz w:val="32"/>
      <w:szCs w:val="32"/>
    </w:rPr>
  </w:style>
  <w:style w:type="character" w:customStyle="1" w:styleId="221">
    <w:name w:val="正文文本 3 Char"/>
    <w:link w:val="220"/>
    <w:qFormat/>
    <w:uiPriority w:val="0"/>
    <w:rPr>
      <w:rFonts w:ascii="仿宋_GB2312" w:hAnsi="Arial" w:eastAsia="仿宋_GB2312" w:cs="Times New Roman"/>
      <w:sz w:val="32"/>
      <w:szCs w:val="32"/>
    </w:rPr>
  </w:style>
  <w:style w:type="paragraph" w:customStyle="1" w:styleId="222">
    <w:name w:val="正文文本1"/>
    <w:basedOn w:val="1"/>
    <w:link w:val="223"/>
    <w:qFormat/>
    <w:uiPriority w:val="0"/>
    <w:rPr>
      <w:rFonts w:ascii="楷体_GB2312" w:hAnsi="Arial" w:eastAsia="楷体_GB2312"/>
      <w:sz w:val="28"/>
      <w:szCs w:val="28"/>
    </w:rPr>
  </w:style>
  <w:style w:type="character" w:customStyle="1" w:styleId="223">
    <w:name w:val="正文文本 Char"/>
    <w:link w:val="222"/>
    <w:qFormat/>
    <w:uiPriority w:val="0"/>
    <w:rPr>
      <w:rFonts w:ascii="楷体_GB2312" w:hAnsi="Arial" w:eastAsia="楷体_GB2312" w:cs="Times New Roman"/>
      <w:sz w:val="28"/>
      <w:szCs w:val="28"/>
    </w:rPr>
  </w:style>
  <w:style w:type="paragraph" w:customStyle="1" w:styleId="224">
    <w:name w:val="正文文本缩进1"/>
    <w:basedOn w:val="1"/>
    <w:link w:val="225"/>
    <w:qFormat/>
    <w:uiPriority w:val="0"/>
    <w:pPr>
      <w:ind w:firstLine="645"/>
    </w:pPr>
    <w:rPr>
      <w:rFonts w:ascii="楷体_GB2312" w:eastAsia="楷体_GB2312"/>
      <w:sz w:val="32"/>
      <w:szCs w:val="32"/>
    </w:rPr>
  </w:style>
  <w:style w:type="character" w:customStyle="1" w:styleId="225">
    <w:name w:val="正文文本缩进 Char"/>
    <w:link w:val="224"/>
    <w:qFormat/>
    <w:uiPriority w:val="0"/>
    <w:rPr>
      <w:rFonts w:ascii="楷体_GB2312" w:hAnsi="Times New Roman" w:eastAsia="楷体_GB2312" w:cs="Times New Roman"/>
      <w:sz w:val="32"/>
      <w:szCs w:val="32"/>
    </w:rPr>
  </w:style>
  <w:style w:type="paragraph" w:customStyle="1" w:styleId="226">
    <w:name w:val="列表 21"/>
    <w:basedOn w:val="1"/>
    <w:qFormat/>
    <w:uiPriority w:val="0"/>
    <w:pPr>
      <w:ind w:left="100" w:hanging="200"/>
    </w:pPr>
  </w:style>
  <w:style w:type="paragraph" w:customStyle="1" w:styleId="227">
    <w:name w:val="目录 51"/>
    <w:basedOn w:val="1"/>
    <w:next w:val="1"/>
    <w:semiHidden/>
    <w:qFormat/>
    <w:uiPriority w:val="0"/>
    <w:pPr>
      <w:ind w:left="840"/>
      <w:jc w:val="left"/>
    </w:pPr>
  </w:style>
  <w:style w:type="paragraph" w:customStyle="1" w:styleId="228">
    <w:name w:val="目录 31"/>
    <w:basedOn w:val="1"/>
    <w:next w:val="1"/>
    <w:semiHidden/>
    <w:qFormat/>
    <w:uiPriority w:val="0"/>
    <w:pPr>
      <w:ind w:left="420"/>
      <w:jc w:val="left"/>
    </w:pPr>
    <w:rPr>
      <w:i/>
      <w:iCs/>
      <w:szCs w:val="24"/>
    </w:rPr>
  </w:style>
  <w:style w:type="paragraph" w:customStyle="1" w:styleId="229">
    <w:name w:val="纯文本1"/>
    <w:basedOn w:val="1"/>
    <w:link w:val="230"/>
    <w:qFormat/>
    <w:uiPriority w:val="0"/>
    <w:rPr>
      <w:rFonts w:ascii="宋体" w:hAnsi="Courier New" w:cs="Courier New"/>
    </w:rPr>
  </w:style>
  <w:style w:type="character" w:customStyle="1" w:styleId="230">
    <w:name w:val="纯文本 Char"/>
    <w:link w:val="229"/>
    <w:qFormat/>
    <w:uiPriority w:val="0"/>
    <w:rPr>
      <w:rFonts w:ascii="宋体" w:hAnsi="Courier New" w:eastAsia="宋体" w:cs="Courier New"/>
      <w:szCs w:val="21"/>
    </w:rPr>
  </w:style>
  <w:style w:type="paragraph" w:customStyle="1" w:styleId="231">
    <w:name w:val="目录 81"/>
    <w:basedOn w:val="1"/>
    <w:next w:val="1"/>
    <w:semiHidden/>
    <w:qFormat/>
    <w:uiPriority w:val="0"/>
    <w:pPr>
      <w:ind w:left="1470"/>
      <w:jc w:val="left"/>
    </w:pPr>
  </w:style>
  <w:style w:type="paragraph" w:customStyle="1" w:styleId="232">
    <w:name w:val="日期1"/>
    <w:basedOn w:val="1"/>
    <w:next w:val="1"/>
    <w:link w:val="233"/>
    <w:qFormat/>
    <w:uiPriority w:val="0"/>
    <w:rPr>
      <w:sz w:val="24"/>
      <w:szCs w:val="24"/>
    </w:rPr>
  </w:style>
  <w:style w:type="character" w:customStyle="1" w:styleId="233">
    <w:name w:val="日期 Char"/>
    <w:link w:val="232"/>
    <w:qFormat/>
    <w:uiPriority w:val="0"/>
    <w:rPr>
      <w:rFonts w:ascii="Times New Roman" w:hAnsi="Times New Roman" w:eastAsia="宋体" w:cs="Times New Roman"/>
      <w:sz w:val="24"/>
      <w:szCs w:val="24"/>
    </w:rPr>
  </w:style>
  <w:style w:type="paragraph" w:customStyle="1" w:styleId="234">
    <w:name w:val="正文文本缩进 21"/>
    <w:basedOn w:val="1"/>
    <w:link w:val="235"/>
    <w:qFormat/>
    <w:uiPriority w:val="0"/>
    <w:pPr>
      <w:ind w:left="630" w:firstLine="645"/>
    </w:pPr>
    <w:rPr>
      <w:rFonts w:ascii="Arial" w:hAnsi="Arial" w:eastAsia="仿宋_GB2312" w:cs="Arial"/>
      <w:sz w:val="32"/>
      <w:szCs w:val="32"/>
    </w:rPr>
  </w:style>
  <w:style w:type="character" w:customStyle="1" w:styleId="235">
    <w:name w:val="正文文本缩进 2 Char"/>
    <w:link w:val="234"/>
    <w:qFormat/>
    <w:uiPriority w:val="0"/>
    <w:rPr>
      <w:rFonts w:ascii="Arial" w:hAnsi="Arial" w:eastAsia="仿宋_GB2312" w:cs="Arial"/>
      <w:sz w:val="32"/>
      <w:szCs w:val="32"/>
    </w:rPr>
  </w:style>
  <w:style w:type="paragraph" w:customStyle="1" w:styleId="236">
    <w:name w:val="批注框文本1"/>
    <w:basedOn w:val="1"/>
    <w:link w:val="237"/>
    <w:semiHidden/>
    <w:qFormat/>
    <w:uiPriority w:val="0"/>
    <w:rPr>
      <w:sz w:val="18"/>
      <w:szCs w:val="18"/>
    </w:rPr>
  </w:style>
  <w:style w:type="character" w:customStyle="1" w:styleId="237">
    <w:name w:val="批注框文本 Char"/>
    <w:link w:val="236"/>
    <w:semiHidden/>
    <w:qFormat/>
    <w:uiPriority w:val="0"/>
    <w:rPr>
      <w:rFonts w:ascii="Times New Roman" w:hAnsi="Times New Roman" w:eastAsia="宋体" w:cs="Times New Roman"/>
      <w:sz w:val="18"/>
      <w:szCs w:val="18"/>
    </w:rPr>
  </w:style>
  <w:style w:type="paragraph" w:customStyle="1" w:styleId="238">
    <w:name w:val="页脚1"/>
    <w:basedOn w:val="1"/>
    <w:link w:val="239"/>
    <w:qFormat/>
    <w:uiPriority w:val="0"/>
    <w:pPr>
      <w:tabs>
        <w:tab w:val="center" w:pos="4153"/>
        <w:tab w:val="right" w:pos="8306"/>
      </w:tabs>
      <w:jc w:val="left"/>
    </w:pPr>
    <w:rPr>
      <w:sz w:val="18"/>
      <w:szCs w:val="18"/>
    </w:rPr>
  </w:style>
  <w:style w:type="character" w:customStyle="1" w:styleId="239">
    <w:name w:val="页脚 Char"/>
    <w:link w:val="238"/>
    <w:qFormat/>
    <w:uiPriority w:val="0"/>
    <w:rPr>
      <w:rFonts w:ascii="Times New Roman" w:hAnsi="Times New Roman" w:eastAsia="宋体" w:cs="Times New Roman"/>
      <w:sz w:val="18"/>
      <w:szCs w:val="18"/>
    </w:rPr>
  </w:style>
  <w:style w:type="paragraph" w:customStyle="1" w:styleId="240">
    <w:name w:val="页眉1"/>
    <w:basedOn w:val="1"/>
    <w:link w:val="241"/>
    <w:qFormat/>
    <w:uiPriority w:val="0"/>
    <w:pPr>
      <w:pBdr>
        <w:bottom w:val="single" w:color="000000" w:sz="6" w:space="1"/>
      </w:pBdr>
      <w:tabs>
        <w:tab w:val="center" w:pos="4153"/>
        <w:tab w:val="right" w:pos="8306"/>
      </w:tabs>
      <w:jc w:val="center"/>
    </w:pPr>
    <w:rPr>
      <w:sz w:val="18"/>
      <w:szCs w:val="18"/>
    </w:rPr>
  </w:style>
  <w:style w:type="character" w:customStyle="1" w:styleId="241">
    <w:name w:val="页眉 Char"/>
    <w:link w:val="240"/>
    <w:qFormat/>
    <w:uiPriority w:val="0"/>
    <w:rPr>
      <w:rFonts w:ascii="Times New Roman" w:hAnsi="Times New Roman" w:eastAsia="宋体" w:cs="Times New Roman"/>
      <w:sz w:val="18"/>
      <w:szCs w:val="18"/>
    </w:rPr>
  </w:style>
  <w:style w:type="paragraph" w:customStyle="1" w:styleId="242">
    <w:name w:val="目录 11"/>
    <w:basedOn w:val="1"/>
    <w:next w:val="1"/>
    <w:semiHidden/>
    <w:qFormat/>
    <w:uiPriority w:val="0"/>
    <w:pPr>
      <w:tabs>
        <w:tab w:val="right" w:leader="dot" w:pos="8720"/>
      </w:tabs>
      <w:spacing w:before="120" w:after="120" w:line="400" w:lineRule="exact"/>
      <w:jc w:val="left"/>
    </w:pPr>
    <w:rPr>
      <w:rFonts w:ascii="宋体" w:hAnsi="宋体"/>
      <w:caps/>
      <w:sz w:val="24"/>
      <w:szCs w:val="24"/>
    </w:rPr>
  </w:style>
  <w:style w:type="paragraph" w:customStyle="1" w:styleId="243">
    <w:name w:val="目录 41"/>
    <w:basedOn w:val="1"/>
    <w:next w:val="1"/>
    <w:semiHidden/>
    <w:qFormat/>
    <w:uiPriority w:val="0"/>
    <w:pPr>
      <w:ind w:left="630"/>
      <w:jc w:val="left"/>
    </w:pPr>
  </w:style>
  <w:style w:type="paragraph" w:customStyle="1" w:styleId="244">
    <w:name w:val="列表1"/>
    <w:basedOn w:val="1"/>
    <w:qFormat/>
    <w:uiPriority w:val="0"/>
    <w:pPr>
      <w:ind w:left="200" w:hanging="200"/>
    </w:pPr>
  </w:style>
  <w:style w:type="paragraph" w:customStyle="1" w:styleId="245">
    <w:name w:val="目录 61"/>
    <w:basedOn w:val="1"/>
    <w:next w:val="1"/>
    <w:semiHidden/>
    <w:qFormat/>
    <w:uiPriority w:val="0"/>
    <w:pPr>
      <w:ind w:left="1050"/>
      <w:jc w:val="left"/>
    </w:pPr>
  </w:style>
  <w:style w:type="paragraph" w:customStyle="1" w:styleId="246">
    <w:name w:val="正文文本缩进 31"/>
    <w:basedOn w:val="1"/>
    <w:link w:val="247"/>
    <w:qFormat/>
    <w:uiPriority w:val="0"/>
    <w:pPr>
      <w:ind w:left="645" w:firstLine="645"/>
    </w:pPr>
    <w:rPr>
      <w:rFonts w:ascii="Arial" w:hAnsi="Arial" w:eastAsia="仿宋_GB2312" w:cs="Arial"/>
      <w:color w:val="FFFF00"/>
      <w:sz w:val="32"/>
      <w:szCs w:val="32"/>
    </w:rPr>
  </w:style>
  <w:style w:type="character" w:customStyle="1" w:styleId="247">
    <w:name w:val="正文文本缩进 3 Char"/>
    <w:link w:val="246"/>
    <w:qFormat/>
    <w:uiPriority w:val="0"/>
    <w:rPr>
      <w:rFonts w:ascii="Arial" w:hAnsi="Arial" w:eastAsia="仿宋_GB2312" w:cs="Arial"/>
      <w:color w:val="FFFF00"/>
      <w:sz w:val="32"/>
      <w:szCs w:val="32"/>
    </w:rPr>
  </w:style>
  <w:style w:type="paragraph" w:customStyle="1" w:styleId="248">
    <w:name w:val="图表目录1"/>
    <w:basedOn w:val="1"/>
    <w:next w:val="1"/>
    <w:semiHidden/>
    <w:qFormat/>
    <w:uiPriority w:val="0"/>
    <w:pPr>
      <w:ind w:left="840" w:hanging="420"/>
    </w:pPr>
  </w:style>
  <w:style w:type="paragraph" w:customStyle="1" w:styleId="249">
    <w:name w:val="目录 21"/>
    <w:basedOn w:val="1"/>
    <w:next w:val="1"/>
    <w:semiHidden/>
    <w:qFormat/>
    <w:uiPriority w:val="0"/>
    <w:pPr>
      <w:ind w:left="210"/>
      <w:jc w:val="left"/>
    </w:pPr>
    <w:rPr>
      <w:smallCaps/>
      <w:szCs w:val="24"/>
    </w:rPr>
  </w:style>
  <w:style w:type="paragraph" w:customStyle="1" w:styleId="250">
    <w:name w:val="目录 91"/>
    <w:basedOn w:val="1"/>
    <w:next w:val="1"/>
    <w:semiHidden/>
    <w:qFormat/>
    <w:uiPriority w:val="0"/>
    <w:pPr>
      <w:ind w:left="1680"/>
      <w:jc w:val="left"/>
    </w:pPr>
  </w:style>
  <w:style w:type="paragraph" w:customStyle="1" w:styleId="251">
    <w:name w:val="正文文本 21"/>
    <w:basedOn w:val="1"/>
    <w:link w:val="252"/>
    <w:qFormat/>
    <w:uiPriority w:val="0"/>
    <w:pPr>
      <w:widowControl/>
      <w:jc w:val="center"/>
    </w:pPr>
    <w:rPr>
      <w:rFonts w:ascii="楷体_GB2312" w:eastAsia="楷体_GB2312"/>
      <w:sz w:val="28"/>
      <w:szCs w:val="28"/>
    </w:rPr>
  </w:style>
  <w:style w:type="character" w:customStyle="1" w:styleId="252">
    <w:name w:val="正文文本 2 Char"/>
    <w:link w:val="251"/>
    <w:qFormat/>
    <w:uiPriority w:val="0"/>
    <w:rPr>
      <w:rFonts w:ascii="楷体_GB2312" w:hAnsi="Times New Roman" w:eastAsia="楷体_GB2312" w:cs="Times New Roman"/>
      <w:sz w:val="28"/>
      <w:szCs w:val="28"/>
    </w:rPr>
  </w:style>
  <w:style w:type="paragraph" w:customStyle="1" w:styleId="253">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rPr>
  </w:style>
  <w:style w:type="paragraph" w:customStyle="1" w:styleId="254">
    <w:name w:val="普通(网站)1"/>
    <w:basedOn w:val="1"/>
    <w:qFormat/>
    <w:uiPriority w:val="99"/>
    <w:pPr>
      <w:widowControl/>
      <w:spacing w:before="100" w:beforeAutospacing="1" w:after="100" w:afterAutospacing="1"/>
      <w:jc w:val="left"/>
    </w:pPr>
    <w:rPr>
      <w:rFonts w:ascii="宋体" w:hAnsi="宋体" w:cs="宋体"/>
      <w:sz w:val="24"/>
      <w:szCs w:val="24"/>
    </w:rPr>
  </w:style>
  <w:style w:type="paragraph" w:customStyle="1" w:styleId="255">
    <w:name w:val="索引 11"/>
    <w:basedOn w:val="1"/>
    <w:next w:val="1"/>
    <w:semiHidden/>
    <w:qFormat/>
    <w:uiPriority w:val="0"/>
    <w:pPr>
      <w:spacing w:line="240" w:lineRule="atLeast"/>
    </w:pPr>
    <w:rPr>
      <w:b/>
      <w:bCs/>
    </w:rPr>
  </w:style>
  <w:style w:type="paragraph" w:customStyle="1" w:styleId="256">
    <w:name w:val="批注主题1"/>
    <w:basedOn w:val="218"/>
    <w:next w:val="218"/>
    <w:link w:val="257"/>
    <w:semiHidden/>
    <w:qFormat/>
    <w:uiPriority w:val="0"/>
    <w:rPr>
      <w:b/>
      <w:bCs/>
    </w:rPr>
  </w:style>
  <w:style w:type="character" w:customStyle="1" w:styleId="257">
    <w:name w:val="批注主题 Char"/>
    <w:link w:val="256"/>
    <w:semiHidden/>
    <w:qFormat/>
    <w:uiPriority w:val="0"/>
    <w:rPr>
      <w:rFonts w:ascii="Times New Roman" w:hAnsi="Times New Roman" w:eastAsia="宋体" w:cs="Times New Roman"/>
      <w:b/>
      <w:bCs/>
      <w:szCs w:val="21"/>
    </w:rPr>
  </w:style>
  <w:style w:type="paragraph" w:customStyle="1" w:styleId="258">
    <w:name w:val="正文首行缩进1"/>
    <w:basedOn w:val="1"/>
    <w:link w:val="259"/>
    <w:qFormat/>
    <w:uiPriority w:val="0"/>
    <w:pPr>
      <w:spacing w:line="360" w:lineRule="auto"/>
      <w:ind w:firstLine="200"/>
    </w:pPr>
    <w:rPr>
      <w:rFonts w:ascii="仿宋_GB2312" w:eastAsia="仿宋_GB2312"/>
      <w:sz w:val="30"/>
      <w:szCs w:val="30"/>
    </w:rPr>
  </w:style>
  <w:style w:type="character" w:customStyle="1" w:styleId="259">
    <w:name w:val="正文首行缩进 Char"/>
    <w:link w:val="258"/>
    <w:qFormat/>
    <w:uiPriority w:val="0"/>
    <w:rPr>
      <w:rFonts w:ascii="仿宋_GB2312" w:hAnsi="Times New Roman" w:eastAsia="仿宋_GB2312" w:cs="Times New Roman"/>
      <w:sz w:val="30"/>
      <w:szCs w:val="30"/>
    </w:rPr>
  </w:style>
  <w:style w:type="paragraph" w:customStyle="1" w:styleId="260">
    <w:name w:val="正文首行缩进 21"/>
    <w:basedOn w:val="224"/>
    <w:link w:val="261"/>
    <w:qFormat/>
    <w:uiPriority w:val="0"/>
    <w:pPr>
      <w:spacing w:line="360" w:lineRule="auto"/>
      <w:ind w:firstLine="420"/>
    </w:pPr>
    <w:rPr>
      <w:rFonts w:ascii="宋体" w:hAnsi="宋体" w:eastAsia="宋体"/>
      <w:sz w:val="21"/>
      <w:szCs w:val="20"/>
    </w:rPr>
  </w:style>
  <w:style w:type="character" w:customStyle="1" w:styleId="261">
    <w:name w:val="正文首行缩进 2 Char"/>
    <w:link w:val="260"/>
    <w:qFormat/>
    <w:uiPriority w:val="0"/>
    <w:rPr>
      <w:rFonts w:ascii="宋体" w:hAnsi="宋体" w:eastAsia="宋体" w:cs="Times New Roman"/>
      <w:sz w:val="32"/>
      <w:szCs w:val="20"/>
    </w:rPr>
  </w:style>
  <w:style w:type="table" w:customStyle="1" w:styleId="262">
    <w:name w:val="网格型1"/>
    <w:basedOn w:val="203"/>
    <w:qFormat/>
    <w:uiPriority w:val="0"/>
    <w:pPr>
      <w:widowControl w:val="0"/>
      <w:jc w:val="both"/>
    </w:pPr>
    <w:rPr>
      <w:rFonts w:ascii="Times New Roman" w:hAnsi="Times New Roman" w:eastAsia="宋体" w:cs="Times New Roman"/>
      <w:sz w:val="20"/>
      <w:szCs w:val="20"/>
    </w:rPr>
  </w:style>
  <w:style w:type="character" w:customStyle="1" w:styleId="263">
    <w:name w:val="要点1"/>
    <w:link w:val="1"/>
    <w:qFormat/>
    <w:uiPriority w:val="0"/>
    <w:rPr>
      <w:b/>
      <w:bCs/>
    </w:rPr>
  </w:style>
  <w:style w:type="character" w:customStyle="1" w:styleId="264">
    <w:name w:val="页码1"/>
    <w:link w:val="1"/>
    <w:qFormat/>
    <w:uiPriority w:val="0"/>
  </w:style>
  <w:style w:type="character" w:customStyle="1" w:styleId="265">
    <w:name w:val="已访问的超链接1"/>
    <w:link w:val="1"/>
    <w:qFormat/>
    <w:uiPriority w:val="0"/>
    <w:rPr>
      <w:color w:val="800080"/>
      <w:u w:val="single"/>
    </w:rPr>
  </w:style>
  <w:style w:type="character" w:customStyle="1" w:styleId="266">
    <w:name w:val="强调1"/>
    <w:basedOn w:val="202"/>
    <w:link w:val="1"/>
    <w:qFormat/>
    <w:uiPriority w:val="20"/>
    <w:rPr>
      <w:i/>
    </w:rPr>
  </w:style>
  <w:style w:type="character" w:customStyle="1" w:styleId="267">
    <w:name w:val="超链接1"/>
    <w:link w:val="1"/>
    <w:qFormat/>
    <w:uiPriority w:val="0"/>
    <w:rPr>
      <w:color w:val="0000FF"/>
      <w:u w:val="single"/>
    </w:rPr>
  </w:style>
  <w:style w:type="character" w:customStyle="1" w:styleId="268">
    <w:name w:val="批注引用1"/>
    <w:link w:val="1"/>
    <w:semiHidden/>
    <w:qFormat/>
    <w:uiPriority w:val="0"/>
    <w:rPr>
      <w:sz w:val="21"/>
      <w:szCs w:val="21"/>
    </w:rPr>
  </w:style>
  <w:style w:type="character" w:customStyle="1" w:styleId="269">
    <w:name w:val="二级目录 Char"/>
    <w:link w:val="270"/>
    <w:qFormat/>
    <w:uiPriority w:val="0"/>
    <w:rPr>
      <w:b/>
      <w:sz w:val="30"/>
      <w:szCs w:val="28"/>
    </w:rPr>
  </w:style>
  <w:style w:type="paragraph" w:customStyle="1" w:styleId="270">
    <w:name w:val="二级目录"/>
    <w:next w:val="1"/>
    <w:link w:val="269"/>
    <w:qFormat/>
    <w:uiPriority w:val="0"/>
    <w:pPr>
      <w:numPr>
        <w:ilvl w:val="0"/>
        <w:numId w:val="2"/>
      </w:numPr>
      <w:tabs>
        <w:tab w:val="left" w:pos="1145"/>
      </w:tabs>
      <w:outlineLvl w:val="1"/>
    </w:pPr>
    <w:rPr>
      <w:rFonts w:hint="default" w:ascii="Times New Roman" w:hAnsi="Times New Roman" w:eastAsia="宋体" w:cs="Times New Roman"/>
      <w:b/>
      <w:sz w:val="30"/>
      <w:szCs w:val="28"/>
      <w:lang w:val="en-US" w:eastAsia="zh-CN" w:bidi="ar-SA"/>
    </w:rPr>
  </w:style>
  <w:style w:type="character" w:customStyle="1" w:styleId="271">
    <w:name w:val="font5 Char"/>
    <w:link w:val="1"/>
    <w:qFormat/>
    <w:uiPriority w:val="0"/>
    <w:rPr>
      <w:rFonts w:ascii="宋体" w:hAnsi="宋体" w:eastAsia="宋体"/>
      <w:sz w:val="28"/>
      <w:szCs w:val="28"/>
      <w:lang w:val="en-US" w:eastAsia="zh-CN" w:bidi="ar-SA"/>
    </w:rPr>
  </w:style>
  <w:style w:type="character" w:customStyle="1" w:styleId="272">
    <w:name w:val="列出段落 Char"/>
    <w:link w:val="273"/>
    <w:qFormat/>
    <w:uiPriority w:val="0"/>
    <w:rPr>
      <w:rFonts w:ascii="Calibri" w:hAnsi="Calibri"/>
      <w:sz w:val="24"/>
      <w:szCs w:val="24"/>
      <w:lang w:eastAsia="en-US" w:bidi="en-US"/>
    </w:rPr>
  </w:style>
  <w:style w:type="paragraph" w:customStyle="1" w:styleId="273">
    <w:name w:val="列出段落1"/>
    <w:basedOn w:val="1"/>
    <w:link w:val="272"/>
    <w:qFormat/>
    <w:uiPriority w:val="0"/>
    <w:pPr>
      <w:widowControl/>
      <w:ind w:left="720"/>
      <w:contextualSpacing/>
      <w:jc w:val="left"/>
    </w:pPr>
    <w:rPr>
      <w:rFonts w:ascii="Calibri" w:hAnsi="Calibri" w:eastAsia="宋体" w:cs="Times New Roman"/>
      <w:sz w:val="24"/>
      <w:szCs w:val="24"/>
      <w:lang w:eastAsia="en-US" w:bidi="en-US"/>
    </w:rPr>
  </w:style>
  <w:style w:type="character" w:customStyle="1" w:styleId="274">
    <w:name w:val="MSG_EN_FONT_STYLE_NAME_TEMPLATE_ROLE_NUMBER MSG_EN_FONT_STYLE_NAME_BY_ROLE_TEXT 2 + MSG_EN_FONT_STYLE_MODIFER_SIZE 8"/>
    <w:link w:val="1"/>
    <w:qFormat/>
    <w:uiPriority w:val="0"/>
    <w:rPr>
      <w:rFonts w:hint="eastAsia" w:ascii="PMingLiU" w:hAnsi="PMingLiU" w:eastAsia="PMingLiU" w:cs="PMingLiU"/>
      <w:spacing w:val="10"/>
      <w:sz w:val="16"/>
      <w:szCs w:val="16"/>
      <w:u w:val="none"/>
    </w:rPr>
  </w:style>
  <w:style w:type="paragraph" w:customStyle="1" w:styleId="275">
    <w:name w:val="table_lines"/>
    <w:basedOn w:val="1"/>
    <w:qFormat/>
    <w:uiPriority w:val="0"/>
    <w:pPr>
      <w:widowControl/>
      <w:jc w:val="left"/>
    </w:pPr>
    <w:rPr>
      <w:sz w:val="20"/>
      <w:szCs w:val="20"/>
      <w:lang w:val="de-DE" w:eastAsia="de-DE"/>
    </w:rPr>
  </w:style>
  <w:style w:type="paragraph" w:customStyle="1" w:styleId="276">
    <w:name w:val="普通正文"/>
    <w:basedOn w:val="1"/>
    <w:qFormat/>
    <w:uiPriority w:val="0"/>
    <w:pPr>
      <w:spacing w:before="120" w:after="120" w:line="360" w:lineRule="auto"/>
      <w:ind w:firstLine="480"/>
      <w:jc w:val="left"/>
    </w:pPr>
    <w:rPr>
      <w:rFonts w:ascii="Arial" w:hAnsi="Arial"/>
      <w:sz w:val="24"/>
      <w:szCs w:val="24"/>
    </w:rPr>
  </w:style>
  <w:style w:type="paragraph" w:customStyle="1" w:styleId="277">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sz w:val="24"/>
      <w:szCs w:val="24"/>
    </w:rPr>
  </w:style>
  <w:style w:type="paragraph" w:customStyle="1" w:styleId="278">
    <w:name w:val="xl2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sz w:val="24"/>
      <w:szCs w:val="24"/>
    </w:rPr>
  </w:style>
  <w:style w:type="paragraph" w:customStyle="1" w:styleId="279">
    <w:name w:val="附录1"/>
    <w:qFormat/>
    <w:uiPriority w:val="0"/>
    <w:pPr>
      <w:numPr>
        <w:ilvl w:val="0"/>
        <w:numId w:val="2"/>
      </w:numPr>
      <w:spacing w:before="240" w:line="600" w:lineRule="atLeast"/>
    </w:pPr>
    <w:rPr>
      <w:rFonts w:hint="default" w:ascii="Times New Roman" w:hAnsi="Times New Roman" w:eastAsia="宋体" w:cs="Times New Roman"/>
      <w:b/>
      <w:i/>
      <w:sz w:val="28"/>
      <w:lang w:val="en-US" w:eastAsia="zh-CN" w:bidi="ar-SA"/>
    </w:rPr>
  </w:style>
  <w:style w:type="paragraph" w:customStyle="1" w:styleId="280">
    <w:name w:val="font6"/>
    <w:basedOn w:val="1"/>
    <w:qFormat/>
    <w:uiPriority w:val="0"/>
    <w:pPr>
      <w:widowControl/>
      <w:spacing w:before="100" w:beforeAutospacing="1" w:after="100" w:afterAutospacing="1"/>
      <w:jc w:val="left"/>
    </w:pPr>
    <w:rPr>
      <w:rFonts w:hint="eastAsia" w:ascii="宋体" w:hAnsi="宋体"/>
      <w:sz w:val="28"/>
      <w:szCs w:val="28"/>
      <w:u w:val="single"/>
    </w:rPr>
  </w:style>
  <w:style w:type="paragraph" w:customStyle="1" w:styleId="281">
    <w:name w:val="标题1"/>
    <w:basedOn w:val="1"/>
    <w:next w:val="1"/>
    <w:qFormat/>
    <w:uiPriority w:val="0"/>
    <w:pPr>
      <w:tabs>
        <w:tab w:val="left" w:pos="9193"/>
        <w:tab w:val="left" w:pos="9827"/>
      </w:tabs>
      <w:spacing w:line="700" w:lineRule="atLeast"/>
      <w:jc w:val="center"/>
    </w:pPr>
    <w:rPr>
      <w:rFonts w:ascii="方正小标宋_GBK" w:eastAsia="方正小标宋_GBK"/>
      <w:sz w:val="44"/>
      <w:szCs w:val="20"/>
    </w:rPr>
  </w:style>
  <w:style w:type="paragraph" w:customStyle="1" w:styleId="282">
    <w:name w:val=" Char Char Char Char"/>
    <w:basedOn w:val="216"/>
    <w:qFormat/>
    <w:uiPriority w:val="0"/>
    <w:pPr>
      <w:spacing w:line="360" w:lineRule="auto"/>
    </w:pPr>
    <w:rPr>
      <w:rFonts w:ascii="Tahoma" w:hAnsi="Tahoma"/>
      <w:sz w:val="24"/>
      <w:szCs w:val="24"/>
    </w:rPr>
  </w:style>
  <w:style w:type="paragraph" w:customStyle="1" w:styleId="283">
    <w:name w:val="修订"/>
    <w:semiHidden/>
    <w:qFormat/>
    <w:uiPriority w:val="99"/>
    <w:rPr>
      <w:rFonts w:hint="default" w:ascii="Times New Roman" w:hAnsi="Times New Roman" w:eastAsia="宋体" w:cs="Times New Roman"/>
      <w:sz w:val="21"/>
      <w:szCs w:val="21"/>
      <w:lang w:val="en-US" w:eastAsia="zh-CN" w:bidi="ar-SA"/>
    </w:rPr>
  </w:style>
  <w:style w:type="paragraph" w:customStyle="1" w:styleId="284">
    <w:name w:val="Char Char Char Char Char Char Char Char"/>
    <w:basedOn w:val="1"/>
    <w:qFormat/>
    <w:uiPriority w:val="0"/>
    <w:pPr>
      <w:widowControl/>
      <w:spacing w:after="160" w:line="240" w:lineRule="exact"/>
      <w:jc w:val="left"/>
    </w:pPr>
    <w:rPr>
      <w:rFonts w:ascii="Verdana" w:hAnsi="Verdana"/>
      <w:sz w:val="20"/>
      <w:szCs w:val="20"/>
      <w:lang w:eastAsia="en-US"/>
    </w:rPr>
  </w:style>
  <w:style w:type="paragraph" w:customStyle="1" w:styleId="285">
    <w:name w:val="列出段落2"/>
    <w:basedOn w:val="1"/>
    <w:qFormat/>
    <w:uiPriority w:val="0"/>
    <w:pPr>
      <w:ind w:firstLine="200"/>
    </w:pPr>
    <w:rPr>
      <w:rFonts w:ascii="Times New Roman" w:hAnsi="Times New Roman" w:eastAsia="宋体" w:cs="Times New Roman"/>
      <w:szCs w:val="20"/>
    </w:rPr>
  </w:style>
  <w:style w:type="paragraph" w:customStyle="1" w:styleId="286">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sz w:val="24"/>
      <w:szCs w:val="24"/>
    </w:rPr>
  </w:style>
  <w:style w:type="paragraph" w:customStyle="1" w:styleId="287">
    <w:name w:val="Body Text(ch)"/>
    <w:basedOn w:val="1"/>
    <w:next w:val="222"/>
    <w:qFormat/>
    <w:uiPriority w:val="0"/>
    <w:pPr>
      <w:spacing w:after="120"/>
    </w:pPr>
    <w:rPr>
      <w:rFonts w:ascii="宋体" w:hAnsi="Arial"/>
      <w:bCs/>
      <w:iCs/>
      <w:szCs w:val="24"/>
    </w:rPr>
  </w:style>
  <w:style w:type="paragraph" w:customStyle="1" w:styleId="288">
    <w:name w:val=" Char Char Char Char Char Char Char Char"/>
    <w:basedOn w:val="1"/>
    <w:qFormat/>
    <w:uiPriority w:val="0"/>
    <w:pPr>
      <w:widowControl/>
      <w:spacing w:after="160" w:line="240" w:lineRule="exact"/>
      <w:jc w:val="left"/>
    </w:pPr>
    <w:rPr>
      <w:rFonts w:ascii="Verdana" w:hAnsi="Verdana"/>
      <w:sz w:val="20"/>
      <w:szCs w:val="20"/>
      <w:lang w:eastAsia="en-US"/>
    </w:rPr>
  </w:style>
  <w:style w:type="paragraph" w:customStyle="1" w:styleId="289">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sz w:val="24"/>
      <w:szCs w:val="24"/>
    </w:rPr>
  </w:style>
  <w:style w:type="paragraph" w:customStyle="1" w:styleId="290">
    <w:name w:val="Char Char Char Char"/>
    <w:basedOn w:val="216"/>
    <w:qFormat/>
    <w:uiPriority w:val="0"/>
    <w:pPr>
      <w:spacing w:line="360" w:lineRule="auto"/>
    </w:pPr>
    <w:rPr>
      <w:rFonts w:ascii="Tahoma" w:hAnsi="Tahoma"/>
      <w:sz w:val="24"/>
      <w:szCs w:val="24"/>
    </w:rPr>
  </w:style>
  <w:style w:type="paragraph" w:customStyle="1" w:styleId="291">
    <w:name w:val="Char"/>
    <w:basedOn w:val="1"/>
    <w:qFormat/>
    <w:uiPriority w:val="0"/>
    <w:pPr>
      <w:tabs>
        <w:tab w:val="left" w:pos="360"/>
      </w:tabs>
      <w:ind w:firstLine="200"/>
    </w:pPr>
    <w:rPr>
      <w:sz w:val="28"/>
      <w:szCs w:val="30"/>
    </w:rPr>
  </w:style>
  <w:style w:type="paragraph" w:customStyle="1" w:styleId="292">
    <w:name w:val="font7"/>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293">
    <w:name w:val=" Char"/>
    <w:basedOn w:val="216"/>
    <w:qFormat/>
    <w:uiPriority w:val="0"/>
    <w:rPr>
      <w:rFonts w:ascii="Tahoma" w:hAnsi="Tahoma"/>
      <w:sz w:val="24"/>
      <w:szCs w:val="24"/>
    </w:rPr>
  </w:style>
  <w:style w:type="paragraph" w:customStyle="1" w:styleId="294">
    <w:name w:val="列出段落"/>
    <w:basedOn w:val="1"/>
    <w:qFormat/>
    <w:uiPriority w:val="0"/>
    <w:pPr>
      <w:widowControl/>
      <w:ind w:left="720"/>
      <w:contextualSpacing/>
      <w:jc w:val="left"/>
    </w:pPr>
    <w:rPr>
      <w:rFonts w:ascii="Calibri" w:hAnsi="Calibri"/>
      <w:sz w:val="24"/>
      <w:szCs w:val="24"/>
      <w:lang w:eastAsia="en-US" w:bidi="en-US"/>
    </w:rPr>
  </w:style>
  <w:style w:type="paragraph" w:customStyle="1" w:styleId="295">
    <w:name w:val="4"/>
    <w:basedOn w:val="1"/>
    <w:next w:val="246"/>
    <w:qFormat/>
    <w:uiPriority w:val="0"/>
    <w:pPr>
      <w:spacing w:line="360" w:lineRule="auto"/>
      <w:ind w:firstLine="420"/>
    </w:pPr>
    <w:rPr>
      <w:color w:val="FF0000"/>
      <w:sz w:val="24"/>
      <w:szCs w:val="24"/>
    </w:rPr>
  </w:style>
  <w:style w:type="paragraph" w:customStyle="1" w:styleId="296">
    <w:name w:val="普通 (Web)"/>
    <w:basedOn w:val="1"/>
    <w:qFormat/>
    <w:uiPriority w:val="0"/>
    <w:pPr>
      <w:widowControl/>
      <w:spacing w:before="100" w:beforeAutospacing="1" w:after="100" w:afterAutospacing="1"/>
      <w:jc w:val="left"/>
    </w:pPr>
    <w:rPr>
      <w:rFonts w:ascii="宋体" w:hAnsi="宋体"/>
      <w:sz w:val="24"/>
      <w:szCs w:val="24"/>
    </w:rPr>
  </w:style>
  <w:style w:type="paragraph" w:customStyle="1" w:styleId="297">
    <w:name w:val=" Char Char Char Char Char Char Char Char Char Char"/>
    <w:basedOn w:val="1"/>
    <w:qFormat/>
    <w:uiPriority w:val="0"/>
    <w:pPr>
      <w:spacing w:line="360" w:lineRule="auto"/>
    </w:pPr>
    <w:rPr>
      <w:sz w:val="24"/>
      <w:szCs w:val="20"/>
    </w:rPr>
  </w:style>
  <w:style w:type="paragraph" w:customStyle="1" w:styleId="298">
    <w:name w:val="样式1"/>
    <w:basedOn w:val="1"/>
    <w:qFormat/>
    <w:uiPriority w:val="0"/>
    <w:pPr>
      <w:numPr>
        <w:ilvl w:val="0"/>
        <w:numId w:val="3"/>
      </w:numPr>
    </w:pPr>
    <w:rPr>
      <w:rFonts w:ascii="宋体" w:hAnsi="宋体"/>
    </w:rPr>
  </w:style>
  <w:style w:type="paragraph" w:customStyle="1" w:styleId="299">
    <w:name w:val="无间隔"/>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00">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301">
    <w:name w:val="图标"/>
    <w:basedOn w:val="1"/>
    <w:next w:val="1"/>
    <w:qFormat/>
    <w:uiPriority w:val="0"/>
    <w:pPr>
      <w:tabs>
        <w:tab w:val="left" w:pos="567"/>
        <w:tab w:val="left" w:pos="840"/>
      </w:tabs>
      <w:spacing w:before="120" w:after="120" w:line="320" w:lineRule="atLeast"/>
      <w:ind w:left="840" w:hanging="420"/>
      <w:jc w:val="center"/>
    </w:pPr>
    <w:rPr>
      <w:rFonts w:eastAsia="仿宋_GB2312"/>
      <w:sz w:val="24"/>
      <w:szCs w:val="20"/>
    </w:rPr>
  </w:style>
  <w:style w:type="paragraph" w:customStyle="1" w:styleId="302">
    <w:name w:val="标题3"/>
    <w:basedOn w:val="1"/>
    <w:next w:val="1"/>
    <w:qFormat/>
    <w:uiPriority w:val="0"/>
    <w:pPr>
      <w:spacing w:line="590" w:lineRule="atLeast"/>
      <w:ind w:firstLine="624"/>
    </w:pPr>
    <w:rPr>
      <w:rFonts w:ascii="方正黑体_GBK" w:eastAsia="方正黑体_GBK"/>
      <w:sz w:val="32"/>
      <w:szCs w:val="32"/>
    </w:rPr>
  </w:style>
  <w:style w:type="paragraph" w:customStyle="1" w:styleId="303">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sz w:val="24"/>
      <w:szCs w:val="24"/>
    </w:rPr>
  </w:style>
  <w:style w:type="paragraph" w:customStyle="1" w:styleId="304">
    <w:name w:val="xl30"/>
    <w:basedOn w:val="1"/>
    <w:qFormat/>
    <w:uiPriority w:val="0"/>
    <w:pPr>
      <w:widowControl/>
      <w:spacing w:before="100" w:beforeAutospacing="1" w:after="100" w:afterAutospacing="1"/>
      <w:jc w:val="center"/>
    </w:pPr>
    <w:rPr>
      <w:rFonts w:ascii="宋体" w:hAnsi="宋体"/>
      <w:b/>
      <w:bCs/>
      <w:sz w:val="36"/>
      <w:szCs w:val="36"/>
    </w:rPr>
  </w:style>
  <w:style w:type="paragraph" w:customStyle="1" w:styleId="305">
    <w:name w:val="table_1stline"/>
    <w:basedOn w:val="1"/>
    <w:qFormat/>
    <w:uiPriority w:val="0"/>
    <w:pPr>
      <w:widowControl/>
      <w:spacing w:before="120"/>
      <w:jc w:val="left"/>
    </w:pPr>
    <w:rPr>
      <w:bCs/>
      <w:sz w:val="20"/>
      <w:szCs w:val="20"/>
      <w:lang w:val="de-DE" w:eastAsia="de-DE"/>
    </w:rPr>
  </w:style>
  <w:style w:type="paragraph" w:customStyle="1" w:styleId="306">
    <w:name w:val="font5"/>
    <w:basedOn w:val="1"/>
    <w:qFormat/>
    <w:uiPriority w:val="0"/>
    <w:pPr>
      <w:widowControl/>
      <w:spacing w:before="100" w:beforeAutospacing="1" w:after="100" w:afterAutospacing="1"/>
      <w:jc w:val="left"/>
    </w:pPr>
    <w:rPr>
      <w:rFonts w:hint="eastAsia" w:ascii="宋体" w:hAnsi="宋体"/>
      <w:sz w:val="28"/>
      <w:szCs w:val="28"/>
    </w:rPr>
  </w:style>
  <w:style w:type="character" w:customStyle="1" w:styleId="307">
    <w:name w:val="font31"/>
    <w:basedOn w:val="38"/>
    <w:qFormat/>
    <w:uiPriority w:val="0"/>
    <w:rPr>
      <w:rFonts w:ascii="仿宋" w:hAnsi="仿宋" w:eastAsia="仿宋" w:cs="仿宋"/>
      <w:color w:val="000000"/>
      <w:sz w:val="21"/>
      <w:szCs w:val="21"/>
      <w:u w:val="none"/>
    </w:rPr>
  </w:style>
  <w:style w:type="paragraph" w:customStyle="1" w:styleId="308">
    <w:name w:val="Table Paragraph"/>
    <w:basedOn w:val="1"/>
    <w:qFormat/>
    <w:uiPriority w:val="1"/>
    <w:rPr>
      <w:rFonts w:ascii="宋体" w:hAnsi="宋体" w:eastAsia="宋体" w:cs="宋体"/>
      <w:lang w:val="zh-CN" w:eastAsia="zh-CN" w:bidi="zh-CN"/>
    </w:rPr>
  </w:style>
  <w:style w:type="paragraph" w:customStyle="1" w:styleId="309">
    <w:name w:val="段"/>
    <w:next w:val="1"/>
    <w:qFormat/>
    <w:uiPriority w:val="0"/>
    <w:pPr>
      <w:spacing w:line="360" w:lineRule="auto"/>
      <w:ind w:firstLine="200"/>
      <w:jc w:val="both"/>
    </w:pPr>
    <w:rPr>
      <w:rFonts w:hint="default" w:ascii="宋体" w:hAnsi="Times New Roman" w:eastAsia="宋体" w:cs="Times New Roman"/>
      <w:sz w:val="24"/>
      <w:szCs w:val="22"/>
      <w:lang w:val="en-US" w:eastAsia="zh-CN" w:bidi="ar-SA"/>
    </w:rPr>
  </w:style>
  <w:style w:type="table" w:customStyle="1" w:styleId="310">
    <w:name w:val="Table Normal2"/>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table" w:customStyle="1" w:styleId="311">
    <w:name w:val="Table Normal6"/>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12">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13">
    <w:name w:val="Table Normal1"/>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table" w:customStyle="1" w:styleId="314">
    <w:name w:val="Table Normal5"/>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15">
    <w:name w:val="Table Normal4"/>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316">
    <w:name w:val="表格正文"/>
    <w:basedOn w:val="1"/>
    <w:qFormat/>
    <w:uiPriority w:val="0"/>
    <w:pPr>
      <w:jc w:val="left"/>
    </w:pPr>
    <w:rPr>
      <w:sz w:val="24"/>
      <w:szCs w:val="21"/>
    </w:rPr>
  </w:style>
  <w:style w:type="character" w:customStyle="1" w:styleId="317">
    <w:name w:val="15"/>
    <w:link w:val="1"/>
    <w:autoRedefine/>
    <w:qFormat/>
    <w:uiPriority w:val="0"/>
    <w:rPr>
      <w:rFonts w:ascii="Times New Roman" w:hAnsi="Times New Roman" w:eastAsia="宋体"/>
      <w:sz w:val="21"/>
      <w:szCs w:val="21"/>
      <w:lang w:val="en-US" w:eastAsia="zh-CN" w:bidi="ar-SA"/>
    </w:rPr>
  </w:style>
  <w:style w:type="table" w:customStyle="1" w:styleId="318">
    <w:name w:val="网格型3"/>
    <w:basedOn w:val="36"/>
    <w:qFormat/>
    <w:uiPriority w:val="39"/>
    <w:rPr>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
    <w:name w:val="网格型31"/>
    <w:basedOn w:val="36"/>
    <w:qFormat/>
    <w:uiPriority w:val="59"/>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Template>
  <Company>Micro</Company>
  <Pages>60</Pages>
  <Words>23420</Words>
  <Characters>24896</Characters>
  <TotalTime>6</TotalTime>
  <ScaleCrop>false</ScaleCrop>
  <LinksUpToDate>false</LinksUpToDate>
  <CharactersWithSpaces>27362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2023-03-16T02:16:00Z</dcterms:created>
  <dc:creator>赵国</dc:creator>
  <cp:lastModifiedBy>猪猪侠</cp:lastModifiedBy>
  <dcterms:modified xsi:type="dcterms:W3CDTF">2024-09-19T01:49:00Z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3314248D66E3405A9C35AC625272103F_13</vt:lpwstr>
  </property>
</Properties>
</file>