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AABD2BB">
      <w:pPr>
        <w:rPr>
          <w:rFonts w:hint="eastAsia" w:ascii="宋体" w:hAnsi="宋体" w:eastAsia="宋体" w:cs="宋体"/>
          <w:b w:val="0"/>
          <w:bCs w:val="0"/>
          <w:sz w:val="30"/>
          <w:szCs w:val="30"/>
          <w:highlight w:val="none"/>
        </w:rPr>
      </w:pPr>
      <w:r>
        <w:rPr>
          <w:rFonts w:hint="eastAsia" w:ascii="宋体" w:hAnsi="宋体" w:eastAsia="宋体" w:cs="宋体"/>
          <w:b w:val="0"/>
          <w:bCs w:val="0"/>
          <w:color w:val="auto"/>
          <w:sz w:val="32"/>
          <w:highlight w:val="none"/>
          <w:lang w:eastAsia="zh-CN"/>
        </w:rPr>
        <w:t>邳州市骆马湖上游流域水环境质量监管及风险防控能力建设项目</w:t>
      </w:r>
      <w:r>
        <w:rPr>
          <w:rFonts w:hint="eastAsia" w:ascii="宋体" w:hAnsi="宋体" w:eastAsia="宋体" w:cs="宋体"/>
          <w:b w:val="0"/>
          <w:bCs w:val="0"/>
          <w:sz w:val="30"/>
          <w:szCs w:val="30"/>
          <w:highlight w:val="none"/>
        </w:rPr>
        <w:t>更正（澄清）内容（</w:t>
      </w:r>
      <w:r>
        <w:rPr>
          <w:rFonts w:hint="eastAsia" w:ascii="宋体" w:hAnsi="宋体" w:cs="宋体"/>
          <w:b w:val="0"/>
          <w:bCs w:val="0"/>
          <w:sz w:val="30"/>
          <w:szCs w:val="30"/>
          <w:highlight w:val="none"/>
        </w:rPr>
        <w:t>一</w:t>
      </w:r>
      <w:r>
        <w:rPr>
          <w:rFonts w:hint="eastAsia" w:ascii="宋体" w:hAnsi="宋体" w:eastAsia="宋体" w:cs="宋体"/>
          <w:b w:val="0"/>
          <w:bCs w:val="0"/>
          <w:sz w:val="30"/>
          <w:szCs w:val="30"/>
          <w:highlight w:val="none"/>
        </w:rPr>
        <w:t>）</w:t>
      </w:r>
    </w:p>
    <w:p w14:paraId="7A76C9BE">
      <w:pPr>
        <w:pStyle w:val="6"/>
        <w:widowControl/>
        <w:spacing w:beforeAutospacing="0" w:afterAutospacing="0" w:line="38" w:lineRule="atLeast"/>
        <w:jc w:val="both"/>
        <w:rPr>
          <w:rFonts w:hint="eastAsia" w:ascii="宋体" w:hAnsi="宋体" w:eastAsia="宋体" w:cs="宋体"/>
          <w:b/>
          <w:bCs/>
          <w:sz w:val="28"/>
          <w:szCs w:val="28"/>
        </w:rPr>
      </w:pPr>
      <w:bookmarkStart w:id="0" w:name="_GoBack"/>
      <w:bookmarkEnd w:id="0"/>
    </w:p>
    <w:p w14:paraId="572B64B1">
      <w:pPr>
        <w:pStyle w:val="6"/>
        <w:widowControl/>
        <w:spacing w:beforeAutospacing="0" w:afterAutospacing="0" w:line="38" w:lineRule="atLeast"/>
        <w:jc w:val="both"/>
        <w:rPr>
          <w:rStyle w:val="10"/>
          <w:rFonts w:hint="eastAsia" w:ascii="宋体" w:hAnsi="宋体" w:eastAsia="宋体" w:cs="宋体"/>
          <w:sz w:val="28"/>
          <w:szCs w:val="28"/>
        </w:rPr>
      </w:pPr>
      <w:r>
        <w:rPr>
          <w:rFonts w:hint="eastAsia" w:ascii="宋体" w:hAnsi="宋体" w:eastAsia="宋体" w:cs="宋体"/>
          <w:b/>
          <w:bCs/>
          <w:sz w:val="28"/>
          <w:szCs w:val="28"/>
        </w:rPr>
        <w:t>一、以下为澄清或者修改的内容</w:t>
      </w:r>
    </w:p>
    <w:p w14:paraId="1C1FA85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uto"/>
        <w:ind w:left="0" w:right="0" w:firstLine="0"/>
        <w:jc w:val="both"/>
        <w:rPr>
          <w:rStyle w:val="10"/>
          <w:rFonts w:hint="eastAsia" w:ascii="Times New Roman" w:hAnsi="Times New Roman" w:eastAsia="宋体" w:cs="宋体"/>
          <w:b/>
          <w:sz w:val="24"/>
          <w:szCs w:val="24"/>
          <w:lang w:val="en-US" w:eastAsia="zh-CN"/>
        </w:rPr>
      </w:pPr>
      <w:r>
        <w:rPr>
          <w:rStyle w:val="10"/>
          <w:rFonts w:hint="eastAsia" w:ascii="Times New Roman" w:hAnsi="Times New Roman" w:eastAsia="宋体" w:cs="宋体"/>
          <w:b/>
          <w:sz w:val="24"/>
          <w:szCs w:val="24"/>
          <w:lang w:val="en-US" w:eastAsia="zh-CN"/>
        </w:rPr>
        <w:t>1、原招标文件第</w:t>
      </w:r>
      <w:r>
        <w:rPr>
          <w:rStyle w:val="10"/>
          <w:rFonts w:hint="eastAsia" w:ascii="Times New Roman" w:hAnsi="Times New Roman" w:cs="宋体"/>
          <w:b/>
          <w:sz w:val="24"/>
          <w:szCs w:val="24"/>
          <w:lang w:val="en-US" w:eastAsia="zh-CN"/>
        </w:rPr>
        <w:t>四</w:t>
      </w:r>
      <w:r>
        <w:rPr>
          <w:rStyle w:val="10"/>
          <w:rFonts w:hint="eastAsia" w:ascii="Times New Roman" w:hAnsi="Times New Roman" w:eastAsia="宋体" w:cs="宋体"/>
          <w:b/>
          <w:sz w:val="24"/>
          <w:szCs w:val="24"/>
          <w:lang w:val="en-US" w:eastAsia="zh-CN"/>
        </w:rPr>
        <w:t>章《</w:t>
      </w:r>
      <w:r>
        <w:rPr>
          <w:rStyle w:val="10"/>
          <w:rFonts w:hint="eastAsia" w:ascii="Times New Roman" w:hAnsi="Times New Roman" w:cs="宋体"/>
          <w:b/>
          <w:sz w:val="24"/>
          <w:szCs w:val="24"/>
          <w:lang w:val="en-US" w:eastAsia="zh-CN"/>
        </w:rPr>
        <w:t>评标标准</w:t>
      </w:r>
      <w:r>
        <w:rPr>
          <w:rStyle w:val="10"/>
          <w:rFonts w:hint="eastAsia" w:ascii="Times New Roman" w:hAnsi="Times New Roman" w:eastAsia="宋体" w:cs="宋体"/>
          <w:b/>
          <w:sz w:val="24"/>
          <w:szCs w:val="24"/>
          <w:lang w:val="en-US" w:eastAsia="zh-CN"/>
        </w:rPr>
        <w:t>》</w:t>
      </w:r>
    </w:p>
    <w:tbl>
      <w:tblPr>
        <w:tblStyle w:val="8"/>
        <w:tblpPr w:leftFromText="180" w:rightFromText="180" w:vertAnchor="text" w:horzAnchor="page" w:tblpX="1192" w:tblpY="545"/>
        <w:tblW w:w="9838"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315"/>
        <w:gridCol w:w="1360"/>
        <w:gridCol w:w="7163"/>
      </w:tblGrid>
      <w:tr w14:paraId="678F37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2675" w:type="dxa"/>
            <w:gridSpan w:val="2"/>
            <w:tcBorders>
              <w:top w:val="single" w:color="000000" w:sz="4" w:space="0"/>
              <w:left w:val="single" w:color="000000" w:sz="4" w:space="0"/>
              <w:bottom w:val="single" w:color="000000" w:sz="4" w:space="0"/>
              <w:right w:val="single" w:color="000000" w:sz="4" w:space="0"/>
            </w:tcBorders>
            <w:noWrap w:val="0"/>
            <w:vAlign w:val="center"/>
          </w:tcPr>
          <w:p w14:paraId="79A8F5CB">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评审因素</w:t>
            </w:r>
          </w:p>
        </w:tc>
        <w:tc>
          <w:tcPr>
            <w:tcW w:w="7163" w:type="dxa"/>
            <w:tcBorders>
              <w:top w:val="single" w:color="000000" w:sz="4" w:space="0"/>
              <w:left w:val="single" w:color="000000" w:sz="4" w:space="0"/>
              <w:bottom w:val="single" w:color="000000" w:sz="4" w:space="0"/>
              <w:right w:val="single" w:color="000000" w:sz="4" w:space="0"/>
            </w:tcBorders>
            <w:noWrap w:val="0"/>
            <w:vAlign w:val="center"/>
          </w:tcPr>
          <w:p w14:paraId="44970835">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评分标准及细则</w:t>
            </w:r>
          </w:p>
        </w:tc>
      </w:tr>
      <w:tr w14:paraId="655DD1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31" w:hRule="atLeast"/>
        </w:trPr>
        <w:tc>
          <w:tcPr>
            <w:tcW w:w="1315" w:type="dxa"/>
            <w:tcBorders>
              <w:top w:val="single" w:color="000000" w:sz="4" w:space="0"/>
              <w:left w:val="single" w:color="000000" w:sz="4" w:space="0"/>
              <w:bottom w:val="single" w:color="000000" w:sz="4" w:space="0"/>
              <w:right w:val="single" w:color="000000" w:sz="4" w:space="0"/>
            </w:tcBorders>
            <w:noWrap w:val="0"/>
            <w:vAlign w:val="center"/>
          </w:tcPr>
          <w:p w14:paraId="0F46513D">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价格部分</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1</w:t>
            </w:r>
            <w:r>
              <w:rPr>
                <w:rFonts w:hint="eastAsia" w:ascii="宋体" w:hAnsi="宋体" w:eastAsia="宋体" w:cs="宋体"/>
                <w:color w:val="auto"/>
                <w:sz w:val="22"/>
                <w:szCs w:val="22"/>
                <w:highlight w:val="none"/>
              </w:rPr>
              <w:t>0分</w:t>
            </w:r>
            <w:r>
              <w:rPr>
                <w:rFonts w:hint="eastAsia" w:ascii="宋体" w:hAnsi="宋体" w:eastAsia="宋体" w:cs="宋体"/>
                <w:color w:val="auto"/>
                <w:sz w:val="22"/>
                <w:szCs w:val="22"/>
                <w:highlight w:val="none"/>
                <w:lang w:eastAsia="zh-CN"/>
              </w:rPr>
              <w:t>）</w:t>
            </w:r>
          </w:p>
        </w:tc>
        <w:tc>
          <w:tcPr>
            <w:tcW w:w="1360" w:type="dxa"/>
            <w:tcBorders>
              <w:top w:val="single" w:color="000000" w:sz="4" w:space="0"/>
              <w:left w:val="single" w:color="000000" w:sz="4" w:space="0"/>
              <w:bottom w:val="single" w:color="000000" w:sz="4" w:space="0"/>
              <w:right w:val="single" w:color="000000" w:sz="4" w:space="0"/>
            </w:tcBorders>
            <w:noWrap w:val="0"/>
            <w:vAlign w:val="center"/>
          </w:tcPr>
          <w:p w14:paraId="0D599D0F">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价格</w:t>
            </w:r>
          </w:p>
          <w:p w14:paraId="4FFAD51C">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1</w:t>
            </w:r>
            <w:r>
              <w:rPr>
                <w:rFonts w:hint="eastAsia" w:ascii="宋体" w:hAnsi="宋体" w:eastAsia="宋体" w:cs="宋体"/>
                <w:color w:val="auto"/>
                <w:sz w:val="22"/>
                <w:szCs w:val="22"/>
                <w:highlight w:val="none"/>
              </w:rPr>
              <w:t>0分</w:t>
            </w:r>
            <w:r>
              <w:rPr>
                <w:rFonts w:hint="eastAsia" w:ascii="宋体" w:hAnsi="宋体" w:eastAsia="宋体" w:cs="宋体"/>
                <w:color w:val="auto"/>
                <w:sz w:val="22"/>
                <w:szCs w:val="22"/>
                <w:highlight w:val="none"/>
                <w:lang w:eastAsia="zh-CN"/>
              </w:rPr>
              <w:t>）</w:t>
            </w:r>
          </w:p>
        </w:tc>
        <w:tc>
          <w:tcPr>
            <w:tcW w:w="7163" w:type="dxa"/>
            <w:tcBorders>
              <w:top w:val="single" w:color="000000" w:sz="4" w:space="0"/>
              <w:left w:val="single" w:color="000000" w:sz="4" w:space="0"/>
              <w:bottom w:val="single" w:color="000000" w:sz="4" w:space="0"/>
              <w:right w:val="single" w:color="000000" w:sz="4" w:space="0"/>
            </w:tcBorders>
            <w:noWrap w:val="0"/>
            <w:vAlign w:val="center"/>
          </w:tcPr>
          <w:p w14:paraId="47C13C08">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lang w:val="en-US"/>
              </w:rPr>
            </w:pPr>
            <w:r>
              <w:rPr>
                <w:rFonts w:hint="eastAsia" w:ascii="宋体" w:hAnsi="宋体" w:eastAsia="宋体" w:cs="宋体"/>
                <w:color w:val="auto"/>
                <w:sz w:val="22"/>
                <w:szCs w:val="22"/>
                <w:highlight w:val="none"/>
              </w:rPr>
              <w:t>采用低价优先法计算，即满足招标文件要求且</w:t>
            </w:r>
            <w:r>
              <w:rPr>
                <w:rFonts w:hint="eastAsia" w:ascii="宋体" w:hAnsi="宋体" w:eastAsia="宋体" w:cs="宋体"/>
                <w:color w:val="auto"/>
                <w:sz w:val="22"/>
                <w:szCs w:val="22"/>
                <w:highlight w:val="none"/>
                <w:lang w:eastAsia="zh-CN"/>
              </w:rPr>
              <w:t>投标价格</w:t>
            </w:r>
            <w:r>
              <w:rPr>
                <w:rFonts w:hint="eastAsia" w:ascii="宋体" w:hAnsi="宋体" w:eastAsia="宋体" w:cs="宋体"/>
                <w:color w:val="auto"/>
                <w:sz w:val="22"/>
                <w:szCs w:val="22"/>
                <w:highlight w:val="none"/>
              </w:rPr>
              <w:t>最低的</w:t>
            </w:r>
            <w:r>
              <w:rPr>
                <w:rFonts w:hint="eastAsia" w:ascii="宋体" w:hAnsi="宋体" w:eastAsia="宋体" w:cs="宋体"/>
                <w:color w:val="auto"/>
                <w:sz w:val="22"/>
                <w:szCs w:val="22"/>
                <w:highlight w:val="none"/>
                <w:lang w:eastAsia="zh-CN"/>
              </w:rPr>
              <w:t>投标报价</w:t>
            </w:r>
            <w:r>
              <w:rPr>
                <w:rFonts w:hint="eastAsia" w:ascii="宋体" w:hAnsi="宋体" w:eastAsia="宋体" w:cs="宋体"/>
                <w:color w:val="auto"/>
                <w:sz w:val="22"/>
                <w:szCs w:val="22"/>
                <w:highlight w:val="none"/>
              </w:rPr>
              <w:t>为评标基准价，其价格分为满分。其他</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的价格分统一按照下列公式计算：投标报价得分=（评标基准价/投标报价）×</w:t>
            </w:r>
            <w:r>
              <w:rPr>
                <w:rFonts w:hint="eastAsia" w:ascii="宋体" w:hAnsi="宋体" w:eastAsia="宋体" w:cs="宋体"/>
                <w:color w:val="auto"/>
                <w:sz w:val="22"/>
                <w:szCs w:val="22"/>
                <w:highlight w:val="none"/>
                <w:lang w:val="en-US" w:eastAsia="zh-CN"/>
              </w:rPr>
              <w:t>10</w:t>
            </w:r>
            <w:r>
              <w:rPr>
                <w:rFonts w:hint="eastAsia" w:ascii="宋体" w:hAnsi="宋体" w:eastAsia="宋体" w:cs="宋体"/>
                <w:color w:val="auto"/>
                <w:sz w:val="22"/>
                <w:szCs w:val="22"/>
                <w:highlight w:val="none"/>
              </w:rPr>
              <w:t>，得分四舍五入保留小数点后2位。</w:t>
            </w:r>
          </w:p>
        </w:tc>
      </w:tr>
      <w:tr w14:paraId="2C1916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1315" w:type="dxa"/>
            <w:vMerge w:val="restart"/>
            <w:tcBorders>
              <w:top w:val="single" w:color="000000" w:sz="4" w:space="0"/>
              <w:left w:val="single" w:color="000000" w:sz="4" w:space="0"/>
              <w:right w:val="single" w:color="000000" w:sz="4" w:space="0"/>
            </w:tcBorders>
            <w:noWrap w:val="0"/>
            <w:vAlign w:val="center"/>
          </w:tcPr>
          <w:p w14:paraId="32214466">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商务部分</w:t>
            </w:r>
          </w:p>
          <w:p w14:paraId="3A79183A">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23</w:t>
            </w:r>
            <w:r>
              <w:rPr>
                <w:rFonts w:hint="eastAsia" w:ascii="宋体" w:hAnsi="宋体" w:eastAsia="宋体" w:cs="宋体"/>
                <w:color w:val="auto"/>
                <w:sz w:val="22"/>
                <w:szCs w:val="22"/>
                <w:highlight w:val="none"/>
              </w:rPr>
              <w:t>分</w:t>
            </w:r>
            <w:r>
              <w:rPr>
                <w:rFonts w:hint="eastAsia" w:ascii="宋体" w:hAnsi="宋体" w:eastAsia="宋体" w:cs="宋体"/>
                <w:color w:val="auto"/>
                <w:sz w:val="22"/>
                <w:szCs w:val="22"/>
                <w:highlight w:val="none"/>
                <w:lang w:eastAsia="zh-CN"/>
              </w:rPr>
              <w:t>）</w:t>
            </w:r>
          </w:p>
          <w:p w14:paraId="0A275397">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rPr>
            </w:pPr>
          </w:p>
        </w:tc>
        <w:tc>
          <w:tcPr>
            <w:tcW w:w="1360" w:type="dxa"/>
            <w:tcBorders>
              <w:top w:val="single" w:color="000000" w:sz="4" w:space="0"/>
              <w:left w:val="single" w:color="000000" w:sz="4" w:space="0"/>
              <w:bottom w:val="single" w:color="000000" w:sz="4" w:space="0"/>
              <w:right w:val="single" w:color="000000" w:sz="4" w:space="0"/>
            </w:tcBorders>
            <w:noWrap w:val="0"/>
            <w:vAlign w:val="center"/>
          </w:tcPr>
          <w:p w14:paraId="0DDD351D">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投标人</w:t>
            </w:r>
            <w:r>
              <w:rPr>
                <w:rFonts w:hint="eastAsia" w:ascii="宋体" w:hAnsi="宋体" w:eastAsia="宋体" w:cs="宋体"/>
                <w:color w:val="auto"/>
                <w:sz w:val="22"/>
                <w:szCs w:val="22"/>
                <w:highlight w:val="none"/>
              </w:rPr>
              <w:t>业绩</w:t>
            </w:r>
          </w:p>
          <w:p w14:paraId="70925402">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4</w:t>
            </w:r>
            <w:r>
              <w:rPr>
                <w:rFonts w:hint="eastAsia" w:ascii="宋体" w:hAnsi="宋体" w:eastAsia="宋体" w:cs="宋体"/>
                <w:color w:val="auto"/>
                <w:sz w:val="22"/>
                <w:szCs w:val="22"/>
                <w:highlight w:val="none"/>
              </w:rPr>
              <w:t>分</w:t>
            </w:r>
            <w:r>
              <w:rPr>
                <w:rFonts w:hint="eastAsia" w:ascii="宋体" w:hAnsi="宋体" w:eastAsia="宋体" w:cs="宋体"/>
                <w:color w:val="auto"/>
                <w:sz w:val="22"/>
                <w:szCs w:val="22"/>
                <w:highlight w:val="none"/>
                <w:lang w:eastAsia="zh-CN"/>
              </w:rPr>
              <w:t>）</w:t>
            </w:r>
          </w:p>
        </w:tc>
        <w:tc>
          <w:tcPr>
            <w:tcW w:w="7163" w:type="dxa"/>
            <w:tcBorders>
              <w:top w:val="single" w:color="000000" w:sz="4" w:space="0"/>
              <w:left w:val="single" w:color="000000" w:sz="4" w:space="0"/>
              <w:bottom w:val="single" w:color="000000" w:sz="4" w:space="0"/>
              <w:right w:val="single" w:color="000000" w:sz="4" w:space="0"/>
            </w:tcBorders>
            <w:noWrap w:val="0"/>
            <w:vAlign w:val="center"/>
          </w:tcPr>
          <w:p w14:paraId="284159EF">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投标文件中提供投标人为卖方</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乙方</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，合同签订日期在</w:t>
            </w:r>
            <w:r>
              <w:rPr>
                <w:rFonts w:hint="eastAsia" w:ascii="宋体" w:hAnsi="宋体" w:eastAsia="宋体" w:cs="宋体"/>
                <w:color w:val="auto"/>
                <w:sz w:val="22"/>
                <w:szCs w:val="22"/>
                <w:highlight w:val="none"/>
                <w:lang w:eastAsia="zh-CN"/>
              </w:rPr>
              <w:t>202</w:t>
            </w:r>
            <w:r>
              <w:rPr>
                <w:rFonts w:hint="eastAsia" w:ascii="宋体" w:hAnsi="宋体" w:eastAsia="宋体" w:cs="宋体"/>
                <w:color w:val="auto"/>
                <w:sz w:val="22"/>
                <w:szCs w:val="22"/>
                <w:highlight w:val="none"/>
                <w:lang w:val="en-US" w:eastAsia="zh-CN"/>
              </w:rPr>
              <w:t>2</w:t>
            </w:r>
            <w:r>
              <w:rPr>
                <w:rFonts w:hint="eastAsia" w:ascii="宋体" w:hAnsi="宋体" w:eastAsia="宋体" w:cs="宋体"/>
                <w:color w:val="auto"/>
                <w:sz w:val="22"/>
                <w:szCs w:val="22"/>
                <w:highlight w:val="none"/>
                <w:lang w:eastAsia="zh-CN"/>
              </w:rPr>
              <w:t>年1月1日</w:t>
            </w:r>
            <w:r>
              <w:rPr>
                <w:rFonts w:hint="eastAsia" w:ascii="宋体" w:hAnsi="宋体" w:eastAsia="宋体" w:cs="宋体"/>
                <w:color w:val="auto"/>
                <w:sz w:val="22"/>
                <w:szCs w:val="22"/>
                <w:highlight w:val="none"/>
              </w:rPr>
              <w:t>以后，合同内容与本项目相同或类似的合同的原件扫描件</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时间以合同签订日期为准</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，每份得</w:t>
            </w:r>
            <w:r>
              <w:rPr>
                <w:rFonts w:hint="eastAsia" w:ascii="宋体" w:hAnsi="宋体" w:eastAsia="宋体" w:cs="宋体"/>
                <w:color w:val="auto"/>
                <w:sz w:val="22"/>
                <w:szCs w:val="22"/>
                <w:highlight w:val="none"/>
                <w:lang w:val="en-US" w:eastAsia="zh-CN"/>
              </w:rPr>
              <w:t>2</w:t>
            </w:r>
            <w:r>
              <w:rPr>
                <w:rFonts w:hint="eastAsia" w:ascii="宋体" w:hAnsi="宋体" w:eastAsia="宋体" w:cs="宋体"/>
                <w:color w:val="auto"/>
                <w:sz w:val="22"/>
                <w:szCs w:val="22"/>
                <w:highlight w:val="none"/>
              </w:rPr>
              <w:t>分，本项最高得</w:t>
            </w:r>
            <w:r>
              <w:rPr>
                <w:rFonts w:hint="eastAsia" w:ascii="宋体" w:hAnsi="宋体" w:eastAsia="宋体" w:cs="宋体"/>
                <w:color w:val="auto"/>
                <w:sz w:val="22"/>
                <w:szCs w:val="22"/>
                <w:highlight w:val="none"/>
                <w:lang w:val="en-US" w:eastAsia="zh-CN"/>
              </w:rPr>
              <w:t>4</w:t>
            </w:r>
            <w:r>
              <w:rPr>
                <w:rFonts w:hint="eastAsia" w:ascii="宋体" w:hAnsi="宋体" w:eastAsia="宋体" w:cs="宋体"/>
                <w:color w:val="auto"/>
                <w:sz w:val="22"/>
                <w:szCs w:val="22"/>
                <w:highlight w:val="none"/>
              </w:rPr>
              <w:t>分。</w:t>
            </w:r>
          </w:p>
          <w:p w14:paraId="4E608B64">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注：</w:t>
            </w:r>
            <w:r>
              <w:rPr>
                <w:rFonts w:hint="eastAsia" w:ascii="宋体" w:hAnsi="宋体" w:eastAsia="宋体" w:cs="宋体"/>
                <w:color w:val="auto"/>
                <w:sz w:val="22"/>
                <w:szCs w:val="22"/>
                <w:highlight w:val="none"/>
              </w:rPr>
              <w:t>若项目合同名称无法体现上述业绩证明的，需在提供合同内容中予以体现，否则不得分</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正在履约或履约完成的业绩均可。</w:t>
            </w:r>
          </w:p>
        </w:tc>
      </w:tr>
      <w:tr w14:paraId="4FF253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1315" w:type="dxa"/>
            <w:vMerge w:val="continue"/>
            <w:tcBorders>
              <w:left w:val="single" w:color="000000" w:sz="4" w:space="0"/>
              <w:right w:val="single" w:color="000000" w:sz="4" w:space="0"/>
            </w:tcBorders>
            <w:noWrap w:val="0"/>
            <w:vAlign w:val="center"/>
          </w:tcPr>
          <w:p w14:paraId="00E8B87A">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rPr>
            </w:pPr>
          </w:p>
        </w:tc>
        <w:tc>
          <w:tcPr>
            <w:tcW w:w="1360" w:type="dxa"/>
            <w:tcBorders>
              <w:top w:val="single" w:color="000000" w:sz="4" w:space="0"/>
              <w:left w:val="single" w:color="000000" w:sz="4" w:space="0"/>
              <w:bottom w:val="single" w:color="000000" w:sz="4" w:space="0"/>
              <w:right w:val="single" w:color="000000" w:sz="4" w:space="0"/>
            </w:tcBorders>
            <w:noWrap w:val="0"/>
            <w:vAlign w:val="center"/>
          </w:tcPr>
          <w:p w14:paraId="53011060">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投标人评价</w:t>
            </w:r>
          </w:p>
          <w:p w14:paraId="173685CF">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8</w:t>
            </w:r>
            <w:r>
              <w:rPr>
                <w:rFonts w:hint="eastAsia" w:ascii="宋体" w:hAnsi="宋体" w:eastAsia="宋体" w:cs="宋体"/>
                <w:color w:val="auto"/>
                <w:sz w:val="22"/>
                <w:szCs w:val="22"/>
                <w:highlight w:val="none"/>
              </w:rPr>
              <w:t>分</w:t>
            </w:r>
            <w:r>
              <w:rPr>
                <w:rFonts w:hint="eastAsia" w:ascii="宋体" w:hAnsi="宋体" w:eastAsia="宋体" w:cs="宋体"/>
                <w:color w:val="auto"/>
                <w:sz w:val="22"/>
                <w:szCs w:val="22"/>
                <w:highlight w:val="none"/>
                <w:lang w:eastAsia="zh-CN"/>
              </w:rPr>
              <w:t>）</w:t>
            </w:r>
          </w:p>
        </w:tc>
        <w:tc>
          <w:tcPr>
            <w:tcW w:w="7163" w:type="dxa"/>
            <w:tcBorders>
              <w:top w:val="single" w:color="000000" w:sz="4" w:space="0"/>
              <w:left w:val="single" w:color="000000" w:sz="4" w:space="0"/>
              <w:bottom w:val="single" w:color="000000" w:sz="4" w:space="0"/>
              <w:right w:val="single" w:color="000000" w:sz="4" w:space="0"/>
            </w:tcBorders>
            <w:noWrap w:val="0"/>
            <w:vAlign w:val="center"/>
          </w:tcPr>
          <w:p w14:paraId="128840A8">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投标文件中提供投标人</w:t>
            </w:r>
            <w:r>
              <w:rPr>
                <w:rFonts w:hint="eastAsia" w:ascii="宋体" w:hAnsi="宋体" w:eastAsia="宋体" w:cs="宋体"/>
                <w:color w:val="auto"/>
                <w:sz w:val="22"/>
                <w:szCs w:val="22"/>
                <w:highlight w:val="none"/>
                <w:lang w:val="en-US" w:eastAsia="zh-CN"/>
              </w:rPr>
              <w:t>有效的</w:t>
            </w:r>
            <w:r>
              <w:rPr>
                <w:rFonts w:hint="eastAsia" w:ascii="宋体" w:hAnsi="宋体" w:eastAsia="宋体" w:cs="宋体"/>
                <w:color w:val="auto"/>
                <w:sz w:val="22"/>
                <w:szCs w:val="22"/>
                <w:highlight w:val="none"/>
              </w:rPr>
              <w:t>质量管理体系认证证书</w:t>
            </w:r>
            <w:r>
              <w:rPr>
                <w:rFonts w:hint="eastAsia" w:ascii="宋体" w:hAnsi="宋体" w:eastAsia="宋体" w:cs="宋体"/>
                <w:color w:val="auto"/>
                <w:sz w:val="22"/>
                <w:szCs w:val="22"/>
                <w:highlight w:val="none"/>
                <w:lang w:val="en-US" w:eastAsia="zh-CN"/>
              </w:rPr>
              <w:t>（ISO9001）</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val="en-US" w:eastAsia="zh-CN"/>
              </w:rPr>
              <w:t>环境管理体系标准（ISO14001）、</w:t>
            </w:r>
            <w:r>
              <w:rPr>
                <w:rFonts w:hint="eastAsia" w:ascii="宋体" w:hAnsi="宋体" w:eastAsia="宋体" w:cs="宋体"/>
                <w:color w:val="auto"/>
                <w:sz w:val="22"/>
                <w:szCs w:val="22"/>
                <w:highlight w:val="none"/>
              </w:rPr>
              <w:t>信息安全管理体系认证证书</w:t>
            </w:r>
            <w:r>
              <w:rPr>
                <w:rFonts w:hint="eastAsia" w:ascii="宋体" w:hAnsi="宋体" w:eastAsia="宋体" w:cs="宋体"/>
                <w:color w:val="auto"/>
                <w:sz w:val="22"/>
                <w:szCs w:val="22"/>
                <w:highlight w:val="none"/>
                <w:lang w:val="en-US" w:eastAsia="zh-CN"/>
              </w:rPr>
              <w:t>（ISO27001）</w:t>
            </w:r>
            <w:r>
              <w:rPr>
                <w:rFonts w:hint="eastAsia" w:ascii="宋体" w:hAnsi="宋体" w:eastAsia="宋体" w:cs="宋体"/>
                <w:color w:val="auto"/>
                <w:sz w:val="22"/>
                <w:szCs w:val="22"/>
                <w:highlight w:val="none"/>
              </w:rPr>
              <w:t>、信息技术服务管理体系证书</w:t>
            </w:r>
            <w:r>
              <w:rPr>
                <w:rFonts w:hint="eastAsia" w:ascii="宋体" w:hAnsi="宋体" w:eastAsia="宋体" w:cs="宋体"/>
                <w:color w:val="auto"/>
                <w:sz w:val="22"/>
                <w:szCs w:val="22"/>
                <w:highlight w:val="none"/>
                <w:lang w:val="en-US" w:eastAsia="zh-CN"/>
              </w:rPr>
              <w:t>（ISO20000）</w:t>
            </w:r>
            <w:r>
              <w:rPr>
                <w:rFonts w:hint="eastAsia" w:ascii="宋体" w:hAnsi="宋体" w:eastAsia="宋体" w:cs="宋体"/>
                <w:color w:val="auto"/>
                <w:sz w:val="22"/>
                <w:szCs w:val="22"/>
                <w:highlight w:val="none"/>
              </w:rPr>
              <w:t>且认证范围包含</w:t>
            </w:r>
            <w:r>
              <w:rPr>
                <w:rFonts w:hint="eastAsia" w:ascii="宋体" w:hAnsi="宋体" w:eastAsia="宋体" w:cs="宋体"/>
                <w:color w:val="auto"/>
                <w:sz w:val="22"/>
                <w:szCs w:val="22"/>
                <w:highlight w:val="none"/>
                <w:lang w:val="en-US" w:eastAsia="zh-CN"/>
              </w:rPr>
              <w:t>但不限于</w:t>
            </w:r>
            <w:r>
              <w:rPr>
                <w:rFonts w:hint="eastAsia" w:ascii="宋体" w:hAnsi="宋体" w:eastAsia="宋体" w:cs="宋体"/>
                <w:b/>
                <w:bCs/>
                <w:color w:val="auto"/>
                <w:sz w:val="22"/>
                <w:szCs w:val="22"/>
                <w:highlight w:val="none"/>
              </w:rPr>
              <w:t>应用软件、空间数据、地理信息系统工程、运维服务、安全防范工程的设计</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符合一项得</w:t>
            </w:r>
            <w:r>
              <w:rPr>
                <w:rFonts w:hint="eastAsia" w:ascii="宋体" w:hAnsi="宋体" w:eastAsia="宋体" w:cs="宋体"/>
                <w:color w:val="auto"/>
                <w:sz w:val="22"/>
                <w:szCs w:val="22"/>
                <w:highlight w:val="none"/>
                <w:lang w:val="en-US" w:eastAsia="zh-CN"/>
              </w:rPr>
              <w:t>2</w:t>
            </w:r>
            <w:r>
              <w:rPr>
                <w:rFonts w:hint="eastAsia" w:ascii="宋体" w:hAnsi="宋体" w:eastAsia="宋体" w:cs="宋体"/>
                <w:color w:val="auto"/>
                <w:sz w:val="22"/>
                <w:szCs w:val="22"/>
                <w:highlight w:val="none"/>
              </w:rPr>
              <w:t>分，</w:t>
            </w:r>
            <w:r>
              <w:rPr>
                <w:rFonts w:hint="eastAsia" w:ascii="宋体" w:hAnsi="宋体" w:eastAsia="宋体" w:cs="宋体"/>
                <w:color w:val="auto"/>
                <w:sz w:val="22"/>
                <w:szCs w:val="22"/>
                <w:highlight w:val="none"/>
                <w:lang w:val="en-US" w:eastAsia="zh-CN"/>
              </w:rPr>
              <w:t>未提供</w:t>
            </w:r>
            <w:r>
              <w:rPr>
                <w:rFonts w:hint="eastAsia" w:ascii="宋体" w:hAnsi="宋体" w:eastAsia="宋体" w:cs="宋体"/>
                <w:color w:val="auto"/>
                <w:sz w:val="22"/>
                <w:szCs w:val="22"/>
                <w:highlight w:val="none"/>
              </w:rPr>
              <w:t>不得分。</w:t>
            </w:r>
          </w:p>
          <w:p w14:paraId="3230CB0A">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投标文件中提供有效的证书原件扫描件</w:t>
            </w:r>
            <w:r>
              <w:rPr>
                <w:rFonts w:hint="eastAsia" w:ascii="宋体" w:hAnsi="宋体" w:eastAsia="宋体" w:cs="宋体"/>
                <w:b/>
                <w:bCs/>
                <w:color w:val="auto"/>
                <w:sz w:val="22"/>
                <w:szCs w:val="22"/>
                <w:highlight w:val="none"/>
              </w:rPr>
              <w:t>及</w:t>
            </w:r>
            <w:r>
              <w:rPr>
                <w:rFonts w:hint="eastAsia" w:ascii="宋体" w:hAnsi="宋体" w:eastAsia="宋体" w:cs="宋体"/>
                <w:color w:val="auto"/>
                <w:sz w:val="22"/>
                <w:szCs w:val="22"/>
                <w:highlight w:val="none"/>
                <w:lang w:val="en-US" w:eastAsia="zh-CN"/>
              </w:rPr>
              <w:t>国家</w:t>
            </w:r>
            <w:r>
              <w:rPr>
                <w:rFonts w:hint="eastAsia" w:ascii="宋体" w:hAnsi="宋体" w:eastAsia="宋体" w:cs="宋体"/>
                <w:color w:val="auto"/>
                <w:sz w:val="22"/>
                <w:szCs w:val="22"/>
                <w:highlight w:val="none"/>
              </w:rPr>
              <w:t>认证认可</w:t>
            </w:r>
            <w:r>
              <w:rPr>
                <w:rFonts w:hint="eastAsia" w:ascii="宋体" w:hAnsi="宋体" w:eastAsia="宋体" w:cs="宋体"/>
                <w:color w:val="auto"/>
                <w:sz w:val="22"/>
                <w:szCs w:val="22"/>
                <w:highlight w:val="none"/>
                <w:lang w:val="en-US" w:eastAsia="zh-CN"/>
              </w:rPr>
              <w:t>监督管理委员会（</w:t>
            </w:r>
            <w:r>
              <w:rPr>
                <w:rFonts w:hint="eastAsia" w:ascii="宋体" w:hAnsi="宋体" w:eastAsia="宋体" w:cs="宋体"/>
                <w:color w:val="auto"/>
                <w:sz w:val="22"/>
                <w:szCs w:val="22"/>
                <w:highlight w:val="none"/>
              </w:rPr>
              <w:t>www.cnca.gov.cn</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网站查询截图</w:t>
            </w:r>
            <w:r>
              <w:rPr>
                <w:rFonts w:hint="eastAsia" w:ascii="宋体" w:hAnsi="宋体" w:eastAsia="宋体" w:cs="宋体"/>
                <w:color w:val="auto"/>
                <w:sz w:val="22"/>
                <w:szCs w:val="22"/>
                <w:highlight w:val="none"/>
                <w:lang w:val="en-US" w:eastAsia="zh-CN"/>
              </w:rPr>
              <w:t>并</w:t>
            </w:r>
            <w:r>
              <w:rPr>
                <w:rFonts w:hint="eastAsia" w:ascii="宋体" w:hAnsi="宋体" w:eastAsia="宋体" w:cs="宋体"/>
                <w:color w:val="auto"/>
                <w:sz w:val="22"/>
                <w:szCs w:val="22"/>
                <w:highlight w:val="none"/>
              </w:rPr>
              <w:t>加盖电子签章</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未提供</w:t>
            </w:r>
            <w:r>
              <w:rPr>
                <w:rFonts w:hint="eastAsia" w:ascii="宋体" w:hAnsi="宋体" w:eastAsia="宋体" w:cs="宋体"/>
                <w:color w:val="auto"/>
                <w:sz w:val="22"/>
                <w:szCs w:val="22"/>
                <w:highlight w:val="none"/>
              </w:rPr>
              <w:t>不得分</w:t>
            </w:r>
            <w:r>
              <w:rPr>
                <w:rFonts w:hint="eastAsia" w:ascii="宋体" w:hAnsi="宋体" w:eastAsia="宋体" w:cs="宋体"/>
                <w:color w:val="auto"/>
                <w:sz w:val="22"/>
                <w:szCs w:val="22"/>
                <w:highlight w:val="none"/>
                <w:lang w:eastAsia="zh-CN"/>
              </w:rPr>
              <w:t>）</w:t>
            </w:r>
          </w:p>
        </w:tc>
      </w:tr>
      <w:tr w14:paraId="78DBC4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1315" w:type="dxa"/>
            <w:vMerge w:val="continue"/>
            <w:tcBorders>
              <w:left w:val="single" w:color="000000" w:sz="4" w:space="0"/>
              <w:right w:val="single" w:color="000000" w:sz="4" w:space="0"/>
            </w:tcBorders>
            <w:noWrap w:val="0"/>
            <w:vAlign w:val="center"/>
          </w:tcPr>
          <w:p w14:paraId="7FFD66C3">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rPr>
            </w:pPr>
          </w:p>
        </w:tc>
        <w:tc>
          <w:tcPr>
            <w:tcW w:w="136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98888D9">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信誉与能力</w:t>
            </w:r>
          </w:p>
          <w:p w14:paraId="20977D0A">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6分）</w:t>
            </w:r>
          </w:p>
        </w:tc>
        <w:tc>
          <w:tcPr>
            <w:tcW w:w="716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1469FBE">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1、</w:t>
            </w:r>
            <w:r>
              <w:rPr>
                <w:rFonts w:hint="eastAsia" w:ascii="宋体" w:hAnsi="宋体" w:eastAsia="宋体" w:cs="宋体"/>
                <w:color w:val="auto"/>
                <w:sz w:val="22"/>
                <w:szCs w:val="22"/>
                <w:highlight w:val="none"/>
              </w:rPr>
              <w:t>投标人具有有效的</w:t>
            </w:r>
            <w:r>
              <w:rPr>
                <w:rFonts w:hint="eastAsia" w:ascii="宋体" w:hAnsi="宋体" w:eastAsia="宋体" w:cs="宋体"/>
                <w:color w:val="auto"/>
                <w:sz w:val="22"/>
                <w:szCs w:val="22"/>
                <w:highlight w:val="none"/>
                <w:lang w:val="en-US" w:eastAsia="zh-CN"/>
              </w:rPr>
              <w:fldChar w:fldCharType="begin"/>
            </w:r>
            <w:r>
              <w:rPr>
                <w:rFonts w:hint="eastAsia" w:ascii="宋体" w:hAnsi="宋体" w:eastAsia="宋体" w:cs="宋体"/>
                <w:color w:val="auto"/>
                <w:sz w:val="22"/>
                <w:szCs w:val="22"/>
                <w:highlight w:val="none"/>
                <w:lang w:val="en-US" w:eastAsia="zh-CN"/>
              </w:rPr>
              <w:instrText xml:space="preserve"> HYPERLINK "https://www.so.com/link?m=eWlGuaVLwC1TbMVcxl2eg3K/wjd7ciPODeMh0YTtC6xIS0Ee3A4UtDcOuFhMNcoTx09/FRU5A3lEd03dh1F63RJDcOsxkJVGpzaG87zyGzVM=" \t "https://www.so.com/_blank" </w:instrText>
            </w:r>
            <w:r>
              <w:rPr>
                <w:rFonts w:hint="eastAsia" w:ascii="宋体" w:hAnsi="宋体" w:eastAsia="宋体" w:cs="宋体"/>
                <w:color w:val="auto"/>
                <w:sz w:val="22"/>
                <w:szCs w:val="22"/>
                <w:highlight w:val="none"/>
                <w:lang w:val="en-US" w:eastAsia="zh-CN"/>
              </w:rPr>
              <w:fldChar w:fldCharType="separate"/>
            </w:r>
            <w:r>
              <w:rPr>
                <w:rFonts w:hint="eastAsia" w:ascii="宋体" w:hAnsi="宋体" w:eastAsia="宋体" w:cs="宋体"/>
                <w:color w:val="auto"/>
                <w:sz w:val="22"/>
                <w:szCs w:val="22"/>
                <w:highlight w:val="none"/>
                <w:lang w:val="en-US" w:eastAsia="zh-CN"/>
              </w:rPr>
              <w:t>中国网络安全审查认证和市场监管大数据中心</w:t>
            </w:r>
            <w:r>
              <w:rPr>
                <w:rFonts w:hint="eastAsia" w:ascii="宋体" w:hAnsi="宋体" w:eastAsia="宋体" w:cs="宋体"/>
                <w:color w:val="auto"/>
                <w:sz w:val="22"/>
                <w:szCs w:val="22"/>
                <w:highlight w:val="none"/>
                <w:lang w:val="en-US" w:eastAsia="zh-CN"/>
              </w:rPr>
              <w:fldChar w:fldCharType="end"/>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CCRC</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认证的信息安</w:t>
            </w:r>
            <w:r>
              <w:rPr>
                <w:rFonts w:hint="eastAsia" w:ascii="宋体" w:hAnsi="宋体" w:eastAsia="宋体" w:cs="宋体"/>
                <w:color w:val="auto"/>
                <w:sz w:val="22"/>
                <w:szCs w:val="22"/>
                <w:highlight w:val="none"/>
              </w:rPr>
              <w:t>全服务资质认证证书。</w:t>
            </w:r>
          </w:p>
          <w:p w14:paraId="7C0F022C">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en-US" w:eastAsia="zh-CN"/>
              </w:rPr>
              <w:t>2、</w:t>
            </w:r>
            <w:r>
              <w:rPr>
                <w:rFonts w:hint="eastAsia" w:ascii="宋体" w:hAnsi="宋体" w:eastAsia="宋体" w:cs="宋体"/>
                <w:color w:val="auto"/>
                <w:sz w:val="22"/>
                <w:szCs w:val="22"/>
                <w:highlight w:val="none"/>
              </w:rPr>
              <w:t>投标人具有有效的中国电子工业标准化技术协会</w:t>
            </w:r>
            <w:r>
              <w:rPr>
                <w:rFonts w:hint="eastAsia" w:ascii="宋体" w:hAnsi="宋体" w:eastAsia="宋体" w:cs="宋体"/>
                <w:color w:val="auto"/>
                <w:sz w:val="22"/>
                <w:szCs w:val="22"/>
                <w:highlight w:val="none"/>
                <w:lang w:val="en-US" w:eastAsia="zh-CN"/>
              </w:rPr>
              <w:t>认证的</w:t>
            </w:r>
            <w:r>
              <w:rPr>
                <w:rFonts w:hint="eastAsia" w:ascii="宋体" w:hAnsi="宋体" w:eastAsia="宋体" w:cs="宋体"/>
                <w:color w:val="auto"/>
                <w:sz w:val="22"/>
                <w:szCs w:val="22"/>
                <w:highlight w:val="none"/>
              </w:rPr>
              <w:t>信息技术服务标准符合性证书</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ITSS</w:t>
            </w:r>
            <w:r>
              <w:rPr>
                <w:rFonts w:hint="eastAsia" w:ascii="宋体" w:hAnsi="宋体" w:eastAsia="宋体" w:cs="宋体"/>
                <w:color w:val="auto"/>
                <w:sz w:val="22"/>
                <w:szCs w:val="22"/>
                <w:highlight w:val="none"/>
                <w:lang w:eastAsia="zh-CN"/>
              </w:rPr>
              <w:t>）。</w:t>
            </w:r>
          </w:p>
          <w:p w14:paraId="7401323B">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3、投标人具有省、自治区、直辖市人民政府测绘行政主管部门及以上颁发的有效的地理信息系统工程专业类别测绘资质证书的。</w:t>
            </w:r>
          </w:p>
          <w:p w14:paraId="57BF8A09">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提供1项得2分，最高得6分，未提供不得分；</w:t>
            </w:r>
          </w:p>
          <w:p w14:paraId="10EC2247">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注：投标时提供以上有效期内的证书原件扫描件并加盖电子签章，未提供不得分。</w:t>
            </w:r>
          </w:p>
        </w:tc>
      </w:tr>
      <w:tr w14:paraId="236A74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1315" w:type="dxa"/>
            <w:vMerge w:val="continue"/>
            <w:tcBorders>
              <w:left w:val="single" w:color="000000" w:sz="4" w:space="0"/>
              <w:right w:val="single" w:color="000000" w:sz="4" w:space="0"/>
            </w:tcBorders>
            <w:noWrap w:val="0"/>
            <w:vAlign w:val="center"/>
          </w:tcPr>
          <w:p w14:paraId="155C30C9">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rPr>
            </w:pPr>
          </w:p>
        </w:tc>
        <w:tc>
          <w:tcPr>
            <w:tcW w:w="136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6869C95">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项目负责人及技术负责人资历和业绩</w:t>
            </w:r>
          </w:p>
          <w:p w14:paraId="30BD32D5">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（2.5分）</w:t>
            </w:r>
          </w:p>
        </w:tc>
        <w:tc>
          <w:tcPr>
            <w:tcW w:w="716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E2B99B3">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1.</w:t>
            </w:r>
            <w:r>
              <w:rPr>
                <w:rFonts w:hint="eastAsia" w:ascii="宋体" w:hAnsi="宋体" w:eastAsia="宋体" w:cs="宋体"/>
                <w:color w:val="auto"/>
                <w:sz w:val="22"/>
                <w:szCs w:val="22"/>
                <w:highlight w:val="none"/>
              </w:rPr>
              <w:t>项目负责人同时具有</w:t>
            </w:r>
            <w:r>
              <w:rPr>
                <w:rFonts w:hint="eastAsia" w:ascii="宋体" w:hAnsi="宋体" w:eastAsia="宋体" w:cs="宋体"/>
                <w:b w:val="0"/>
                <w:bCs w:val="0"/>
                <w:i w:val="0"/>
                <w:iCs w:val="0"/>
                <w:caps w:val="0"/>
                <w:color w:val="000000"/>
                <w:spacing w:val="0"/>
                <w:sz w:val="22"/>
                <w:szCs w:val="22"/>
                <w:highlight w:val="none"/>
                <w:shd w:val="clear" w:color="auto" w:fill="FFFFFF"/>
              </w:rPr>
              <w:t>由中华人民共和国人力资源和社会保障部、工业和信息化部共同颁发的</w:t>
            </w:r>
            <w:r>
              <w:rPr>
                <w:rFonts w:hint="eastAsia" w:ascii="宋体" w:hAnsi="宋体" w:eastAsia="宋体" w:cs="宋体"/>
                <w:b/>
                <w:bCs/>
                <w:color w:val="auto"/>
                <w:sz w:val="22"/>
                <w:szCs w:val="22"/>
                <w:highlight w:val="none"/>
              </w:rPr>
              <w:t>信息系统项目管理师证书</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val="en-US" w:eastAsia="zh-CN"/>
              </w:rPr>
              <w:t>由中国电子技术标准化研究院颁发的</w:t>
            </w:r>
            <w:r>
              <w:rPr>
                <w:rFonts w:hint="eastAsia" w:ascii="宋体" w:hAnsi="宋体" w:eastAsia="宋体" w:cs="宋体"/>
                <w:b/>
                <w:bCs/>
                <w:color w:val="auto"/>
                <w:sz w:val="22"/>
                <w:szCs w:val="22"/>
                <w:highlight w:val="none"/>
                <w:lang w:val="en-US" w:eastAsia="zh-CN"/>
              </w:rPr>
              <w:t>IT服务项目经理证书</w:t>
            </w:r>
            <w:r>
              <w:rPr>
                <w:rFonts w:hint="eastAsia" w:ascii="宋体" w:hAnsi="宋体" w:eastAsia="宋体" w:cs="宋体"/>
                <w:color w:val="auto"/>
                <w:sz w:val="22"/>
                <w:szCs w:val="22"/>
                <w:highlight w:val="none"/>
                <w:lang w:val="en-US" w:eastAsia="zh-CN"/>
              </w:rPr>
              <w:t>（ITSS）</w:t>
            </w:r>
            <w:r>
              <w:rPr>
                <w:rFonts w:hint="eastAsia" w:ascii="宋体" w:hAnsi="宋体" w:eastAsia="宋体" w:cs="宋体"/>
                <w:color w:val="auto"/>
                <w:sz w:val="22"/>
                <w:szCs w:val="22"/>
                <w:highlight w:val="none"/>
              </w:rPr>
              <w:t>、环境工程</w:t>
            </w:r>
            <w:r>
              <w:rPr>
                <w:rFonts w:hint="eastAsia" w:ascii="宋体" w:hAnsi="宋体" w:eastAsia="宋体" w:cs="宋体"/>
                <w:color w:val="auto"/>
                <w:sz w:val="22"/>
                <w:szCs w:val="22"/>
                <w:highlight w:val="none"/>
                <w:lang w:val="en-US" w:eastAsia="zh-CN"/>
              </w:rPr>
              <w:t>类</w:t>
            </w:r>
            <w:r>
              <w:rPr>
                <w:rFonts w:hint="eastAsia" w:ascii="宋体" w:hAnsi="宋体" w:eastAsia="宋体" w:cs="宋体"/>
                <w:color w:val="auto"/>
                <w:sz w:val="22"/>
                <w:szCs w:val="22"/>
                <w:highlight w:val="none"/>
              </w:rPr>
              <w:t>中级及以上职称证书，每类提供一</w:t>
            </w:r>
            <w:r>
              <w:rPr>
                <w:rFonts w:hint="eastAsia" w:ascii="宋体" w:hAnsi="宋体" w:eastAsia="宋体" w:cs="宋体"/>
                <w:color w:val="auto"/>
                <w:sz w:val="22"/>
                <w:szCs w:val="22"/>
                <w:highlight w:val="none"/>
                <w:lang w:val="en-US" w:eastAsia="zh-CN"/>
              </w:rPr>
              <w:t>个得0.5</w:t>
            </w:r>
            <w:r>
              <w:rPr>
                <w:rFonts w:hint="eastAsia" w:ascii="宋体" w:hAnsi="宋体" w:eastAsia="宋体" w:cs="宋体"/>
                <w:color w:val="auto"/>
                <w:sz w:val="22"/>
                <w:szCs w:val="22"/>
                <w:highlight w:val="none"/>
              </w:rPr>
              <w:t>分，</w:t>
            </w:r>
            <w:r>
              <w:rPr>
                <w:rFonts w:hint="eastAsia" w:ascii="宋体" w:hAnsi="宋体" w:eastAsia="宋体" w:cs="宋体"/>
                <w:color w:val="auto"/>
                <w:sz w:val="22"/>
                <w:szCs w:val="22"/>
                <w:highlight w:val="none"/>
                <w:lang w:val="en-US" w:eastAsia="zh-CN"/>
              </w:rPr>
              <w:t>最高得1.5分，</w:t>
            </w:r>
            <w:r>
              <w:rPr>
                <w:rFonts w:hint="eastAsia" w:ascii="宋体" w:hAnsi="宋体" w:eastAsia="宋体" w:cs="宋体"/>
                <w:color w:val="auto"/>
                <w:sz w:val="22"/>
                <w:szCs w:val="22"/>
                <w:highlight w:val="none"/>
              </w:rPr>
              <w:t>未提供</w:t>
            </w:r>
            <w:r>
              <w:rPr>
                <w:rFonts w:hint="eastAsia" w:ascii="宋体" w:hAnsi="宋体" w:eastAsia="宋体" w:cs="宋体"/>
                <w:color w:val="auto"/>
                <w:sz w:val="22"/>
                <w:szCs w:val="22"/>
                <w:highlight w:val="none"/>
                <w:lang w:val="en-US" w:eastAsia="zh-CN"/>
              </w:rPr>
              <w:t>不得分</w:t>
            </w:r>
            <w:r>
              <w:rPr>
                <w:rFonts w:hint="eastAsia" w:ascii="宋体" w:hAnsi="宋体" w:eastAsia="宋体" w:cs="宋体"/>
                <w:color w:val="auto"/>
                <w:sz w:val="22"/>
                <w:szCs w:val="22"/>
                <w:highlight w:val="none"/>
              </w:rPr>
              <w:t>；</w:t>
            </w:r>
          </w:p>
          <w:p w14:paraId="7C515B60">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2.技术负责人具有计算机类专业正高级职称得</w:t>
            </w:r>
            <w:r>
              <w:rPr>
                <w:rFonts w:hint="eastAsia" w:ascii="宋体" w:hAnsi="宋体" w:eastAsia="宋体" w:cs="宋体"/>
                <w:color w:val="auto"/>
                <w:sz w:val="22"/>
                <w:szCs w:val="22"/>
                <w:highlight w:val="none"/>
                <w:lang w:val="en-US" w:eastAsia="zh-CN"/>
              </w:rPr>
              <w:t>1</w:t>
            </w:r>
            <w:r>
              <w:rPr>
                <w:rFonts w:hint="eastAsia" w:ascii="宋体" w:hAnsi="宋体" w:eastAsia="宋体" w:cs="宋体"/>
                <w:color w:val="auto"/>
                <w:sz w:val="22"/>
                <w:szCs w:val="22"/>
                <w:highlight w:val="none"/>
              </w:rPr>
              <w:t>分，副高级职称得</w:t>
            </w:r>
            <w:r>
              <w:rPr>
                <w:rFonts w:hint="eastAsia" w:ascii="宋体" w:hAnsi="宋体" w:eastAsia="宋体" w:cs="宋体"/>
                <w:color w:val="auto"/>
                <w:sz w:val="22"/>
                <w:szCs w:val="22"/>
                <w:highlight w:val="none"/>
                <w:lang w:val="en-US" w:eastAsia="zh-CN"/>
              </w:rPr>
              <w:t>0.5</w:t>
            </w:r>
            <w:r>
              <w:rPr>
                <w:rFonts w:hint="eastAsia" w:ascii="宋体" w:hAnsi="宋体" w:eastAsia="宋体" w:cs="宋体"/>
                <w:color w:val="auto"/>
                <w:sz w:val="22"/>
                <w:szCs w:val="22"/>
                <w:highlight w:val="none"/>
              </w:rPr>
              <w:t>分，最高得</w:t>
            </w:r>
            <w:r>
              <w:rPr>
                <w:rFonts w:hint="eastAsia" w:ascii="宋体" w:hAnsi="宋体" w:eastAsia="宋体" w:cs="宋体"/>
                <w:color w:val="auto"/>
                <w:sz w:val="22"/>
                <w:szCs w:val="22"/>
                <w:highlight w:val="none"/>
                <w:lang w:val="en-US" w:eastAsia="zh-CN"/>
              </w:rPr>
              <w:t>1</w:t>
            </w:r>
            <w:r>
              <w:rPr>
                <w:rFonts w:hint="eastAsia" w:ascii="宋体" w:hAnsi="宋体" w:eastAsia="宋体" w:cs="宋体"/>
                <w:color w:val="auto"/>
                <w:sz w:val="22"/>
                <w:szCs w:val="22"/>
                <w:highlight w:val="none"/>
              </w:rPr>
              <w:t>分</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未提供的不得分。</w:t>
            </w:r>
          </w:p>
          <w:p w14:paraId="5B548E82">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注：以上人员须提供身份证、相关职称证书/资格证书复印件、近6个月内</w:t>
            </w:r>
            <w:r>
              <w:rPr>
                <w:rFonts w:hint="eastAsia" w:ascii="宋体" w:hAnsi="宋体" w:eastAsia="宋体" w:cs="宋体"/>
                <w:color w:val="auto"/>
                <w:sz w:val="22"/>
                <w:szCs w:val="22"/>
                <w:highlight w:val="none"/>
                <w:lang w:val="en-US" w:eastAsia="zh-CN"/>
              </w:rPr>
              <w:t>任何一个月</w:t>
            </w:r>
            <w:r>
              <w:rPr>
                <w:rFonts w:hint="eastAsia" w:ascii="宋体" w:hAnsi="宋体" w:eastAsia="宋体" w:cs="宋体"/>
                <w:color w:val="auto"/>
                <w:sz w:val="22"/>
                <w:szCs w:val="22"/>
                <w:highlight w:val="none"/>
              </w:rPr>
              <w:t>的企业为其缴纳的社保证明材料，无或缺项或未按要求</w:t>
            </w:r>
            <w:r>
              <w:rPr>
                <w:rFonts w:hint="eastAsia" w:ascii="宋体" w:hAnsi="宋体" w:eastAsia="宋体" w:cs="宋体"/>
                <w:color w:val="auto"/>
                <w:sz w:val="22"/>
                <w:szCs w:val="22"/>
                <w:highlight w:val="none"/>
                <w:lang w:val="en-US" w:eastAsia="zh-CN"/>
              </w:rPr>
              <w:t>提供</w:t>
            </w:r>
            <w:r>
              <w:rPr>
                <w:rFonts w:hint="eastAsia" w:ascii="宋体" w:hAnsi="宋体" w:eastAsia="宋体" w:cs="宋体"/>
                <w:color w:val="auto"/>
                <w:sz w:val="22"/>
                <w:szCs w:val="22"/>
                <w:highlight w:val="none"/>
              </w:rPr>
              <w:t>证明材料的不得分。</w:t>
            </w:r>
          </w:p>
        </w:tc>
      </w:tr>
      <w:tr w14:paraId="2D1DC6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1315" w:type="dxa"/>
            <w:vMerge w:val="continue"/>
            <w:tcBorders>
              <w:left w:val="single" w:color="000000" w:sz="4" w:space="0"/>
              <w:right w:val="single" w:color="000000" w:sz="4" w:space="0"/>
            </w:tcBorders>
            <w:noWrap w:val="0"/>
            <w:vAlign w:val="center"/>
          </w:tcPr>
          <w:p w14:paraId="1D063D3D">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rPr>
            </w:pPr>
          </w:p>
        </w:tc>
        <w:tc>
          <w:tcPr>
            <w:tcW w:w="136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4F5E9F1">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技术人员</w:t>
            </w:r>
          </w:p>
          <w:p w14:paraId="1DF2B5CE">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（2.5分）</w:t>
            </w:r>
          </w:p>
        </w:tc>
        <w:tc>
          <w:tcPr>
            <w:tcW w:w="716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34A39E6">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1、投标人为本项目拟投入的项目实施团队成员中</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项目负责人</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技术负责人</w:t>
            </w:r>
            <w:r>
              <w:rPr>
                <w:rFonts w:hint="eastAsia" w:ascii="宋体" w:hAnsi="宋体" w:eastAsia="宋体" w:cs="宋体"/>
                <w:color w:val="auto"/>
                <w:sz w:val="22"/>
                <w:szCs w:val="22"/>
                <w:highlight w:val="none"/>
              </w:rPr>
              <w:t>除外</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具有</w:t>
            </w:r>
            <w:r>
              <w:rPr>
                <w:rFonts w:hint="eastAsia" w:ascii="宋体" w:hAnsi="宋体" w:eastAsia="宋体" w:cs="宋体"/>
                <w:b/>
                <w:bCs/>
                <w:i w:val="0"/>
                <w:iCs w:val="0"/>
                <w:caps w:val="0"/>
                <w:color w:val="000000"/>
                <w:spacing w:val="0"/>
                <w:sz w:val="22"/>
                <w:szCs w:val="22"/>
                <w:highlight w:val="none"/>
                <w:shd w:val="clear" w:color="auto" w:fill="FFFFFF"/>
              </w:rPr>
              <w:t>由中华人民共和国人力资源和社会保障部、工业和信息化部共同颁发的</w:t>
            </w:r>
            <w:r>
              <w:rPr>
                <w:rFonts w:hint="eastAsia" w:ascii="宋体" w:hAnsi="宋体" w:eastAsia="宋体" w:cs="宋体"/>
                <w:color w:val="auto"/>
                <w:sz w:val="22"/>
                <w:szCs w:val="22"/>
                <w:highlight w:val="none"/>
              </w:rPr>
              <w:t>信息系统项目管理师证书的，每提供1个得</w:t>
            </w:r>
            <w:r>
              <w:rPr>
                <w:rFonts w:hint="eastAsia" w:ascii="宋体" w:hAnsi="宋体" w:eastAsia="宋体" w:cs="宋体"/>
                <w:color w:val="auto"/>
                <w:sz w:val="22"/>
                <w:szCs w:val="22"/>
                <w:highlight w:val="none"/>
                <w:lang w:val="en-US" w:eastAsia="zh-CN"/>
              </w:rPr>
              <w:t>0.5</w:t>
            </w:r>
            <w:r>
              <w:rPr>
                <w:rFonts w:hint="eastAsia" w:ascii="宋体" w:hAnsi="宋体" w:eastAsia="宋体" w:cs="宋体"/>
                <w:color w:val="auto"/>
                <w:sz w:val="22"/>
                <w:szCs w:val="22"/>
                <w:highlight w:val="none"/>
              </w:rPr>
              <w:t>分</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最高得</w:t>
            </w:r>
            <w:r>
              <w:rPr>
                <w:rFonts w:hint="eastAsia" w:ascii="宋体" w:hAnsi="宋体" w:eastAsia="宋体" w:cs="宋体"/>
                <w:color w:val="auto"/>
                <w:sz w:val="22"/>
                <w:szCs w:val="22"/>
                <w:highlight w:val="none"/>
                <w:lang w:val="en-US" w:eastAsia="zh-CN"/>
              </w:rPr>
              <w:t>1</w:t>
            </w:r>
            <w:r>
              <w:rPr>
                <w:rFonts w:hint="eastAsia" w:ascii="宋体" w:hAnsi="宋体" w:eastAsia="宋体" w:cs="宋体"/>
                <w:color w:val="auto"/>
                <w:sz w:val="22"/>
                <w:szCs w:val="22"/>
                <w:highlight w:val="none"/>
              </w:rPr>
              <w:t>分。</w:t>
            </w:r>
          </w:p>
          <w:p w14:paraId="3B998D33">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2、项目团队人员组建合理，提供不少于15人的团队人员名单，项目团队成员中具有环境类工程师证书、系统集成项目管理工程师证书、数据库系统工程师证书的，每类提供一</w:t>
            </w:r>
            <w:r>
              <w:rPr>
                <w:rFonts w:hint="eastAsia" w:ascii="宋体" w:hAnsi="宋体" w:eastAsia="宋体" w:cs="宋体"/>
                <w:color w:val="auto"/>
                <w:sz w:val="22"/>
                <w:szCs w:val="22"/>
                <w:highlight w:val="none"/>
                <w:lang w:val="en-US" w:eastAsia="zh-CN"/>
              </w:rPr>
              <w:t>个</w:t>
            </w:r>
            <w:r>
              <w:rPr>
                <w:rFonts w:hint="eastAsia" w:ascii="宋体" w:hAnsi="宋体" w:eastAsia="宋体" w:cs="宋体"/>
                <w:color w:val="auto"/>
                <w:sz w:val="22"/>
                <w:szCs w:val="22"/>
                <w:highlight w:val="none"/>
              </w:rPr>
              <w:t>得</w:t>
            </w:r>
            <w:r>
              <w:rPr>
                <w:rFonts w:hint="eastAsia" w:ascii="宋体" w:hAnsi="宋体" w:eastAsia="宋体" w:cs="宋体"/>
                <w:color w:val="auto"/>
                <w:sz w:val="22"/>
                <w:szCs w:val="22"/>
                <w:highlight w:val="none"/>
                <w:lang w:val="en-US" w:eastAsia="zh-CN"/>
              </w:rPr>
              <w:t>0.5</w:t>
            </w:r>
            <w:r>
              <w:rPr>
                <w:rFonts w:hint="eastAsia" w:ascii="宋体" w:hAnsi="宋体" w:eastAsia="宋体" w:cs="宋体"/>
                <w:color w:val="auto"/>
                <w:sz w:val="22"/>
                <w:szCs w:val="22"/>
                <w:highlight w:val="none"/>
              </w:rPr>
              <w:t>分，本项最高得</w:t>
            </w:r>
            <w:r>
              <w:rPr>
                <w:rFonts w:hint="eastAsia" w:ascii="宋体" w:hAnsi="宋体" w:eastAsia="宋体" w:cs="宋体"/>
                <w:color w:val="auto"/>
                <w:sz w:val="22"/>
                <w:szCs w:val="22"/>
                <w:highlight w:val="none"/>
                <w:lang w:val="en-US" w:eastAsia="zh-CN"/>
              </w:rPr>
              <w:t>1.5</w:t>
            </w:r>
            <w:r>
              <w:rPr>
                <w:rFonts w:hint="eastAsia" w:ascii="宋体" w:hAnsi="宋体" w:eastAsia="宋体" w:cs="宋体"/>
                <w:color w:val="auto"/>
                <w:sz w:val="22"/>
                <w:szCs w:val="22"/>
                <w:highlight w:val="none"/>
              </w:rPr>
              <w:t>分。</w:t>
            </w:r>
          </w:p>
          <w:p w14:paraId="677D88E8">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注：以上人员须提供身份证、相关职称证书/资格证书复印件、近6个月内</w:t>
            </w:r>
            <w:r>
              <w:rPr>
                <w:rFonts w:hint="eastAsia" w:ascii="宋体" w:hAnsi="宋体" w:eastAsia="宋体" w:cs="宋体"/>
                <w:color w:val="auto"/>
                <w:sz w:val="22"/>
                <w:szCs w:val="22"/>
                <w:highlight w:val="none"/>
                <w:lang w:val="en-US" w:eastAsia="zh-CN"/>
              </w:rPr>
              <w:t>任何一个月</w:t>
            </w:r>
            <w:r>
              <w:rPr>
                <w:rFonts w:hint="eastAsia" w:ascii="宋体" w:hAnsi="宋体" w:eastAsia="宋体" w:cs="宋体"/>
                <w:color w:val="auto"/>
                <w:sz w:val="22"/>
                <w:szCs w:val="22"/>
                <w:highlight w:val="none"/>
              </w:rPr>
              <w:t>的企业为其缴纳的社保证明材料，无或缺项或未按要求递交证明材料的不得分。</w:t>
            </w:r>
          </w:p>
        </w:tc>
      </w:tr>
      <w:tr w14:paraId="259A88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1315" w:type="dxa"/>
            <w:vMerge w:val="restart"/>
            <w:tcBorders>
              <w:top w:val="single" w:color="000000" w:sz="4" w:space="0"/>
              <w:left w:val="single" w:color="000000" w:sz="4" w:space="0"/>
              <w:right w:val="single" w:color="000000" w:sz="4" w:space="0"/>
            </w:tcBorders>
            <w:noWrap w:val="0"/>
            <w:vAlign w:val="center"/>
          </w:tcPr>
          <w:p w14:paraId="3902A957">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技术部分</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67</w:t>
            </w:r>
            <w:r>
              <w:rPr>
                <w:rFonts w:hint="eastAsia" w:ascii="宋体" w:hAnsi="宋体" w:eastAsia="宋体" w:cs="宋体"/>
                <w:color w:val="auto"/>
                <w:sz w:val="22"/>
                <w:szCs w:val="22"/>
                <w:highlight w:val="none"/>
              </w:rPr>
              <w:t>分</w:t>
            </w:r>
            <w:r>
              <w:rPr>
                <w:rFonts w:hint="eastAsia" w:ascii="宋体" w:hAnsi="宋体" w:eastAsia="宋体" w:cs="宋体"/>
                <w:color w:val="auto"/>
                <w:sz w:val="22"/>
                <w:szCs w:val="22"/>
                <w:highlight w:val="none"/>
                <w:lang w:eastAsia="zh-CN"/>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04E9586">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整体建设方案</w:t>
            </w:r>
          </w:p>
          <w:p w14:paraId="39699E46">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val="en-US" w:eastAsia="zh-CN" w:bidi="ar-SA"/>
              </w:rPr>
            </w:pPr>
            <w:r>
              <w:rPr>
                <w:rFonts w:hint="eastAsia" w:ascii="宋体" w:hAnsi="宋体" w:eastAsia="宋体" w:cs="宋体"/>
                <w:color w:val="auto"/>
                <w:sz w:val="22"/>
                <w:szCs w:val="22"/>
                <w:highlight w:val="none"/>
                <w:lang w:val="en-US" w:eastAsia="zh-CN"/>
              </w:rPr>
              <w:t>（9分）</w:t>
            </w:r>
          </w:p>
        </w:tc>
        <w:tc>
          <w:tcPr>
            <w:tcW w:w="716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976AC9C">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考察投标人结合招标需求内容提供</w:t>
            </w:r>
            <w:r>
              <w:rPr>
                <w:rFonts w:hint="eastAsia" w:ascii="宋体" w:hAnsi="宋体" w:eastAsia="宋体" w:cs="宋体"/>
                <w:b w:val="0"/>
                <w:bCs w:val="0"/>
                <w:color w:val="auto"/>
                <w:sz w:val="22"/>
                <w:szCs w:val="22"/>
                <w:highlight w:val="none"/>
                <w:lang w:val="en-US" w:eastAsia="zh-CN"/>
              </w:rPr>
              <w:t>的</w:t>
            </w:r>
            <w:r>
              <w:rPr>
                <w:rFonts w:hint="eastAsia" w:ascii="宋体" w:hAnsi="宋体" w:eastAsia="宋体" w:cs="宋体"/>
                <w:b w:val="0"/>
                <w:bCs w:val="0"/>
                <w:color w:val="auto"/>
                <w:sz w:val="22"/>
                <w:szCs w:val="22"/>
                <w:highlight w:val="none"/>
              </w:rPr>
              <w:t>项目硬件整体建设方案，包括智能水质监测系统、智能视频监控系统、智能流量监测系统建设。根据投标人提供的硬件建设方案编制内容</w:t>
            </w:r>
            <w:r>
              <w:rPr>
                <w:rFonts w:hint="eastAsia" w:ascii="宋体" w:hAnsi="宋体" w:eastAsia="宋体" w:cs="宋体"/>
                <w:color w:val="auto"/>
                <w:sz w:val="22"/>
                <w:szCs w:val="22"/>
                <w:highlight w:val="none"/>
              </w:rPr>
              <w:t>进行综合评分</w:t>
            </w:r>
            <w:r>
              <w:rPr>
                <w:rFonts w:hint="eastAsia" w:ascii="宋体" w:hAnsi="宋体" w:eastAsia="宋体" w:cs="宋体"/>
                <w:color w:val="auto"/>
                <w:sz w:val="22"/>
                <w:szCs w:val="22"/>
                <w:highlight w:val="none"/>
                <w:lang w:eastAsia="zh-CN"/>
              </w:rPr>
              <w:t>：</w:t>
            </w:r>
          </w:p>
          <w:p w14:paraId="1234F2F2">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全面性</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：全面具体详实得</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分；较全面得</w:t>
            </w:r>
            <w:r>
              <w:rPr>
                <w:rFonts w:hint="eastAsia" w:ascii="宋体" w:hAnsi="宋体" w:eastAsia="宋体" w:cs="宋体"/>
                <w:b w:val="0"/>
                <w:bCs w:val="0"/>
                <w:color w:val="auto"/>
                <w:sz w:val="22"/>
                <w:szCs w:val="22"/>
                <w:highlight w:val="none"/>
                <w:lang w:val="en-US" w:eastAsia="zh-CN"/>
              </w:rPr>
              <w:t>2</w:t>
            </w:r>
            <w:r>
              <w:rPr>
                <w:rFonts w:hint="eastAsia" w:ascii="宋体" w:hAnsi="宋体" w:eastAsia="宋体" w:cs="宋体"/>
                <w:b w:val="0"/>
                <w:bCs w:val="0"/>
                <w:color w:val="auto"/>
                <w:sz w:val="22"/>
                <w:szCs w:val="22"/>
                <w:highlight w:val="none"/>
              </w:rPr>
              <w:t>分；不全面得</w:t>
            </w:r>
            <w:r>
              <w:rPr>
                <w:rFonts w:hint="eastAsia" w:ascii="宋体" w:hAnsi="宋体" w:eastAsia="宋体" w:cs="宋体"/>
                <w:b w:val="0"/>
                <w:bCs w:val="0"/>
                <w:color w:val="auto"/>
                <w:sz w:val="22"/>
                <w:szCs w:val="22"/>
                <w:highlight w:val="none"/>
                <w:lang w:val="en-US" w:eastAsia="zh-CN"/>
              </w:rPr>
              <w:t>1</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p>
          <w:p w14:paraId="194CBD6B">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针对性</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：针对性强得</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分；针对性较强得</w:t>
            </w:r>
            <w:r>
              <w:rPr>
                <w:rFonts w:hint="eastAsia" w:ascii="宋体" w:hAnsi="宋体" w:eastAsia="宋体" w:cs="宋体"/>
                <w:b w:val="0"/>
                <w:bCs w:val="0"/>
                <w:color w:val="auto"/>
                <w:sz w:val="22"/>
                <w:szCs w:val="22"/>
                <w:highlight w:val="none"/>
                <w:lang w:val="en-US" w:eastAsia="zh-CN"/>
              </w:rPr>
              <w:t>2</w:t>
            </w:r>
            <w:r>
              <w:rPr>
                <w:rFonts w:hint="eastAsia" w:ascii="宋体" w:hAnsi="宋体" w:eastAsia="宋体" w:cs="宋体"/>
                <w:b w:val="0"/>
                <w:bCs w:val="0"/>
                <w:color w:val="auto"/>
                <w:sz w:val="22"/>
                <w:szCs w:val="22"/>
                <w:highlight w:val="none"/>
              </w:rPr>
              <w:t>分；针对性不强得</w:t>
            </w:r>
            <w:r>
              <w:rPr>
                <w:rFonts w:hint="eastAsia" w:ascii="宋体" w:hAnsi="宋体" w:eastAsia="宋体" w:cs="宋体"/>
                <w:b w:val="0"/>
                <w:bCs w:val="0"/>
                <w:color w:val="auto"/>
                <w:sz w:val="22"/>
                <w:szCs w:val="22"/>
                <w:highlight w:val="none"/>
                <w:lang w:val="en-US" w:eastAsia="zh-CN"/>
              </w:rPr>
              <w:t>1</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p>
          <w:p w14:paraId="31814EEA">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可行性</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：符合实际切实可行得</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分；较切实可行得</w:t>
            </w:r>
            <w:r>
              <w:rPr>
                <w:rFonts w:hint="eastAsia" w:ascii="宋体" w:hAnsi="宋体" w:eastAsia="宋体" w:cs="宋体"/>
                <w:b w:val="0"/>
                <w:bCs w:val="0"/>
                <w:color w:val="auto"/>
                <w:sz w:val="22"/>
                <w:szCs w:val="22"/>
                <w:highlight w:val="none"/>
                <w:lang w:val="en-US" w:eastAsia="zh-CN"/>
              </w:rPr>
              <w:t>2</w:t>
            </w:r>
            <w:r>
              <w:rPr>
                <w:rFonts w:hint="eastAsia" w:ascii="宋体" w:hAnsi="宋体" w:eastAsia="宋体" w:cs="宋体"/>
                <w:b w:val="0"/>
                <w:bCs w:val="0"/>
                <w:color w:val="auto"/>
                <w:sz w:val="22"/>
                <w:szCs w:val="22"/>
                <w:highlight w:val="none"/>
              </w:rPr>
              <w:t>分；可行性欠缺得</w:t>
            </w:r>
            <w:r>
              <w:rPr>
                <w:rFonts w:hint="eastAsia" w:ascii="宋体" w:hAnsi="宋体" w:eastAsia="宋体" w:cs="宋体"/>
                <w:b w:val="0"/>
                <w:bCs w:val="0"/>
                <w:color w:val="auto"/>
                <w:sz w:val="22"/>
                <w:szCs w:val="22"/>
                <w:highlight w:val="none"/>
                <w:lang w:val="en-US" w:eastAsia="zh-CN"/>
              </w:rPr>
              <w:t>1</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p>
          <w:p w14:paraId="452E7214">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val="en-US" w:eastAsia="zh-CN" w:bidi="ar-SA"/>
              </w:rPr>
            </w:pPr>
            <w:r>
              <w:rPr>
                <w:rFonts w:hint="eastAsia" w:ascii="宋体" w:hAnsi="宋体" w:eastAsia="宋体" w:cs="宋体"/>
                <w:color w:val="auto"/>
                <w:sz w:val="22"/>
                <w:szCs w:val="22"/>
                <w:highlight w:val="none"/>
              </w:rPr>
              <w:t>未提供的不得分。最高得</w:t>
            </w:r>
            <w:r>
              <w:rPr>
                <w:rFonts w:hint="eastAsia" w:ascii="宋体" w:hAnsi="宋体" w:eastAsia="宋体" w:cs="宋体"/>
                <w:color w:val="auto"/>
                <w:sz w:val="22"/>
                <w:szCs w:val="22"/>
                <w:highlight w:val="none"/>
                <w:lang w:val="en-US" w:eastAsia="zh-CN"/>
              </w:rPr>
              <w:t>9</w:t>
            </w:r>
            <w:r>
              <w:rPr>
                <w:rFonts w:hint="eastAsia" w:ascii="宋体" w:hAnsi="宋体" w:eastAsia="宋体" w:cs="宋体"/>
                <w:color w:val="auto"/>
                <w:sz w:val="22"/>
                <w:szCs w:val="22"/>
                <w:highlight w:val="none"/>
              </w:rPr>
              <w:t>分，最低得0分。</w:t>
            </w:r>
          </w:p>
        </w:tc>
      </w:tr>
      <w:tr w14:paraId="521650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9" w:hRule="atLeast"/>
        </w:trPr>
        <w:tc>
          <w:tcPr>
            <w:tcW w:w="1315" w:type="dxa"/>
            <w:vMerge w:val="continue"/>
            <w:tcBorders>
              <w:left w:val="single" w:color="000000" w:sz="4" w:space="0"/>
              <w:right w:val="single" w:color="000000" w:sz="4" w:space="0"/>
            </w:tcBorders>
            <w:noWrap w:val="0"/>
            <w:vAlign w:val="center"/>
          </w:tcPr>
          <w:p w14:paraId="0641DEA6">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rPr>
            </w:pPr>
          </w:p>
        </w:tc>
        <w:tc>
          <w:tcPr>
            <w:tcW w:w="1360" w:type="dxa"/>
            <w:tcBorders>
              <w:top w:val="single" w:color="000000" w:sz="4" w:space="0"/>
              <w:left w:val="single" w:color="000000" w:sz="4" w:space="0"/>
              <w:right w:val="single" w:color="000000" w:sz="4" w:space="0"/>
            </w:tcBorders>
            <w:shd w:val="clear" w:color="auto" w:fill="auto"/>
            <w:noWrap w:val="0"/>
            <w:vAlign w:val="center"/>
          </w:tcPr>
          <w:p w14:paraId="3CCEB149">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监管技术方案</w:t>
            </w:r>
          </w:p>
          <w:p w14:paraId="57AAE127">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en-US" w:eastAsia="zh-CN"/>
              </w:rPr>
              <w:t>（9分）</w:t>
            </w:r>
          </w:p>
        </w:tc>
        <w:tc>
          <w:tcPr>
            <w:tcW w:w="716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621BCE9">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考察投标人结合招标需求所提供的水环境数据资源整合共享、水环境综合管理应用、水环境一张图可视化监管技术方案。根据投标人提供的技术方案编制内容总体情况</w:t>
            </w:r>
            <w:r>
              <w:rPr>
                <w:rFonts w:hint="eastAsia" w:ascii="宋体" w:hAnsi="宋体" w:eastAsia="宋体" w:cs="宋体"/>
                <w:color w:val="auto"/>
                <w:sz w:val="22"/>
                <w:szCs w:val="22"/>
                <w:highlight w:val="none"/>
              </w:rPr>
              <w:t>进行综合评分</w:t>
            </w:r>
            <w:r>
              <w:rPr>
                <w:rFonts w:hint="eastAsia" w:ascii="宋体" w:hAnsi="宋体" w:eastAsia="宋体" w:cs="宋体"/>
                <w:color w:val="auto"/>
                <w:sz w:val="22"/>
                <w:szCs w:val="22"/>
                <w:highlight w:val="none"/>
                <w:lang w:eastAsia="zh-CN"/>
              </w:rPr>
              <w:t>：</w:t>
            </w:r>
          </w:p>
          <w:p w14:paraId="23630D3B">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全面性</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：全面具体详实得</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分；较全面得</w:t>
            </w:r>
            <w:r>
              <w:rPr>
                <w:rFonts w:hint="eastAsia" w:ascii="宋体" w:hAnsi="宋体" w:eastAsia="宋体" w:cs="宋体"/>
                <w:b w:val="0"/>
                <w:bCs w:val="0"/>
                <w:color w:val="auto"/>
                <w:sz w:val="22"/>
                <w:szCs w:val="22"/>
                <w:highlight w:val="none"/>
                <w:lang w:val="en-US" w:eastAsia="zh-CN"/>
              </w:rPr>
              <w:t>2</w:t>
            </w:r>
            <w:r>
              <w:rPr>
                <w:rFonts w:hint="eastAsia" w:ascii="宋体" w:hAnsi="宋体" w:eastAsia="宋体" w:cs="宋体"/>
                <w:b w:val="0"/>
                <w:bCs w:val="0"/>
                <w:color w:val="auto"/>
                <w:sz w:val="22"/>
                <w:szCs w:val="22"/>
                <w:highlight w:val="none"/>
              </w:rPr>
              <w:t>分；不全面得</w:t>
            </w:r>
            <w:r>
              <w:rPr>
                <w:rFonts w:hint="eastAsia" w:ascii="宋体" w:hAnsi="宋体" w:eastAsia="宋体" w:cs="宋体"/>
                <w:b w:val="0"/>
                <w:bCs w:val="0"/>
                <w:color w:val="auto"/>
                <w:sz w:val="22"/>
                <w:szCs w:val="22"/>
                <w:highlight w:val="none"/>
                <w:lang w:val="en-US" w:eastAsia="zh-CN"/>
              </w:rPr>
              <w:t>1</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p>
          <w:p w14:paraId="654FF1C0">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针对性</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：针对性强并提供地理信息系统的技术开发能力证书证明材料得</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分；针对性较强得</w:t>
            </w:r>
            <w:r>
              <w:rPr>
                <w:rFonts w:hint="eastAsia" w:ascii="宋体" w:hAnsi="宋体" w:eastAsia="宋体" w:cs="宋体"/>
                <w:b w:val="0"/>
                <w:bCs w:val="0"/>
                <w:color w:val="auto"/>
                <w:sz w:val="22"/>
                <w:szCs w:val="22"/>
                <w:highlight w:val="none"/>
                <w:lang w:val="en-US" w:eastAsia="zh-CN"/>
              </w:rPr>
              <w:t>2</w:t>
            </w:r>
            <w:r>
              <w:rPr>
                <w:rFonts w:hint="eastAsia" w:ascii="宋体" w:hAnsi="宋体" w:eastAsia="宋体" w:cs="宋体"/>
                <w:b w:val="0"/>
                <w:bCs w:val="0"/>
                <w:color w:val="auto"/>
                <w:sz w:val="22"/>
                <w:szCs w:val="22"/>
                <w:highlight w:val="none"/>
              </w:rPr>
              <w:t>分；针对性不强得</w:t>
            </w:r>
            <w:r>
              <w:rPr>
                <w:rFonts w:hint="eastAsia" w:ascii="宋体" w:hAnsi="宋体" w:eastAsia="宋体" w:cs="宋体"/>
                <w:b w:val="0"/>
                <w:bCs w:val="0"/>
                <w:color w:val="auto"/>
                <w:sz w:val="22"/>
                <w:szCs w:val="22"/>
                <w:highlight w:val="none"/>
                <w:lang w:val="en-US" w:eastAsia="zh-CN"/>
              </w:rPr>
              <w:t>1</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p>
          <w:p w14:paraId="3AF9678B">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可行性</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：符合实际切实可行得</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分；较切实可行得</w:t>
            </w:r>
            <w:r>
              <w:rPr>
                <w:rFonts w:hint="eastAsia" w:ascii="宋体" w:hAnsi="宋体" w:eastAsia="宋体" w:cs="宋体"/>
                <w:b w:val="0"/>
                <w:bCs w:val="0"/>
                <w:color w:val="auto"/>
                <w:sz w:val="22"/>
                <w:szCs w:val="22"/>
                <w:highlight w:val="none"/>
                <w:lang w:val="en-US" w:eastAsia="zh-CN"/>
              </w:rPr>
              <w:t>2</w:t>
            </w:r>
            <w:r>
              <w:rPr>
                <w:rFonts w:hint="eastAsia" w:ascii="宋体" w:hAnsi="宋体" w:eastAsia="宋体" w:cs="宋体"/>
                <w:b w:val="0"/>
                <w:bCs w:val="0"/>
                <w:color w:val="auto"/>
                <w:sz w:val="22"/>
                <w:szCs w:val="22"/>
                <w:highlight w:val="none"/>
              </w:rPr>
              <w:t>分；可行性欠缺得</w:t>
            </w:r>
            <w:r>
              <w:rPr>
                <w:rFonts w:hint="eastAsia" w:ascii="宋体" w:hAnsi="宋体" w:eastAsia="宋体" w:cs="宋体"/>
                <w:b w:val="0"/>
                <w:bCs w:val="0"/>
                <w:color w:val="auto"/>
                <w:sz w:val="22"/>
                <w:szCs w:val="22"/>
                <w:highlight w:val="none"/>
                <w:lang w:val="en-US" w:eastAsia="zh-CN"/>
              </w:rPr>
              <w:t>1</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p>
          <w:p w14:paraId="6AA6D307">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eastAsia="zh-CN"/>
              </w:rPr>
            </w:pPr>
            <w:r>
              <w:rPr>
                <w:rFonts w:hint="eastAsia" w:ascii="宋体" w:hAnsi="宋体" w:eastAsia="宋体" w:cs="宋体"/>
                <w:color w:val="auto"/>
                <w:sz w:val="22"/>
                <w:szCs w:val="22"/>
                <w:highlight w:val="none"/>
              </w:rPr>
              <w:t>未提供的不得分。最高得</w:t>
            </w:r>
            <w:r>
              <w:rPr>
                <w:rFonts w:hint="eastAsia" w:ascii="宋体" w:hAnsi="宋体" w:eastAsia="宋体" w:cs="宋体"/>
                <w:color w:val="auto"/>
                <w:sz w:val="22"/>
                <w:szCs w:val="22"/>
                <w:highlight w:val="none"/>
                <w:lang w:val="en-US" w:eastAsia="zh-CN"/>
              </w:rPr>
              <w:t>9</w:t>
            </w:r>
            <w:r>
              <w:rPr>
                <w:rFonts w:hint="eastAsia" w:ascii="宋体" w:hAnsi="宋体" w:eastAsia="宋体" w:cs="宋体"/>
                <w:color w:val="auto"/>
                <w:sz w:val="22"/>
                <w:szCs w:val="22"/>
                <w:highlight w:val="none"/>
              </w:rPr>
              <w:t>分，最低得0分。</w:t>
            </w:r>
          </w:p>
        </w:tc>
      </w:tr>
      <w:tr w14:paraId="788826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6" w:hRule="atLeast"/>
        </w:trPr>
        <w:tc>
          <w:tcPr>
            <w:tcW w:w="1315" w:type="dxa"/>
            <w:vMerge w:val="continue"/>
            <w:tcBorders>
              <w:left w:val="single" w:color="000000" w:sz="4" w:space="0"/>
              <w:right w:val="single" w:color="000000" w:sz="4" w:space="0"/>
            </w:tcBorders>
            <w:noWrap w:val="0"/>
            <w:vAlign w:val="center"/>
          </w:tcPr>
          <w:p w14:paraId="66E55223">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rPr>
            </w:pPr>
          </w:p>
        </w:tc>
        <w:tc>
          <w:tcPr>
            <w:tcW w:w="1360" w:type="dxa"/>
            <w:tcBorders>
              <w:top w:val="single" w:color="000000" w:sz="4" w:space="0"/>
              <w:left w:val="single" w:color="000000" w:sz="4" w:space="0"/>
              <w:right w:val="single" w:color="000000" w:sz="4" w:space="0"/>
            </w:tcBorders>
            <w:shd w:val="clear" w:color="auto" w:fill="auto"/>
            <w:noWrap w:val="0"/>
            <w:vAlign w:val="center"/>
          </w:tcPr>
          <w:p w14:paraId="798380DA">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项目服务方案</w:t>
            </w:r>
          </w:p>
          <w:p w14:paraId="21623734">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val="en-US" w:eastAsia="zh-CN" w:bidi="ar-SA"/>
              </w:rPr>
            </w:pPr>
            <w:r>
              <w:rPr>
                <w:rFonts w:hint="eastAsia" w:ascii="宋体" w:hAnsi="宋体" w:eastAsia="宋体" w:cs="宋体"/>
                <w:color w:val="auto"/>
                <w:sz w:val="22"/>
                <w:szCs w:val="22"/>
                <w:highlight w:val="none"/>
                <w:lang w:val="en-US" w:eastAsia="zh-CN"/>
              </w:rPr>
              <w:t>（9分）</w:t>
            </w:r>
          </w:p>
        </w:tc>
        <w:tc>
          <w:tcPr>
            <w:tcW w:w="716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0C4B3A4">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考察投标人结合招标需求内容提供的水环境决策支持建设技术方案，重点包含视频监控AI分析预警、水污染溯源及应急分析、流域动态画像、水环境容量动态测算等模型应用理解程度，根据投标人提供的技术方案编制内容总体情况</w:t>
            </w:r>
            <w:r>
              <w:rPr>
                <w:rFonts w:hint="eastAsia" w:ascii="宋体" w:hAnsi="宋体" w:eastAsia="宋体" w:cs="宋体"/>
                <w:color w:val="auto"/>
                <w:sz w:val="22"/>
                <w:szCs w:val="22"/>
                <w:highlight w:val="none"/>
              </w:rPr>
              <w:t>进行综合评分</w:t>
            </w:r>
            <w:r>
              <w:rPr>
                <w:rFonts w:hint="eastAsia" w:ascii="宋体" w:hAnsi="宋体" w:eastAsia="宋体" w:cs="宋体"/>
                <w:color w:val="auto"/>
                <w:sz w:val="22"/>
                <w:szCs w:val="22"/>
                <w:highlight w:val="none"/>
                <w:lang w:eastAsia="zh-CN"/>
              </w:rPr>
              <w:t>：</w:t>
            </w:r>
          </w:p>
          <w:p w14:paraId="1584C656">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全面性</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：全面具体详实得</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分；较全面得</w:t>
            </w:r>
            <w:r>
              <w:rPr>
                <w:rFonts w:hint="eastAsia" w:ascii="宋体" w:hAnsi="宋体" w:eastAsia="宋体" w:cs="宋体"/>
                <w:b w:val="0"/>
                <w:bCs w:val="0"/>
                <w:color w:val="auto"/>
                <w:sz w:val="22"/>
                <w:szCs w:val="22"/>
                <w:highlight w:val="none"/>
                <w:lang w:val="en-US" w:eastAsia="zh-CN"/>
              </w:rPr>
              <w:t>2</w:t>
            </w:r>
            <w:r>
              <w:rPr>
                <w:rFonts w:hint="eastAsia" w:ascii="宋体" w:hAnsi="宋体" w:eastAsia="宋体" w:cs="宋体"/>
                <w:b w:val="0"/>
                <w:bCs w:val="0"/>
                <w:color w:val="auto"/>
                <w:sz w:val="22"/>
                <w:szCs w:val="22"/>
                <w:highlight w:val="none"/>
              </w:rPr>
              <w:t>分；不全面得</w:t>
            </w:r>
            <w:r>
              <w:rPr>
                <w:rFonts w:hint="eastAsia" w:ascii="宋体" w:hAnsi="宋体" w:eastAsia="宋体" w:cs="宋体"/>
                <w:b w:val="0"/>
                <w:bCs w:val="0"/>
                <w:color w:val="auto"/>
                <w:sz w:val="22"/>
                <w:szCs w:val="22"/>
                <w:highlight w:val="none"/>
                <w:lang w:val="en-US" w:eastAsia="zh-CN"/>
              </w:rPr>
              <w:t>1</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p>
          <w:p w14:paraId="7C656C0A">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针对性</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：针对性强</w:t>
            </w:r>
            <w:r>
              <w:rPr>
                <w:rFonts w:hint="eastAsia" w:ascii="宋体" w:hAnsi="宋体" w:eastAsia="宋体" w:cs="宋体"/>
                <w:b w:val="0"/>
                <w:bCs w:val="0"/>
                <w:color w:val="auto"/>
                <w:sz w:val="22"/>
                <w:szCs w:val="22"/>
                <w:highlight w:val="none"/>
                <w:lang w:val="en-US" w:eastAsia="zh-CN"/>
              </w:rPr>
              <w:t>并</w:t>
            </w:r>
            <w:r>
              <w:rPr>
                <w:rFonts w:hint="eastAsia" w:ascii="宋体" w:hAnsi="宋体" w:eastAsia="宋体" w:cs="宋体"/>
                <w:b w:val="0"/>
                <w:bCs w:val="0"/>
                <w:color w:val="auto"/>
                <w:sz w:val="22"/>
                <w:szCs w:val="22"/>
                <w:highlight w:val="none"/>
              </w:rPr>
              <w:t>提供以往真实项目应用场景溯源分析报告及水环境溯源能力的应用场景案例证明材料得</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分；针对性较强得</w:t>
            </w:r>
            <w:r>
              <w:rPr>
                <w:rFonts w:hint="eastAsia" w:ascii="宋体" w:hAnsi="宋体" w:eastAsia="宋体" w:cs="宋体"/>
                <w:b w:val="0"/>
                <w:bCs w:val="0"/>
                <w:color w:val="auto"/>
                <w:sz w:val="22"/>
                <w:szCs w:val="22"/>
                <w:highlight w:val="none"/>
                <w:lang w:val="en-US" w:eastAsia="zh-CN"/>
              </w:rPr>
              <w:t>2</w:t>
            </w:r>
            <w:r>
              <w:rPr>
                <w:rFonts w:hint="eastAsia" w:ascii="宋体" w:hAnsi="宋体" w:eastAsia="宋体" w:cs="宋体"/>
                <w:b w:val="0"/>
                <w:bCs w:val="0"/>
                <w:color w:val="auto"/>
                <w:sz w:val="22"/>
                <w:szCs w:val="22"/>
                <w:highlight w:val="none"/>
              </w:rPr>
              <w:t>分；针对性不强得</w:t>
            </w:r>
            <w:r>
              <w:rPr>
                <w:rFonts w:hint="eastAsia" w:ascii="宋体" w:hAnsi="宋体" w:eastAsia="宋体" w:cs="宋体"/>
                <w:b w:val="0"/>
                <w:bCs w:val="0"/>
                <w:color w:val="auto"/>
                <w:sz w:val="22"/>
                <w:szCs w:val="22"/>
                <w:highlight w:val="none"/>
                <w:lang w:val="en-US" w:eastAsia="zh-CN"/>
              </w:rPr>
              <w:t>1</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p>
          <w:p w14:paraId="12446DE0">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可行性</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：符合实际切实可行得</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分；较切实可行得</w:t>
            </w:r>
            <w:r>
              <w:rPr>
                <w:rFonts w:hint="eastAsia" w:ascii="宋体" w:hAnsi="宋体" w:eastAsia="宋体" w:cs="宋体"/>
                <w:b w:val="0"/>
                <w:bCs w:val="0"/>
                <w:color w:val="auto"/>
                <w:sz w:val="22"/>
                <w:szCs w:val="22"/>
                <w:highlight w:val="none"/>
                <w:lang w:val="en-US" w:eastAsia="zh-CN"/>
              </w:rPr>
              <w:t>2</w:t>
            </w:r>
            <w:r>
              <w:rPr>
                <w:rFonts w:hint="eastAsia" w:ascii="宋体" w:hAnsi="宋体" w:eastAsia="宋体" w:cs="宋体"/>
                <w:b w:val="0"/>
                <w:bCs w:val="0"/>
                <w:color w:val="auto"/>
                <w:sz w:val="22"/>
                <w:szCs w:val="22"/>
                <w:highlight w:val="none"/>
              </w:rPr>
              <w:t>分；可行性欠缺得</w:t>
            </w:r>
            <w:r>
              <w:rPr>
                <w:rFonts w:hint="eastAsia" w:ascii="宋体" w:hAnsi="宋体" w:eastAsia="宋体" w:cs="宋体"/>
                <w:b w:val="0"/>
                <w:bCs w:val="0"/>
                <w:color w:val="auto"/>
                <w:sz w:val="22"/>
                <w:szCs w:val="22"/>
                <w:highlight w:val="none"/>
                <w:lang w:val="en-US" w:eastAsia="zh-CN"/>
              </w:rPr>
              <w:t>1</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p>
          <w:p w14:paraId="52C7F7C0">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val="en-US" w:eastAsia="zh-CN" w:bidi="ar-SA"/>
              </w:rPr>
            </w:pPr>
            <w:r>
              <w:rPr>
                <w:rFonts w:hint="eastAsia" w:ascii="宋体" w:hAnsi="宋体" w:eastAsia="宋体" w:cs="宋体"/>
                <w:color w:val="auto"/>
                <w:sz w:val="22"/>
                <w:szCs w:val="22"/>
                <w:highlight w:val="none"/>
              </w:rPr>
              <w:t>未提供的不得分。最高得</w:t>
            </w:r>
            <w:r>
              <w:rPr>
                <w:rFonts w:hint="eastAsia" w:ascii="宋体" w:hAnsi="宋体" w:eastAsia="宋体" w:cs="宋体"/>
                <w:color w:val="auto"/>
                <w:sz w:val="22"/>
                <w:szCs w:val="22"/>
                <w:highlight w:val="none"/>
                <w:lang w:val="en-US" w:eastAsia="zh-CN"/>
              </w:rPr>
              <w:t>9</w:t>
            </w:r>
            <w:r>
              <w:rPr>
                <w:rFonts w:hint="eastAsia" w:ascii="宋体" w:hAnsi="宋体" w:eastAsia="宋体" w:cs="宋体"/>
                <w:color w:val="auto"/>
                <w:sz w:val="22"/>
                <w:szCs w:val="22"/>
                <w:highlight w:val="none"/>
              </w:rPr>
              <w:t>分，最低得0分。</w:t>
            </w:r>
          </w:p>
        </w:tc>
      </w:tr>
      <w:tr w14:paraId="5F222A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28" w:hRule="atLeast"/>
        </w:trPr>
        <w:tc>
          <w:tcPr>
            <w:tcW w:w="1315" w:type="dxa"/>
            <w:vMerge w:val="continue"/>
            <w:tcBorders>
              <w:left w:val="single" w:color="000000" w:sz="4" w:space="0"/>
              <w:right w:val="single" w:color="000000" w:sz="4" w:space="0"/>
            </w:tcBorders>
            <w:noWrap w:val="0"/>
            <w:vAlign w:val="center"/>
          </w:tcPr>
          <w:p w14:paraId="39F12703">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rPr>
            </w:pPr>
          </w:p>
        </w:tc>
        <w:tc>
          <w:tcPr>
            <w:tcW w:w="1360" w:type="dxa"/>
            <w:tcBorders>
              <w:top w:val="single" w:color="000000" w:sz="4" w:space="0"/>
              <w:left w:val="single" w:color="000000" w:sz="4" w:space="0"/>
              <w:right w:val="single" w:color="000000" w:sz="4" w:space="0"/>
            </w:tcBorders>
            <w:shd w:val="clear" w:color="auto" w:fill="auto"/>
            <w:noWrap w:val="0"/>
            <w:vAlign w:val="center"/>
          </w:tcPr>
          <w:p w14:paraId="38957771">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预警技术应用方案</w:t>
            </w:r>
          </w:p>
          <w:p w14:paraId="7995D4B2">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en-US" w:eastAsia="zh-CN"/>
              </w:rPr>
              <w:t>（9分）</w:t>
            </w:r>
          </w:p>
        </w:tc>
        <w:tc>
          <w:tcPr>
            <w:tcW w:w="716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D20A638">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投标人对“基于人工智能的水环境监控分级预警技术应用”技术方案进行详细阐述。根据投标人提供的方案编制内容总体情况</w:t>
            </w:r>
            <w:r>
              <w:rPr>
                <w:rFonts w:hint="eastAsia" w:ascii="宋体" w:hAnsi="宋体" w:eastAsia="宋体" w:cs="宋体"/>
                <w:color w:val="auto"/>
                <w:sz w:val="22"/>
                <w:szCs w:val="22"/>
                <w:highlight w:val="none"/>
              </w:rPr>
              <w:t>进行综合评分</w:t>
            </w:r>
            <w:r>
              <w:rPr>
                <w:rFonts w:hint="eastAsia" w:ascii="宋体" w:hAnsi="宋体" w:eastAsia="宋体" w:cs="宋体"/>
                <w:color w:val="auto"/>
                <w:sz w:val="22"/>
                <w:szCs w:val="22"/>
                <w:highlight w:val="none"/>
                <w:lang w:eastAsia="zh-CN"/>
              </w:rPr>
              <w:t>：</w:t>
            </w:r>
          </w:p>
          <w:p w14:paraId="25A9B771">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全面性</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：全面具体详实得</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分；较全面得</w:t>
            </w:r>
            <w:r>
              <w:rPr>
                <w:rFonts w:hint="eastAsia" w:ascii="宋体" w:hAnsi="宋体" w:eastAsia="宋体" w:cs="宋体"/>
                <w:b w:val="0"/>
                <w:bCs w:val="0"/>
                <w:color w:val="auto"/>
                <w:sz w:val="22"/>
                <w:szCs w:val="22"/>
                <w:highlight w:val="none"/>
                <w:lang w:val="en-US" w:eastAsia="zh-CN"/>
              </w:rPr>
              <w:t>2</w:t>
            </w:r>
            <w:r>
              <w:rPr>
                <w:rFonts w:hint="eastAsia" w:ascii="宋体" w:hAnsi="宋体" w:eastAsia="宋体" w:cs="宋体"/>
                <w:b w:val="0"/>
                <w:bCs w:val="0"/>
                <w:color w:val="auto"/>
                <w:sz w:val="22"/>
                <w:szCs w:val="22"/>
                <w:highlight w:val="none"/>
              </w:rPr>
              <w:t>分；不全面得</w:t>
            </w:r>
            <w:r>
              <w:rPr>
                <w:rFonts w:hint="eastAsia" w:ascii="宋体" w:hAnsi="宋体" w:eastAsia="宋体" w:cs="宋体"/>
                <w:b w:val="0"/>
                <w:bCs w:val="0"/>
                <w:color w:val="auto"/>
                <w:sz w:val="22"/>
                <w:szCs w:val="22"/>
                <w:highlight w:val="none"/>
                <w:lang w:val="en-US" w:eastAsia="zh-CN"/>
              </w:rPr>
              <w:t>1</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p>
          <w:p w14:paraId="46593235">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针对性</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：针对性强得</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分；针对性较强得</w:t>
            </w:r>
            <w:r>
              <w:rPr>
                <w:rFonts w:hint="eastAsia" w:ascii="宋体" w:hAnsi="宋体" w:eastAsia="宋体" w:cs="宋体"/>
                <w:b w:val="0"/>
                <w:bCs w:val="0"/>
                <w:color w:val="auto"/>
                <w:sz w:val="22"/>
                <w:szCs w:val="22"/>
                <w:highlight w:val="none"/>
                <w:lang w:val="en-US" w:eastAsia="zh-CN"/>
              </w:rPr>
              <w:t>2</w:t>
            </w:r>
            <w:r>
              <w:rPr>
                <w:rFonts w:hint="eastAsia" w:ascii="宋体" w:hAnsi="宋体" w:eastAsia="宋体" w:cs="宋体"/>
                <w:b w:val="0"/>
                <w:bCs w:val="0"/>
                <w:color w:val="auto"/>
                <w:sz w:val="22"/>
                <w:szCs w:val="22"/>
                <w:highlight w:val="none"/>
              </w:rPr>
              <w:t>分；针对性不强得</w:t>
            </w:r>
            <w:r>
              <w:rPr>
                <w:rFonts w:hint="eastAsia" w:ascii="宋体" w:hAnsi="宋体" w:eastAsia="宋体" w:cs="宋体"/>
                <w:b w:val="0"/>
                <w:bCs w:val="0"/>
                <w:color w:val="auto"/>
                <w:sz w:val="22"/>
                <w:szCs w:val="22"/>
                <w:highlight w:val="none"/>
                <w:lang w:val="en-US" w:eastAsia="zh-CN"/>
              </w:rPr>
              <w:t>1</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p>
          <w:p w14:paraId="02F31AB8">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可行性</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：符合实际切实可行得</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分；较切实可行得</w:t>
            </w:r>
            <w:r>
              <w:rPr>
                <w:rFonts w:hint="eastAsia" w:ascii="宋体" w:hAnsi="宋体" w:eastAsia="宋体" w:cs="宋体"/>
                <w:b w:val="0"/>
                <w:bCs w:val="0"/>
                <w:color w:val="auto"/>
                <w:sz w:val="22"/>
                <w:szCs w:val="22"/>
                <w:highlight w:val="none"/>
                <w:lang w:val="en-US" w:eastAsia="zh-CN"/>
              </w:rPr>
              <w:t>2</w:t>
            </w:r>
            <w:r>
              <w:rPr>
                <w:rFonts w:hint="eastAsia" w:ascii="宋体" w:hAnsi="宋体" w:eastAsia="宋体" w:cs="宋体"/>
                <w:b w:val="0"/>
                <w:bCs w:val="0"/>
                <w:color w:val="auto"/>
                <w:sz w:val="22"/>
                <w:szCs w:val="22"/>
                <w:highlight w:val="none"/>
              </w:rPr>
              <w:t>分；可行性欠缺得</w:t>
            </w:r>
            <w:r>
              <w:rPr>
                <w:rFonts w:hint="eastAsia" w:ascii="宋体" w:hAnsi="宋体" w:eastAsia="宋体" w:cs="宋体"/>
                <w:b w:val="0"/>
                <w:bCs w:val="0"/>
                <w:color w:val="auto"/>
                <w:sz w:val="22"/>
                <w:szCs w:val="22"/>
                <w:highlight w:val="none"/>
                <w:lang w:val="en-US" w:eastAsia="zh-CN"/>
              </w:rPr>
              <w:t>1</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p>
          <w:p w14:paraId="1E4B569D">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eastAsia="zh-CN"/>
              </w:rPr>
            </w:pPr>
            <w:r>
              <w:rPr>
                <w:rFonts w:hint="eastAsia" w:ascii="宋体" w:hAnsi="宋体" w:eastAsia="宋体" w:cs="宋体"/>
                <w:color w:val="auto"/>
                <w:sz w:val="22"/>
                <w:szCs w:val="22"/>
                <w:highlight w:val="none"/>
              </w:rPr>
              <w:t>未提供的不得分。最高得</w:t>
            </w:r>
            <w:r>
              <w:rPr>
                <w:rFonts w:hint="eastAsia" w:ascii="宋体" w:hAnsi="宋体" w:eastAsia="宋体" w:cs="宋体"/>
                <w:color w:val="auto"/>
                <w:sz w:val="22"/>
                <w:szCs w:val="22"/>
                <w:highlight w:val="none"/>
                <w:lang w:val="en-US" w:eastAsia="zh-CN"/>
              </w:rPr>
              <w:t>9</w:t>
            </w:r>
            <w:r>
              <w:rPr>
                <w:rFonts w:hint="eastAsia" w:ascii="宋体" w:hAnsi="宋体" w:eastAsia="宋体" w:cs="宋体"/>
                <w:color w:val="auto"/>
                <w:sz w:val="22"/>
                <w:szCs w:val="22"/>
                <w:highlight w:val="none"/>
              </w:rPr>
              <w:t>分，最低得0分。</w:t>
            </w:r>
          </w:p>
        </w:tc>
      </w:tr>
      <w:tr w14:paraId="4CB882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3" w:hRule="atLeast"/>
        </w:trPr>
        <w:tc>
          <w:tcPr>
            <w:tcW w:w="1315" w:type="dxa"/>
            <w:vMerge w:val="continue"/>
            <w:tcBorders>
              <w:left w:val="single" w:color="000000" w:sz="4" w:space="0"/>
              <w:right w:val="single" w:color="000000" w:sz="4" w:space="0"/>
            </w:tcBorders>
            <w:noWrap w:val="0"/>
            <w:vAlign w:val="center"/>
          </w:tcPr>
          <w:p w14:paraId="3CF62EDB">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rPr>
            </w:pPr>
          </w:p>
        </w:tc>
        <w:tc>
          <w:tcPr>
            <w:tcW w:w="1360" w:type="dxa"/>
            <w:tcBorders>
              <w:top w:val="single" w:color="000000" w:sz="4" w:space="0"/>
              <w:left w:val="single" w:color="000000" w:sz="4" w:space="0"/>
              <w:right w:val="single" w:color="000000" w:sz="4" w:space="0"/>
            </w:tcBorders>
            <w:shd w:val="clear" w:color="auto" w:fill="auto"/>
            <w:noWrap w:val="0"/>
            <w:vAlign w:val="center"/>
          </w:tcPr>
          <w:p w14:paraId="35F9F061">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项目测试及验收方案</w:t>
            </w:r>
          </w:p>
          <w:p w14:paraId="6231703F">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（9分）</w:t>
            </w:r>
          </w:p>
        </w:tc>
        <w:tc>
          <w:tcPr>
            <w:tcW w:w="716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09F2571">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根据投标人提供的</w:t>
            </w:r>
            <w:r>
              <w:rPr>
                <w:rFonts w:hint="eastAsia" w:ascii="宋体" w:hAnsi="宋体" w:eastAsia="宋体" w:cs="宋体"/>
                <w:color w:val="auto"/>
                <w:sz w:val="22"/>
                <w:szCs w:val="22"/>
                <w:highlight w:val="none"/>
              </w:rPr>
              <w:t>项目测试及验收方案，包括但不限于项目测试计划、项目验收方案等内容进行综合评分</w:t>
            </w:r>
            <w:r>
              <w:rPr>
                <w:rFonts w:hint="eastAsia" w:ascii="宋体" w:hAnsi="宋体" w:eastAsia="宋体" w:cs="宋体"/>
                <w:color w:val="auto"/>
                <w:sz w:val="22"/>
                <w:szCs w:val="22"/>
                <w:highlight w:val="none"/>
                <w:lang w:val="en-US" w:eastAsia="zh-CN"/>
              </w:rPr>
              <w:t>：</w:t>
            </w:r>
          </w:p>
          <w:p w14:paraId="4BC6C34B">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全面性</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：全面具体详实得</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分；较全面得</w:t>
            </w:r>
            <w:r>
              <w:rPr>
                <w:rFonts w:hint="eastAsia" w:ascii="宋体" w:hAnsi="宋体" w:eastAsia="宋体" w:cs="宋体"/>
                <w:b w:val="0"/>
                <w:bCs w:val="0"/>
                <w:color w:val="auto"/>
                <w:sz w:val="22"/>
                <w:szCs w:val="22"/>
                <w:highlight w:val="none"/>
                <w:lang w:val="en-US" w:eastAsia="zh-CN"/>
              </w:rPr>
              <w:t>2</w:t>
            </w:r>
            <w:r>
              <w:rPr>
                <w:rFonts w:hint="eastAsia" w:ascii="宋体" w:hAnsi="宋体" w:eastAsia="宋体" w:cs="宋体"/>
                <w:b w:val="0"/>
                <w:bCs w:val="0"/>
                <w:color w:val="auto"/>
                <w:sz w:val="22"/>
                <w:szCs w:val="22"/>
                <w:highlight w:val="none"/>
              </w:rPr>
              <w:t>分；不全面得</w:t>
            </w:r>
            <w:r>
              <w:rPr>
                <w:rFonts w:hint="eastAsia" w:ascii="宋体" w:hAnsi="宋体" w:eastAsia="宋体" w:cs="宋体"/>
                <w:b w:val="0"/>
                <w:bCs w:val="0"/>
                <w:color w:val="auto"/>
                <w:sz w:val="22"/>
                <w:szCs w:val="22"/>
                <w:highlight w:val="none"/>
                <w:lang w:val="en-US" w:eastAsia="zh-CN"/>
              </w:rPr>
              <w:t>1</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p>
          <w:p w14:paraId="4B97C441">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合理性（3分）：合理强得3分，合理性较强得2分，合理性不足得1分。</w:t>
            </w:r>
          </w:p>
          <w:p w14:paraId="38AFF304">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针对性</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：针对性强得</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分；针对性较强得</w:t>
            </w:r>
            <w:r>
              <w:rPr>
                <w:rFonts w:hint="eastAsia" w:ascii="宋体" w:hAnsi="宋体" w:eastAsia="宋体" w:cs="宋体"/>
                <w:b w:val="0"/>
                <w:bCs w:val="0"/>
                <w:color w:val="auto"/>
                <w:sz w:val="22"/>
                <w:szCs w:val="22"/>
                <w:highlight w:val="none"/>
                <w:lang w:val="en-US" w:eastAsia="zh-CN"/>
              </w:rPr>
              <w:t>2</w:t>
            </w:r>
            <w:r>
              <w:rPr>
                <w:rFonts w:hint="eastAsia" w:ascii="宋体" w:hAnsi="宋体" w:eastAsia="宋体" w:cs="宋体"/>
                <w:b w:val="0"/>
                <w:bCs w:val="0"/>
                <w:color w:val="auto"/>
                <w:sz w:val="22"/>
                <w:szCs w:val="22"/>
                <w:highlight w:val="none"/>
              </w:rPr>
              <w:t>分；针对性不强得</w:t>
            </w:r>
            <w:r>
              <w:rPr>
                <w:rFonts w:hint="eastAsia" w:ascii="宋体" w:hAnsi="宋体" w:eastAsia="宋体" w:cs="宋体"/>
                <w:b w:val="0"/>
                <w:bCs w:val="0"/>
                <w:color w:val="auto"/>
                <w:sz w:val="22"/>
                <w:szCs w:val="22"/>
                <w:highlight w:val="none"/>
                <w:lang w:val="en-US" w:eastAsia="zh-CN"/>
              </w:rPr>
              <w:t>1</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p>
          <w:p w14:paraId="491619D8">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未提供的不得分。</w:t>
            </w:r>
            <w:r>
              <w:rPr>
                <w:rFonts w:hint="eastAsia" w:ascii="宋体" w:hAnsi="宋体" w:eastAsia="宋体" w:cs="宋体"/>
                <w:color w:val="auto"/>
                <w:sz w:val="22"/>
                <w:szCs w:val="22"/>
                <w:highlight w:val="none"/>
                <w:lang w:val="en-US" w:eastAsia="zh-CN"/>
              </w:rPr>
              <w:t>本项最高得9分，最低得0分。</w:t>
            </w:r>
          </w:p>
        </w:tc>
      </w:tr>
      <w:tr w14:paraId="62C30B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1315" w:type="dxa"/>
            <w:vMerge w:val="continue"/>
            <w:tcBorders>
              <w:left w:val="single" w:color="000000" w:sz="4" w:space="0"/>
              <w:right w:val="single" w:color="000000" w:sz="4" w:space="0"/>
            </w:tcBorders>
            <w:noWrap w:val="0"/>
            <w:vAlign w:val="center"/>
          </w:tcPr>
          <w:p w14:paraId="60789D2D">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rPr>
            </w:pPr>
          </w:p>
        </w:tc>
        <w:tc>
          <w:tcPr>
            <w:tcW w:w="136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9610881">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安全保障及文明保证</w:t>
            </w:r>
          </w:p>
          <w:p w14:paraId="73088FB0">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（9分）</w:t>
            </w:r>
          </w:p>
          <w:p w14:paraId="6017AF55">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val="en-US" w:eastAsia="zh-CN" w:bidi="ar-SA"/>
              </w:rPr>
            </w:pPr>
          </w:p>
        </w:tc>
        <w:tc>
          <w:tcPr>
            <w:tcW w:w="716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600B98B">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根据投标人提供的安全保障及文明保证进行打分，包括但不限于对本项目的人员安全保障、设备保障措施和对本项目现场的安全保护措施、文明服务管理措施等内容的全面性、针对性、可行性进行综合评分：</w:t>
            </w:r>
          </w:p>
          <w:p w14:paraId="010A0C7B">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全面性</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：全面具体详实得</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分；较全面得</w:t>
            </w:r>
            <w:r>
              <w:rPr>
                <w:rFonts w:hint="eastAsia" w:ascii="宋体" w:hAnsi="宋体" w:eastAsia="宋体" w:cs="宋体"/>
                <w:b w:val="0"/>
                <w:bCs w:val="0"/>
                <w:color w:val="auto"/>
                <w:sz w:val="22"/>
                <w:szCs w:val="22"/>
                <w:highlight w:val="none"/>
                <w:lang w:val="en-US" w:eastAsia="zh-CN"/>
              </w:rPr>
              <w:t>2</w:t>
            </w:r>
            <w:r>
              <w:rPr>
                <w:rFonts w:hint="eastAsia" w:ascii="宋体" w:hAnsi="宋体" w:eastAsia="宋体" w:cs="宋体"/>
                <w:b w:val="0"/>
                <w:bCs w:val="0"/>
                <w:color w:val="auto"/>
                <w:sz w:val="22"/>
                <w:szCs w:val="22"/>
                <w:highlight w:val="none"/>
              </w:rPr>
              <w:t>分；不全面得</w:t>
            </w:r>
            <w:r>
              <w:rPr>
                <w:rFonts w:hint="eastAsia" w:ascii="宋体" w:hAnsi="宋体" w:eastAsia="宋体" w:cs="宋体"/>
                <w:b w:val="0"/>
                <w:bCs w:val="0"/>
                <w:color w:val="auto"/>
                <w:sz w:val="22"/>
                <w:szCs w:val="22"/>
                <w:highlight w:val="none"/>
                <w:lang w:val="en-US" w:eastAsia="zh-CN"/>
              </w:rPr>
              <w:t>1</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p>
          <w:p w14:paraId="034B98D2">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合理性（3分）：合理强得3分，合理性较强得2分，合理性不足得1分。</w:t>
            </w:r>
          </w:p>
          <w:p w14:paraId="446A3C46">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针对性</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：针对性强得</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分；针对性较强得</w:t>
            </w:r>
            <w:r>
              <w:rPr>
                <w:rFonts w:hint="eastAsia" w:ascii="宋体" w:hAnsi="宋体" w:eastAsia="宋体" w:cs="宋体"/>
                <w:b w:val="0"/>
                <w:bCs w:val="0"/>
                <w:color w:val="auto"/>
                <w:sz w:val="22"/>
                <w:szCs w:val="22"/>
                <w:highlight w:val="none"/>
                <w:lang w:val="en-US" w:eastAsia="zh-CN"/>
              </w:rPr>
              <w:t>2</w:t>
            </w:r>
            <w:r>
              <w:rPr>
                <w:rFonts w:hint="eastAsia" w:ascii="宋体" w:hAnsi="宋体" w:eastAsia="宋体" w:cs="宋体"/>
                <w:b w:val="0"/>
                <w:bCs w:val="0"/>
                <w:color w:val="auto"/>
                <w:sz w:val="22"/>
                <w:szCs w:val="22"/>
                <w:highlight w:val="none"/>
              </w:rPr>
              <w:t>分；针对性不强得</w:t>
            </w:r>
            <w:r>
              <w:rPr>
                <w:rFonts w:hint="eastAsia" w:ascii="宋体" w:hAnsi="宋体" w:eastAsia="宋体" w:cs="宋体"/>
                <w:b w:val="0"/>
                <w:bCs w:val="0"/>
                <w:color w:val="auto"/>
                <w:sz w:val="22"/>
                <w:szCs w:val="22"/>
                <w:highlight w:val="none"/>
                <w:lang w:val="en-US" w:eastAsia="zh-CN"/>
              </w:rPr>
              <w:t>1</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p>
          <w:p w14:paraId="33BF3F13">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未提供的不得分。</w:t>
            </w:r>
            <w:r>
              <w:rPr>
                <w:rFonts w:hint="eastAsia" w:ascii="宋体" w:hAnsi="宋体" w:eastAsia="宋体" w:cs="宋体"/>
                <w:color w:val="auto"/>
                <w:sz w:val="22"/>
                <w:szCs w:val="22"/>
                <w:highlight w:val="none"/>
                <w:lang w:val="en-US" w:eastAsia="zh-CN"/>
              </w:rPr>
              <w:t>本项最高得9分，最低得0分。</w:t>
            </w:r>
          </w:p>
        </w:tc>
      </w:tr>
      <w:tr w14:paraId="603E4F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1315" w:type="dxa"/>
            <w:vMerge w:val="continue"/>
            <w:tcBorders>
              <w:left w:val="single" w:color="000000" w:sz="4" w:space="0"/>
              <w:right w:val="single" w:color="000000" w:sz="4" w:space="0"/>
            </w:tcBorders>
            <w:noWrap w:val="0"/>
            <w:vAlign w:val="center"/>
          </w:tcPr>
          <w:p w14:paraId="64EFC8CE">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rPr>
            </w:pPr>
          </w:p>
        </w:tc>
        <w:tc>
          <w:tcPr>
            <w:tcW w:w="136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87128BB">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运维、售后及培训方案</w:t>
            </w:r>
          </w:p>
          <w:p w14:paraId="35EA0A4D">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val="en-US" w:eastAsia="zh-CN" w:bidi="ar-SA"/>
              </w:rPr>
            </w:pPr>
            <w:r>
              <w:rPr>
                <w:rFonts w:hint="eastAsia" w:ascii="宋体" w:hAnsi="宋体" w:eastAsia="宋体" w:cs="宋体"/>
                <w:color w:val="auto"/>
                <w:sz w:val="22"/>
                <w:szCs w:val="22"/>
                <w:highlight w:val="none"/>
                <w:lang w:val="en-US" w:eastAsia="zh-CN"/>
              </w:rPr>
              <w:t>（9分）</w:t>
            </w:r>
          </w:p>
        </w:tc>
        <w:tc>
          <w:tcPr>
            <w:tcW w:w="716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E3890D4">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根据投标人提供的运维技术方案、售后、培训方案进行打分，包括但不限于运维服务内容、服务措施、服务标准、服务流程、培训方式、培训计划、培训流程、培训课程及内容、投标人培训方面的优势等内容进行综合评分：</w:t>
            </w:r>
          </w:p>
          <w:p w14:paraId="653D5C44">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全面性</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：全面具体详实得</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分；较全面得</w:t>
            </w:r>
            <w:r>
              <w:rPr>
                <w:rFonts w:hint="eastAsia" w:ascii="宋体" w:hAnsi="宋体" w:eastAsia="宋体" w:cs="宋体"/>
                <w:b w:val="0"/>
                <w:bCs w:val="0"/>
                <w:color w:val="auto"/>
                <w:sz w:val="22"/>
                <w:szCs w:val="22"/>
                <w:highlight w:val="none"/>
                <w:lang w:val="en-US" w:eastAsia="zh-CN"/>
              </w:rPr>
              <w:t>2</w:t>
            </w:r>
            <w:r>
              <w:rPr>
                <w:rFonts w:hint="eastAsia" w:ascii="宋体" w:hAnsi="宋体" w:eastAsia="宋体" w:cs="宋体"/>
                <w:b w:val="0"/>
                <w:bCs w:val="0"/>
                <w:color w:val="auto"/>
                <w:sz w:val="22"/>
                <w:szCs w:val="22"/>
                <w:highlight w:val="none"/>
              </w:rPr>
              <w:t>分；不全面得</w:t>
            </w:r>
            <w:r>
              <w:rPr>
                <w:rFonts w:hint="eastAsia" w:ascii="宋体" w:hAnsi="宋体" w:eastAsia="宋体" w:cs="宋体"/>
                <w:b w:val="0"/>
                <w:bCs w:val="0"/>
                <w:color w:val="auto"/>
                <w:sz w:val="22"/>
                <w:szCs w:val="22"/>
                <w:highlight w:val="none"/>
                <w:lang w:val="en-US" w:eastAsia="zh-CN"/>
              </w:rPr>
              <w:t>1</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p>
          <w:p w14:paraId="7088CFDF">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合理性（3分）：合理强得3分，合理性较强得2分，合理性不足得1分。</w:t>
            </w:r>
          </w:p>
          <w:p w14:paraId="4AF4FE25">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针对性</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：针对性强得</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分；针对性较强得</w:t>
            </w:r>
            <w:r>
              <w:rPr>
                <w:rFonts w:hint="eastAsia" w:ascii="宋体" w:hAnsi="宋体" w:eastAsia="宋体" w:cs="宋体"/>
                <w:b w:val="0"/>
                <w:bCs w:val="0"/>
                <w:color w:val="auto"/>
                <w:sz w:val="22"/>
                <w:szCs w:val="22"/>
                <w:highlight w:val="none"/>
                <w:lang w:val="en-US" w:eastAsia="zh-CN"/>
              </w:rPr>
              <w:t>2</w:t>
            </w:r>
            <w:r>
              <w:rPr>
                <w:rFonts w:hint="eastAsia" w:ascii="宋体" w:hAnsi="宋体" w:eastAsia="宋体" w:cs="宋体"/>
                <w:b w:val="0"/>
                <w:bCs w:val="0"/>
                <w:color w:val="auto"/>
                <w:sz w:val="22"/>
                <w:szCs w:val="22"/>
                <w:highlight w:val="none"/>
              </w:rPr>
              <w:t>分；针对性不强得</w:t>
            </w:r>
            <w:r>
              <w:rPr>
                <w:rFonts w:hint="eastAsia" w:ascii="宋体" w:hAnsi="宋体" w:eastAsia="宋体" w:cs="宋体"/>
                <w:b w:val="0"/>
                <w:bCs w:val="0"/>
                <w:color w:val="auto"/>
                <w:sz w:val="22"/>
                <w:szCs w:val="22"/>
                <w:highlight w:val="none"/>
                <w:lang w:val="en-US" w:eastAsia="zh-CN"/>
              </w:rPr>
              <w:t>1</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p>
          <w:p w14:paraId="344E7225">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未提供的不得分。</w:t>
            </w:r>
            <w:r>
              <w:rPr>
                <w:rFonts w:hint="eastAsia" w:ascii="宋体" w:hAnsi="宋体" w:eastAsia="宋体" w:cs="宋体"/>
                <w:color w:val="auto"/>
                <w:sz w:val="22"/>
                <w:szCs w:val="22"/>
                <w:highlight w:val="none"/>
                <w:lang w:val="en-US" w:eastAsia="zh-CN"/>
              </w:rPr>
              <w:t>本项最高得9分，最低得0分。</w:t>
            </w:r>
          </w:p>
        </w:tc>
      </w:tr>
      <w:tr w14:paraId="0A60BF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1315" w:type="dxa"/>
            <w:vMerge w:val="continue"/>
            <w:tcBorders>
              <w:left w:val="single" w:color="000000" w:sz="4" w:space="0"/>
              <w:right w:val="single" w:color="000000" w:sz="4" w:space="0"/>
            </w:tcBorders>
            <w:noWrap w:val="0"/>
            <w:vAlign w:val="center"/>
          </w:tcPr>
          <w:p w14:paraId="313F7814">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rPr>
            </w:pPr>
          </w:p>
        </w:tc>
        <w:tc>
          <w:tcPr>
            <w:tcW w:w="1360" w:type="dxa"/>
            <w:tcBorders>
              <w:top w:val="single" w:color="auto" w:sz="4" w:space="0"/>
              <w:left w:val="single" w:color="000000" w:sz="4" w:space="0"/>
              <w:bottom w:val="single" w:color="000000" w:sz="4" w:space="0"/>
              <w:right w:val="single" w:color="000000" w:sz="4" w:space="0"/>
            </w:tcBorders>
            <w:shd w:val="clear" w:color="auto" w:fill="auto"/>
            <w:noWrap w:val="0"/>
            <w:vAlign w:val="center"/>
          </w:tcPr>
          <w:p w14:paraId="61F81106">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应急方案  （</w:t>
            </w:r>
            <w:r>
              <w:rPr>
                <w:rFonts w:hint="eastAsia" w:ascii="宋体" w:hAnsi="宋体" w:eastAsia="宋体" w:cs="宋体"/>
                <w:color w:val="auto"/>
                <w:sz w:val="22"/>
                <w:szCs w:val="22"/>
                <w:highlight w:val="none"/>
                <w:lang w:val="en-US" w:eastAsia="zh-CN"/>
              </w:rPr>
              <w:t>4</w:t>
            </w:r>
            <w:r>
              <w:rPr>
                <w:rFonts w:hint="eastAsia" w:ascii="宋体" w:hAnsi="宋体" w:eastAsia="宋体" w:cs="宋体"/>
                <w:color w:val="auto"/>
                <w:sz w:val="22"/>
                <w:szCs w:val="22"/>
                <w:highlight w:val="none"/>
              </w:rPr>
              <w:t>分）</w:t>
            </w:r>
          </w:p>
        </w:tc>
        <w:tc>
          <w:tcPr>
            <w:tcW w:w="716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C5F45EF">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根据投标人提供的应急方案的全面性、针对性、可行性</w:t>
            </w:r>
            <w:r>
              <w:rPr>
                <w:rFonts w:hint="eastAsia" w:ascii="宋体" w:hAnsi="宋体" w:eastAsia="宋体" w:cs="宋体"/>
                <w:color w:val="auto"/>
                <w:sz w:val="22"/>
                <w:szCs w:val="22"/>
                <w:highlight w:val="none"/>
              </w:rPr>
              <w:t>进行综合评分</w:t>
            </w:r>
            <w:r>
              <w:rPr>
                <w:rFonts w:hint="eastAsia" w:ascii="宋体" w:hAnsi="宋体" w:eastAsia="宋体" w:cs="宋体"/>
                <w:color w:val="auto"/>
                <w:sz w:val="22"/>
                <w:szCs w:val="22"/>
                <w:highlight w:val="none"/>
                <w:lang w:val="en-US" w:eastAsia="zh-CN"/>
              </w:rPr>
              <w:t>：</w:t>
            </w:r>
          </w:p>
          <w:p w14:paraId="5794364A">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sz w:val="22"/>
                <w:szCs w:val="22"/>
                <w:highlight w:val="none"/>
              </w:rPr>
            </w:pPr>
            <w:r>
              <w:rPr>
                <w:rFonts w:hint="eastAsia" w:ascii="宋体" w:hAnsi="宋体" w:eastAsia="宋体" w:cs="宋体"/>
                <w:sz w:val="22"/>
                <w:szCs w:val="22"/>
                <w:highlight w:val="none"/>
              </w:rPr>
              <w:t>内容详细具体、针对性强、内容完整的得</w:t>
            </w:r>
            <w:r>
              <w:rPr>
                <w:rFonts w:hint="eastAsia" w:ascii="宋体" w:hAnsi="宋体" w:eastAsia="宋体" w:cs="宋体"/>
                <w:sz w:val="22"/>
                <w:szCs w:val="22"/>
                <w:highlight w:val="none"/>
                <w:lang w:val="en-US" w:eastAsia="zh-CN"/>
              </w:rPr>
              <w:t>4</w:t>
            </w:r>
            <w:r>
              <w:rPr>
                <w:rFonts w:hint="eastAsia" w:ascii="宋体" w:hAnsi="宋体" w:eastAsia="宋体" w:cs="宋体"/>
                <w:sz w:val="22"/>
                <w:szCs w:val="22"/>
                <w:highlight w:val="none"/>
              </w:rPr>
              <w:t>分；</w:t>
            </w:r>
          </w:p>
          <w:p w14:paraId="44B83440">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sz w:val="22"/>
                <w:szCs w:val="22"/>
                <w:highlight w:val="none"/>
                <w:lang w:val="en-US"/>
              </w:rPr>
            </w:pPr>
            <w:r>
              <w:rPr>
                <w:rFonts w:hint="eastAsia" w:ascii="宋体" w:hAnsi="宋体" w:eastAsia="宋体" w:cs="宋体"/>
                <w:sz w:val="22"/>
                <w:szCs w:val="22"/>
                <w:highlight w:val="none"/>
                <w:lang w:val="en-US" w:eastAsia="zh-CN"/>
              </w:rPr>
              <w:t>内容较详细具体、针对性较强、内容较完整的得3分；</w:t>
            </w:r>
          </w:p>
          <w:p w14:paraId="6A6771B2">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sz w:val="22"/>
                <w:szCs w:val="22"/>
                <w:highlight w:val="none"/>
              </w:rPr>
            </w:pPr>
            <w:r>
              <w:rPr>
                <w:rFonts w:hint="eastAsia" w:ascii="宋体" w:hAnsi="宋体" w:eastAsia="宋体" w:cs="宋体"/>
                <w:sz w:val="22"/>
                <w:szCs w:val="22"/>
                <w:highlight w:val="none"/>
              </w:rPr>
              <w:t>内容基本完整、针对性较强、基本符合要求的得</w:t>
            </w:r>
            <w:r>
              <w:rPr>
                <w:rFonts w:hint="eastAsia" w:ascii="宋体" w:hAnsi="宋体" w:eastAsia="宋体" w:cs="宋体"/>
                <w:sz w:val="22"/>
                <w:szCs w:val="22"/>
                <w:highlight w:val="none"/>
                <w:lang w:val="en-US" w:eastAsia="zh-CN"/>
              </w:rPr>
              <w:t>2</w:t>
            </w:r>
            <w:r>
              <w:rPr>
                <w:rFonts w:hint="eastAsia" w:ascii="宋体" w:hAnsi="宋体" w:eastAsia="宋体" w:cs="宋体"/>
                <w:sz w:val="22"/>
                <w:szCs w:val="22"/>
                <w:highlight w:val="none"/>
              </w:rPr>
              <w:t>分；</w:t>
            </w:r>
          </w:p>
          <w:p w14:paraId="05F5DD93">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sz w:val="22"/>
                <w:szCs w:val="22"/>
                <w:highlight w:val="none"/>
              </w:rPr>
            </w:pPr>
            <w:r>
              <w:rPr>
                <w:rFonts w:hint="eastAsia" w:ascii="宋体" w:hAnsi="宋体" w:eastAsia="宋体" w:cs="宋体"/>
                <w:sz w:val="22"/>
                <w:szCs w:val="22"/>
                <w:highlight w:val="none"/>
              </w:rPr>
              <w:t>内容一般、基本可行</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lang w:val="en-US" w:eastAsia="zh-CN"/>
              </w:rPr>
              <w:t>存在明显不足</w:t>
            </w:r>
            <w:r>
              <w:rPr>
                <w:rFonts w:hint="eastAsia" w:ascii="宋体" w:hAnsi="宋体" w:eastAsia="宋体" w:cs="宋体"/>
                <w:sz w:val="22"/>
                <w:szCs w:val="22"/>
                <w:highlight w:val="none"/>
              </w:rPr>
              <w:t>的得</w:t>
            </w: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分；</w:t>
            </w:r>
          </w:p>
          <w:p w14:paraId="6F04366C">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sz w:val="22"/>
                <w:szCs w:val="22"/>
                <w:highlight w:val="none"/>
              </w:rPr>
            </w:pPr>
            <w:r>
              <w:rPr>
                <w:rFonts w:hint="eastAsia" w:ascii="宋体" w:hAnsi="宋体" w:eastAsia="宋体" w:cs="宋体"/>
                <w:sz w:val="22"/>
                <w:szCs w:val="22"/>
                <w:highlight w:val="none"/>
              </w:rPr>
              <w:t>内容较差</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不可行</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lang w:val="en-US" w:eastAsia="zh-CN"/>
              </w:rPr>
              <w:t>存在重大缺陷</w:t>
            </w:r>
            <w:r>
              <w:rPr>
                <w:rFonts w:hint="eastAsia" w:ascii="宋体" w:hAnsi="宋体" w:eastAsia="宋体" w:cs="宋体"/>
                <w:sz w:val="22"/>
                <w:szCs w:val="22"/>
                <w:highlight w:val="none"/>
              </w:rPr>
              <w:t>的得</w:t>
            </w:r>
            <w:r>
              <w:rPr>
                <w:rFonts w:hint="eastAsia" w:ascii="宋体" w:hAnsi="宋体" w:eastAsia="宋体" w:cs="宋体"/>
                <w:sz w:val="22"/>
                <w:szCs w:val="22"/>
                <w:highlight w:val="none"/>
                <w:lang w:val="en-US" w:eastAsia="zh-CN"/>
              </w:rPr>
              <w:t>0</w:t>
            </w:r>
            <w:r>
              <w:rPr>
                <w:rFonts w:hint="eastAsia" w:ascii="宋体" w:hAnsi="宋体" w:eastAsia="宋体" w:cs="宋体"/>
                <w:sz w:val="22"/>
                <w:szCs w:val="22"/>
                <w:highlight w:val="none"/>
              </w:rPr>
              <w:t>分。</w:t>
            </w:r>
          </w:p>
          <w:p w14:paraId="4D8D6002">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未提供的不得分。最高得</w:t>
            </w:r>
            <w:r>
              <w:rPr>
                <w:rFonts w:hint="eastAsia" w:ascii="宋体" w:hAnsi="宋体" w:eastAsia="宋体" w:cs="宋体"/>
                <w:color w:val="auto"/>
                <w:sz w:val="22"/>
                <w:szCs w:val="22"/>
                <w:highlight w:val="none"/>
                <w:lang w:val="en-US" w:eastAsia="zh-CN"/>
              </w:rPr>
              <w:t>4</w:t>
            </w:r>
            <w:r>
              <w:rPr>
                <w:rFonts w:hint="eastAsia" w:ascii="宋体" w:hAnsi="宋体" w:eastAsia="宋体" w:cs="宋体"/>
                <w:color w:val="auto"/>
                <w:sz w:val="22"/>
                <w:szCs w:val="22"/>
                <w:highlight w:val="none"/>
              </w:rPr>
              <w:t>分，最低得0分。</w:t>
            </w:r>
          </w:p>
        </w:tc>
      </w:tr>
    </w:tbl>
    <w:p w14:paraId="34E6E4A5">
      <w:pPr>
        <w:rPr>
          <w:rFonts w:hint="default"/>
          <w:lang w:val="en-US" w:eastAsia="zh-CN"/>
        </w:rPr>
      </w:pPr>
    </w:p>
    <w:p w14:paraId="02D4D461">
      <w:pPr>
        <w:pStyle w:val="2"/>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uto"/>
        <w:ind w:left="0" w:right="0" w:firstLine="0"/>
        <w:jc w:val="both"/>
        <w:rPr>
          <w:rStyle w:val="10"/>
          <w:rFonts w:hint="eastAsia" w:cs="宋体"/>
          <w:b w:val="0"/>
          <w:bCs w:val="0"/>
          <w:sz w:val="24"/>
          <w:szCs w:val="24"/>
          <w:lang w:val="en-US" w:eastAsia="zh-CN"/>
        </w:rPr>
      </w:pPr>
      <w:r>
        <w:rPr>
          <w:rStyle w:val="10"/>
          <w:rFonts w:hint="eastAsia" w:cs="宋体"/>
          <w:b w:val="0"/>
          <w:bCs w:val="0"/>
          <w:sz w:val="24"/>
          <w:szCs w:val="24"/>
          <w:lang w:val="en-US" w:eastAsia="zh-CN"/>
        </w:rPr>
        <w:t>原招标文件第五章《采购需求》</w:t>
      </w:r>
    </w:p>
    <w:p w14:paraId="36AA24DD">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480" w:firstLineChars="200"/>
        <w:jc w:val="both"/>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高锰酸盐指数水质自动分析仪/氨氮水质自动分析仪/总磷水质自动分析仪/总氮水质自动分析仪</w:t>
      </w:r>
    </w:p>
    <w:p w14:paraId="13DC26F1">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480" w:firstLineChars="200"/>
        <w:jc w:val="both"/>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仪表功能：</w:t>
      </w:r>
    </w:p>
    <w:p w14:paraId="1077A367">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480" w:firstLineChars="200"/>
        <w:jc w:val="both"/>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(1)具有包括但不限于试剂条码功能、试剂瓶色环功能；</w:t>
      </w:r>
    </w:p>
    <w:p w14:paraId="6BC85CCA">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480" w:firstLineChars="200"/>
        <w:jc w:val="both"/>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(2)具有手动、自动零点核查功能，手动、自动跨度核查功能；</w:t>
      </w:r>
    </w:p>
    <w:p w14:paraId="775520B0">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480" w:firstLineChars="200"/>
        <w:jc w:val="both"/>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(3)监测仪可自动记录试剂剩余次数并显示出来；</w:t>
      </w:r>
    </w:p>
    <w:p w14:paraId="1A7C96BF">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480" w:firstLineChars="200"/>
        <w:jc w:val="both"/>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(4)数据标识功熊监测仪显示屏实时数据和历史数据带有测量数据标识：</w:t>
      </w:r>
    </w:p>
    <w:p w14:paraId="1F9887E3">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480" w:firstLineChars="200"/>
        <w:jc w:val="both"/>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(5)监测仪出现工作异常(如缺试剂、超量程等),显示屏自动给出告警信息提示，并进行故障记录；监测仪可对超标、超量程数据告警、记录并上传；</w:t>
      </w:r>
    </w:p>
    <w:p w14:paraId="3E2C4F4D">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default" w:ascii="楷体" w:hAnsi="楷体" w:eastAsia="楷体" w:cs="楷体"/>
          <w:sz w:val="24"/>
          <w:szCs w:val="24"/>
          <w:lang w:val="en-US" w:eastAsia="zh-CN"/>
        </w:rPr>
      </w:pPr>
    </w:p>
    <w:p w14:paraId="65AA772D">
      <w:pPr>
        <w:pStyle w:val="11"/>
        <w:spacing w:line="360" w:lineRule="auto"/>
        <w:ind w:left="0" w:firstLine="241" w:firstLineChars="100"/>
        <w:rPr>
          <w:rFonts w:hint="eastAsia" w:ascii="宋体" w:hAnsi="宋体" w:cs="宋体"/>
          <w:b/>
          <w:bCs/>
        </w:rPr>
      </w:pPr>
    </w:p>
    <w:p w14:paraId="7F667687">
      <w:pPr>
        <w:pStyle w:val="11"/>
        <w:spacing w:line="360" w:lineRule="auto"/>
        <w:ind w:left="0" w:firstLine="241" w:firstLineChars="100"/>
        <w:rPr>
          <w:rFonts w:hint="eastAsia" w:ascii="宋体" w:hAnsi="宋体" w:cs="宋体"/>
          <w:b/>
          <w:bCs/>
        </w:rPr>
      </w:pPr>
      <w:r>
        <w:rPr>
          <w:rFonts w:hint="eastAsia" w:ascii="宋体" w:hAnsi="宋体" w:cs="宋体"/>
          <w:b/>
          <w:bCs/>
        </w:rPr>
        <w:t>现更正为：</w:t>
      </w:r>
    </w:p>
    <w:p w14:paraId="07098D23">
      <w:pPr>
        <w:pStyle w:val="11"/>
        <w:spacing w:line="360" w:lineRule="auto"/>
        <w:ind w:left="0" w:firstLine="241" w:firstLineChars="100"/>
        <w:rPr>
          <w:rFonts w:hint="eastAsia" w:ascii="宋体" w:hAnsi="宋体" w:eastAsia="宋体" w:cs="宋体"/>
          <w:b/>
          <w:bCs/>
          <w:lang w:val="en-US" w:eastAsia="zh-CN"/>
        </w:rPr>
      </w:pPr>
      <w:r>
        <w:rPr>
          <w:rFonts w:hint="eastAsia" w:ascii="宋体" w:hAnsi="宋体" w:eastAsia="宋体" w:cs="宋体"/>
          <w:b/>
          <w:bCs/>
          <w:lang w:val="en-US" w:eastAsia="zh-CN"/>
        </w:rPr>
        <w:t>1、</w:t>
      </w:r>
      <w:r>
        <w:rPr>
          <w:rFonts w:hint="eastAsia" w:ascii="宋体" w:hAnsi="宋体" w:eastAsia="宋体" w:cs="宋体"/>
          <w:b/>
          <w:bCs/>
        </w:rPr>
        <w:t>评标标准</w:t>
      </w:r>
    </w:p>
    <w:tbl>
      <w:tblPr>
        <w:tblStyle w:val="8"/>
        <w:tblpPr w:leftFromText="180" w:rightFromText="180" w:vertAnchor="text" w:horzAnchor="page" w:tblpX="1192" w:tblpY="545"/>
        <w:tblW w:w="9838"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315"/>
        <w:gridCol w:w="1360"/>
        <w:gridCol w:w="7163"/>
      </w:tblGrid>
      <w:tr w14:paraId="428572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2675" w:type="dxa"/>
            <w:gridSpan w:val="2"/>
            <w:tcBorders>
              <w:top w:val="single" w:color="000000" w:sz="4" w:space="0"/>
              <w:left w:val="single" w:color="000000" w:sz="4" w:space="0"/>
              <w:bottom w:val="single" w:color="000000" w:sz="4" w:space="0"/>
              <w:right w:val="single" w:color="000000" w:sz="4" w:space="0"/>
            </w:tcBorders>
            <w:noWrap w:val="0"/>
            <w:vAlign w:val="center"/>
          </w:tcPr>
          <w:p w14:paraId="00C50A12">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评审因素</w:t>
            </w:r>
          </w:p>
        </w:tc>
        <w:tc>
          <w:tcPr>
            <w:tcW w:w="7163" w:type="dxa"/>
            <w:tcBorders>
              <w:top w:val="single" w:color="000000" w:sz="4" w:space="0"/>
              <w:left w:val="single" w:color="000000" w:sz="4" w:space="0"/>
              <w:bottom w:val="single" w:color="000000" w:sz="4" w:space="0"/>
              <w:right w:val="single" w:color="000000" w:sz="4" w:space="0"/>
            </w:tcBorders>
            <w:noWrap w:val="0"/>
            <w:vAlign w:val="center"/>
          </w:tcPr>
          <w:p w14:paraId="62AB52CF">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评分标准及细则</w:t>
            </w:r>
          </w:p>
        </w:tc>
      </w:tr>
      <w:tr w14:paraId="24066C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31" w:hRule="atLeast"/>
        </w:trPr>
        <w:tc>
          <w:tcPr>
            <w:tcW w:w="1315" w:type="dxa"/>
            <w:tcBorders>
              <w:top w:val="single" w:color="000000" w:sz="4" w:space="0"/>
              <w:left w:val="single" w:color="000000" w:sz="4" w:space="0"/>
              <w:bottom w:val="single" w:color="000000" w:sz="4" w:space="0"/>
              <w:right w:val="single" w:color="000000" w:sz="4" w:space="0"/>
            </w:tcBorders>
            <w:noWrap w:val="0"/>
            <w:vAlign w:val="center"/>
          </w:tcPr>
          <w:p w14:paraId="4D645C8B">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价格部分</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1</w:t>
            </w:r>
            <w:r>
              <w:rPr>
                <w:rFonts w:hint="eastAsia" w:ascii="宋体" w:hAnsi="宋体" w:eastAsia="宋体" w:cs="宋体"/>
                <w:color w:val="auto"/>
                <w:sz w:val="22"/>
                <w:szCs w:val="22"/>
                <w:highlight w:val="none"/>
              </w:rPr>
              <w:t>0分</w:t>
            </w:r>
            <w:r>
              <w:rPr>
                <w:rFonts w:hint="eastAsia" w:ascii="宋体" w:hAnsi="宋体" w:eastAsia="宋体" w:cs="宋体"/>
                <w:color w:val="auto"/>
                <w:sz w:val="22"/>
                <w:szCs w:val="22"/>
                <w:highlight w:val="none"/>
                <w:lang w:eastAsia="zh-CN"/>
              </w:rPr>
              <w:t>）</w:t>
            </w:r>
          </w:p>
        </w:tc>
        <w:tc>
          <w:tcPr>
            <w:tcW w:w="1360" w:type="dxa"/>
            <w:tcBorders>
              <w:top w:val="single" w:color="000000" w:sz="4" w:space="0"/>
              <w:left w:val="single" w:color="000000" w:sz="4" w:space="0"/>
              <w:bottom w:val="single" w:color="000000" w:sz="4" w:space="0"/>
              <w:right w:val="single" w:color="000000" w:sz="4" w:space="0"/>
            </w:tcBorders>
            <w:noWrap w:val="0"/>
            <w:vAlign w:val="center"/>
          </w:tcPr>
          <w:p w14:paraId="5B5D296A">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价格</w:t>
            </w:r>
          </w:p>
          <w:p w14:paraId="665871E4">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1</w:t>
            </w:r>
            <w:r>
              <w:rPr>
                <w:rFonts w:hint="eastAsia" w:ascii="宋体" w:hAnsi="宋体" w:eastAsia="宋体" w:cs="宋体"/>
                <w:color w:val="auto"/>
                <w:sz w:val="22"/>
                <w:szCs w:val="22"/>
                <w:highlight w:val="none"/>
              </w:rPr>
              <w:t>0分</w:t>
            </w:r>
            <w:r>
              <w:rPr>
                <w:rFonts w:hint="eastAsia" w:ascii="宋体" w:hAnsi="宋体" w:eastAsia="宋体" w:cs="宋体"/>
                <w:color w:val="auto"/>
                <w:sz w:val="22"/>
                <w:szCs w:val="22"/>
                <w:highlight w:val="none"/>
                <w:lang w:eastAsia="zh-CN"/>
              </w:rPr>
              <w:t>）</w:t>
            </w:r>
          </w:p>
        </w:tc>
        <w:tc>
          <w:tcPr>
            <w:tcW w:w="7163" w:type="dxa"/>
            <w:tcBorders>
              <w:top w:val="single" w:color="000000" w:sz="4" w:space="0"/>
              <w:left w:val="single" w:color="000000" w:sz="4" w:space="0"/>
              <w:bottom w:val="single" w:color="000000" w:sz="4" w:space="0"/>
              <w:right w:val="single" w:color="000000" w:sz="4" w:space="0"/>
            </w:tcBorders>
            <w:noWrap w:val="0"/>
            <w:vAlign w:val="center"/>
          </w:tcPr>
          <w:p w14:paraId="5FAC23C2">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lang w:val="en-US"/>
              </w:rPr>
            </w:pPr>
            <w:r>
              <w:rPr>
                <w:rFonts w:hint="eastAsia" w:ascii="宋体" w:hAnsi="宋体" w:eastAsia="宋体" w:cs="宋体"/>
                <w:color w:val="auto"/>
                <w:sz w:val="22"/>
                <w:szCs w:val="22"/>
                <w:highlight w:val="none"/>
              </w:rPr>
              <w:t>采用低价优先法计算，即满足招标文件要求且</w:t>
            </w:r>
            <w:r>
              <w:rPr>
                <w:rFonts w:hint="eastAsia" w:ascii="宋体" w:hAnsi="宋体" w:eastAsia="宋体" w:cs="宋体"/>
                <w:color w:val="auto"/>
                <w:sz w:val="22"/>
                <w:szCs w:val="22"/>
                <w:highlight w:val="none"/>
                <w:lang w:eastAsia="zh-CN"/>
              </w:rPr>
              <w:t>投标价格</w:t>
            </w:r>
            <w:r>
              <w:rPr>
                <w:rFonts w:hint="eastAsia" w:ascii="宋体" w:hAnsi="宋体" w:eastAsia="宋体" w:cs="宋体"/>
                <w:color w:val="auto"/>
                <w:sz w:val="22"/>
                <w:szCs w:val="22"/>
                <w:highlight w:val="none"/>
              </w:rPr>
              <w:t>最低的</w:t>
            </w:r>
            <w:r>
              <w:rPr>
                <w:rFonts w:hint="eastAsia" w:ascii="宋体" w:hAnsi="宋体" w:eastAsia="宋体" w:cs="宋体"/>
                <w:color w:val="auto"/>
                <w:sz w:val="22"/>
                <w:szCs w:val="22"/>
                <w:highlight w:val="none"/>
                <w:lang w:eastAsia="zh-CN"/>
              </w:rPr>
              <w:t>投标报价</w:t>
            </w:r>
            <w:r>
              <w:rPr>
                <w:rFonts w:hint="eastAsia" w:ascii="宋体" w:hAnsi="宋体" w:eastAsia="宋体" w:cs="宋体"/>
                <w:color w:val="auto"/>
                <w:sz w:val="22"/>
                <w:szCs w:val="22"/>
                <w:highlight w:val="none"/>
              </w:rPr>
              <w:t>为评标基准价，其价格分为满分。其他</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的价格分统一按照下列公式计算：投标报价得分=（评标基准价/投标报价）×</w:t>
            </w:r>
            <w:r>
              <w:rPr>
                <w:rFonts w:hint="eastAsia" w:ascii="宋体" w:hAnsi="宋体" w:eastAsia="宋体" w:cs="宋体"/>
                <w:color w:val="auto"/>
                <w:sz w:val="22"/>
                <w:szCs w:val="22"/>
                <w:highlight w:val="none"/>
                <w:lang w:val="en-US" w:eastAsia="zh-CN"/>
              </w:rPr>
              <w:t>10</w:t>
            </w:r>
            <w:r>
              <w:rPr>
                <w:rFonts w:hint="eastAsia" w:ascii="宋体" w:hAnsi="宋体" w:eastAsia="宋体" w:cs="宋体"/>
                <w:color w:val="auto"/>
                <w:sz w:val="22"/>
                <w:szCs w:val="22"/>
                <w:highlight w:val="none"/>
              </w:rPr>
              <w:t>，得分四舍五入保留小数点后2位。</w:t>
            </w:r>
          </w:p>
        </w:tc>
      </w:tr>
      <w:tr w14:paraId="1707C0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1315" w:type="dxa"/>
            <w:vMerge w:val="restart"/>
            <w:tcBorders>
              <w:top w:val="single" w:color="000000" w:sz="4" w:space="0"/>
              <w:left w:val="single" w:color="000000" w:sz="4" w:space="0"/>
              <w:right w:val="single" w:color="000000" w:sz="4" w:space="0"/>
            </w:tcBorders>
            <w:noWrap w:val="0"/>
            <w:vAlign w:val="center"/>
          </w:tcPr>
          <w:p w14:paraId="4DDF749F">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商务部分</w:t>
            </w:r>
          </w:p>
          <w:p w14:paraId="6AFED38C">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12</w:t>
            </w:r>
            <w:r>
              <w:rPr>
                <w:rFonts w:hint="eastAsia" w:ascii="宋体" w:hAnsi="宋体" w:eastAsia="宋体" w:cs="宋体"/>
                <w:color w:val="auto"/>
                <w:sz w:val="22"/>
                <w:szCs w:val="22"/>
                <w:highlight w:val="none"/>
              </w:rPr>
              <w:t>分</w:t>
            </w:r>
            <w:r>
              <w:rPr>
                <w:rFonts w:hint="eastAsia" w:ascii="宋体" w:hAnsi="宋体" w:eastAsia="宋体" w:cs="宋体"/>
                <w:color w:val="auto"/>
                <w:sz w:val="22"/>
                <w:szCs w:val="22"/>
                <w:highlight w:val="none"/>
                <w:lang w:eastAsia="zh-CN"/>
              </w:rPr>
              <w:t>）</w:t>
            </w:r>
          </w:p>
          <w:p w14:paraId="04C8ECA9">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rPr>
            </w:pPr>
          </w:p>
        </w:tc>
        <w:tc>
          <w:tcPr>
            <w:tcW w:w="1360" w:type="dxa"/>
            <w:tcBorders>
              <w:top w:val="single" w:color="000000" w:sz="4" w:space="0"/>
              <w:left w:val="single" w:color="000000" w:sz="4" w:space="0"/>
              <w:bottom w:val="single" w:color="000000" w:sz="4" w:space="0"/>
              <w:right w:val="single" w:color="000000" w:sz="4" w:space="0"/>
            </w:tcBorders>
            <w:noWrap w:val="0"/>
            <w:vAlign w:val="center"/>
          </w:tcPr>
          <w:p w14:paraId="05635E04">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投标人</w:t>
            </w:r>
            <w:r>
              <w:rPr>
                <w:rFonts w:hint="eastAsia" w:ascii="宋体" w:hAnsi="宋体" w:eastAsia="宋体" w:cs="宋体"/>
                <w:color w:val="auto"/>
                <w:sz w:val="22"/>
                <w:szCs w:val="22"/>
                <w:highlight w:val="none"/>
              </w:rPr>
              <w:t>业绩</w:t>
            </w:r>
          </w:p>
          <w:p w14:paraId="1B434430">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4</w:t>
            </w:r>
            <w:r>
              <w:rPr>
                <w:rFonts w:hint="eastAsia" w:ascii="宋体" w:hAnsi="宋体" w:eastAsia="宋体" w:cs="宋体"/>
                <w:color w:val="auto"/>
                <w:sz w:val="22"/>
                <w:szCs w:val="22"/>
                <w:highlight w:val="none"/>
              </w:rPr>
              <w:t>分</w:t>
            </w:r>
            <w:r>
              <w:rPr>
                <w:rFonts w:hint="eastAsia" w:ascii="宋体" w:hAnsi="宋体" w:eastAsia="宋体" w:cs="宋体"/>
                <w:color w:val="auto"/>
                <w:sz w:val="22"/>
                <w:szCs w:val="22"/>
                <w:highlight w:val="none"/>
                <w:lang w:eastAsia="zh-CN"/>
              </w:rPr>
              <w:t>）</w:t>
            </w:r>
          </w:p>
        </w:tc>
        <w:tc>
          <w:tcPr>
            <w:tcW w:w="7163" w:type="dxa"/>
            <w:tcBorders>
              <w:top w:val="single" w:color="000000" w:sz="4" w:space="0"/>
              <w:left w:val="single" w:color="000000" w:sz="4" w:space="0"/>
              <w:bottom w:val="single" w:color="000000" w:sz="4" w:space="0"/>
              <w:right w:val="single" w:color="000000" w:sz="4" w:space="0"/>
            </w:tcBorders>
            <w:noWrap w:val="0"/>
            <w:vAlign w:val="center"/>
          </w:tcPr>
          <w:p w14:paraId="56BA4658">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投标文件中提供投标人为卖方</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乙方</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，合同签订日期在</w:t>
            </w:r>
            <w:r>
              <w:rPr>
                <w:rFonts w:hint="eastAsia" w:ascii="宋体" w:hAnsi="宋体" w:eastAsia="宋体" w:cs="宋体"/>
                <w:color w:val="auto"/>
                <w:sz w:val="22"/>
                <w:szCs w:val="22"/>
                <w:highlight w:val="none"/>
                <w:lang w:eastAsia="zh-CN"/>
              </w:rPr>
              <w:t>202</w:t>
            </w:r>
            <w:r>
              <w:rPr>
                <w:rFonts w:hint="eastAsia" w:ascii="宋体" w:hAnsi="宋体" w:eastAsia="宋体" w:cs="宋体"/>
                <w:color w:val="auto"/>
                <w:sz w:val="22"/>
                <w:szCs w:val="22"/>
                <w:highlight w:val="none"/>
                <w:lang w:val="en-US" w:eastAsia="zh-CN"/>
              </w:rPr>
              <w:t>2</w:t>
            </w:r>
            <w:r>
              <w:rPr>
                <w:rFonts w:hint="eastAsia" w:ascii="宋体" w:hAnsi="宋体" w:eastAsia="宋体" w:cs="宋体"/>
                <w:color w:val="auto"/>
                <w:sz w:val="22"/>
                <w:szCs w:val="22"/>
                <w:highlight w:val="none"/>
                <w:lang w:eastAsia="zh-CN"/>
              </w:rPr>
              <w:t>年1月1日</w:t>
            </w:r>
            <w:r>
              <w:rPr>
                <w:rFonts w:hint="eastAsia" w:ascii="宋体" w:hAnsi="宋体" w:eastAsia="宋体" w:cs="宋体"/>
                <w:color w:val="auto"/>
                <w:sz w:val="22"/>
                <w:szCs w:val="22"/>
                <w:highlight w:val="none"/>
              </w:rPr>
              <w:t>以后，合同内容与本项目相同或类似的合同的原件扫描件</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时间以合同签订日期为准</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，每份得</w:t>
            </w:r>
            <w:r>
              <w:rPr>
                <w:rFonts w:hint="eastAsia" w:ascii="宋体" w:hAnsi="宋体" w:eastAsia="宋体" w:cs="宋体"/>
                <w:color w:val="auto"/>
                <w:sz w:val="22"/>
                <w:szCs w:val="22"/>
                <w:highlight w:val="none"/>
                <w:lang w:val="en-US" w:eastAsia="zh-CN"/>
              </w:rPr>
              <w:t>2</w:t>
            </w:r>
            <w:r>
              <w:rPr>
                <w:rFonts w:hint="eastAsia" w:ascii="宋体" w:hAnsi="宋体" w:eastAsia="宋体" w:cs="宋体"/>
                <w:color w:val="auto"/>
                <w:sz w:val="22"/>
                <w:szCs w:val="22"/>
                <w:highlight w:val="none"/>
              </w:rPr>
              <w:t>分，本项最高得</w:t>
            </w:r>
            <w:r>
              <w:rPr>
                <w:rFonts w:hint="eastAsia" w:ascii="宋体" w:hAnsi="宋体" w:eastAsia="宋体" w:cs="宋体"/>
                <w:color w:val="auto"/>
                <w:sz w:val="22"/>
                <w:szCs w:val="22"/>
                <w:highlight w:val="none"/>
                <w:lang w:val="en-US" w:eastAsia="zh-CN"/>
              </w:rPr>
              <w:t>4</w:t>
            </w:r>
            <w:r>
              <w:rPr>
                <w:rFonts w:hint="eastAsia" w:ascii="宋体" w:hAnsi="宋体" w:eastAsia="宋体" w:cs="宋体"/>
                <w:color w:val="auto"/>
                <w:sz w:val="22"/>
                <w:szCs w:val="22"/>
                <w:highlight w:val="none"/>
              </w:rPr>
              <w:t>分。</w:t>
            </w:r>
          </w:p>
          <w:p w14:paraId="78EFDFB4">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注：</w:t>
            </w:r>
            <w:r>
              <w:rPr>
                <w:rFonts w:hint="eastAsia" w:ascii="宋体" w:hAnsi="宋体" w:eastAsia="宋体" w:cs="宋体"/>
                <w:color w:val="auto"/>
                <w:sz w:val="22"/>
                <w:szCs w:val="22"/>
                <w:highlight w:val="none"/>
              </w:rPr>
              <w:t>若项目合同名称无法体现上述业绩证明的，需在提供合同内容中予以体现，否则不得分</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正在履约或履约完成的业绩均可。</w:t>
            </w:r>
          </w:p>
        </w:tc>
      </w:tr>
      <w:tr w14:paraId="2863B4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1315" w:type="dxa"/>
            <w:vMerge w:val="continue"/>
            <w:tcBorders>
              <w:left w:val="single" w:color="000000" w:sz="4" w:space="0"/>
              <w:right w:val="single" w:color="000000" w:sz="4" w:space="0"/>
            </w:tcBorders>
            <w:noWrap w:val="0"/>
            <w:vAlign w:val="center"/>
          </w:tcPr>
          <w:p w14:paraId="3015E22A">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rPr>
            </w:pPr>
          </w:p>
        </w:tc>
        <w:tc>
          <w:tcPr>
            <w:tcW w:w="1360" w:type="dxa"/>
            <w:tcBorders>
              <w:top w:val="single" w:color="000000" w:sz="4" w:space="0"/>
              <w:left w:val="single" w:color="000000" w:sz="4" w:space="0"/>
              <w:bottom w:val="single" w:color="000000" w:sz="4" w:space="0"/>
              <w:right w:val="single" w:color="000000" w:sz="4" w:space="0"/>
            </w:tcBorders>
            <w:noWrap w:val="0"/>
            <w:vAlign w:val="center"/>
          </w:tcPr>
          <w:p w14:paraId="5A665E23">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投标人评价</w:t>
            </w:r>
          </w:p>
          <w:p w14:paraId="656D53E6">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4</w:t>
            </w:r>
            <w:r>
              <w:rPr>
                <w:rFonts w:hint="eastAsia" w:ascii="宋体" w:hAnsi="宋体" w:eastAsia="宋体" w:cs="宋体"/>
                <w:color w:val="auto"/>
                <w:sz w:val="22"/>
                <w:szCs w:val="22"/>
                <w:highlight w:val="none"/>
              </w:rPr>
              <w:t>分</w:t>
            </w:r>
            <w:r>
              <w:rPr>
                <w:rFonts w:hint="eastAsia" w:ascii="宋体" w:hAnsi="宋体" w:eastAsia="宋体" w:cs="宋体"/>
                <w:color w:val="auto"/>
                <w:sz w:val="22"/>
                <w:szCs w:val="22"/>
                <w:highlight w:val="none"/>
                <w:lang w:eastAsia="zh-CN"/>
              </w:rPr>
              <w:t>）</w:t>
            </w:r>
          </w:p>
        </w:tc>
        <w:tc>
          <w:tcPr>
            <w:tcW w:w="7163" w:type="dxa"/>
            <w:tcBorders>
              <w:top w:val="single" w:color="000000" w:sz="4" w:space="0"/>
              <w:left w:val="single" w:color="000000" w:sz="4" w:space="0"/>
              <w:bottom w:val="single" w:color="000000" w:sz="4" w:space="0"/>
              <w:right w:val="single" w:color="000000" w:sz="4" w:space="0"/>
            </w:tcBorders>
            <w:noWrap w:val="0"/>
            <w:vAlign w:val="center"/>
          </w:tcPr>
          <w:p w14:paraId="6E241468">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投标文件中提供投标人</w:t>
            </w:r>
            <w:r>
              <w:rPr>
                <w:rFonts w:hint="eastAsia" w:ascii="宋体" w:hAnsi="宋体" w:eastAsia="宋体" w:cs="宋体"/>
                <w:color w:val="auto"/>
                <w:sz w:val="22"/>
                <w:szCs w:val="22"/>
                <w:highlight w:val="none"/>
                <w:lang w:val="en-US" w:eastAsia="zh-CN"/>
              </w:rPr>
              <w:t>有效的</w:t>
            </w:r>
            <w:r>
              <w:rPr>
                <w:rFonts w:hint="eastAsia" w:ascii="宋体" w:hAnsi="宋体" w:eastAsia="宋体" w:cs="宋体"/>
                <w:color w:val="auto"/>
                <w:sz w:val="22"/>
                <w:szCs w:val="22"/>
                <w:highlight w:val="none"/>
              </w:rPr>
              <w:t>质量管理体系认证证书</w:t>
            </w:r>
            <w:r>
              <w:rPr>
                <w:rFonts w:hint="eastAsia" w:ascii="宋体" w:hAnsi="宋体" w:eastAsia="宋体" w:cs="宋体"/>
                <w:color w:val="auto"/>
                <w:sz w:val="22"/>
                <w:szCs w:val="22"/>
                <w:highlight w:val="none"/>
                <w:lang w:val="en-US" w:eastAsia="zh-CN"/>
              </w:rPr>
              <w:t>（ISO9001）</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val="en-US" w:eastAsia="zh-CN"/>
              </w:rPr>
              <w:t>环境管理体系标准（ISO14001）、</w:t>
            </w:r>
            <w:r>
              <w:rPr>
                <w:rFonts w:hint="eastAsia" w:ascii="宋体" w:hAnsi="宋体" w:eastAsia="宋体" w:cs="宋体"/>
                <w:color w:val="auto"/>
                <w:sz w:val="22"/>
                <w:szCs w:val="22"/>
                <w:highlight w:val="none"/>
              </w:rPr>
              <w:t>信息安全管理体系认证证书</w:t>
            </w:r>
            <w:r>
              <w:rPr>
                <w:rFonts w:hint="eastAsia" w:ascii="宋体" w:hAnsi="宋体" w:eastAsia="宋体" w:cs="宋体"/>
                <w:color w:val="auto"/>
                <w:sz w:val="22"/>
                <w:szCs w:val="22"/>
                <w:highlight w:val="none"/>
                <w:lang w:val="en-US" w:eastAsia="zh-CN"/>
              </w:rPr>
              <w:t>（ISO27001）</w:t>
            </w:r>
            <w:r>
              <w:rPr>
                <w:rFonts w:hint="eastAsia" w:ascii="宋体" w:hAnsi="宋体" w:eastAsia="宋体" w:cs="宋体"/>
                <w:color w:val="auto"/>
                <w:sz w:val="22"/>
                <w:szCs w:val="22"/>
                <w:highlight w:val="none"/>
              </w:rPr>
              <w:t>、信息技术服务管理体系证书</w:t>
            </w:r>
            <w:r>
              <w:rPr>
                <w:rFonts w:hint="eastAsia" w:ascii="宋体" w:hAnsi="宋体" w:eastAsia="宋体" w:cs="宋体"/>
                <w:color w:val="auto"/>
                <w:sz w:val="22"/>
                <w:szCs w:val="22"/>
                <w:highlight w:val="none"/>
                <w:lang w:val="en-US" w:eastAsia="zh-CN"/>
              </w:rPr>
              <w:t>（ISO20000）</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提供</w:t>
            </w:r>
            <w:r>
              <w:rPr>
                <w:rFonts w:hint="eastAsia" w:ascii="宋体" w:hAnsi="宋体" w:eastAsia="宋体" w:cs="宋体"/>
                <w:color w:val="auto"/>
                <w:sz w:val="22"/>
                <w:szCs w:val="22"/>
                <w:highlight w:val="none"/>
              </w:rPr>
              <w:t>一项得</w:t>
            </w:r>
            <w:r>
              <w:rPr>
                <w:rFonts w:hint="eastAsia" w:ascii="宋体" w:hAnsi="宋体" w:eastAsia="宋体" w:cs="宋体"/>
                <w:color w:val="auto"/>
                <w:sz w:val="22"/>
                <w:szCs w:val="22"/>
                <w:highlight w:val="none"/>
                <w:lang w:val="en-US" w:eastAsia="zh-CN"/>
              </w:rPr>
              <w:t>1</w:t>
            </w:r>
            <w:r>
              <w:rPr>
                <w:rFonts w:hint="eastAsia" w:ascii="宋体" w:hAnsi="宋体" w:eastAsia="宋体" w:cs="宋体"/>
                <w:color w:val="auto"/>
                <w:sz w:val="22"/>
                <w:szCs w:val="22"/>
                <w:highlight w:val="none"/>
              </w:rPr>
              <w:t>分，</w:t>
            </w:r>
            <w:r>
              <w:rPr>
                <w:rFonts w:hint="eastAsia" w:ascii="宋体" w:hAnsi="宋体" w:eastAsia="宋体" w:cs="宋体"/>
                <w:color w:val="auto"/>
                <w:sz w:val="22"/>
                <w:szCs w:val="22"/>
                <w:highlight w:val="none"/>
                <w:lang w:val="en-US" w:eastAsia="zh-CN"/>
              </w:rPr>
              <w:t>未提供</w:t>
            </w:r>
            <w:r>
              <w:rPr>
                <w:rFonts w:hint="eastAsia" w:ascii="宋体" w:hAnsi="宋体" w:eastAsia="宋体" w:cs="宋体"/>
                <w:color w:val="auto"/>
                <w:sz w:val="22"/>
                <w:szCs w:val="22"/>
                <w:highlight w:val="none"/>
              </w:rPr>
              <w:t>不得分。</w:t>
            </w:r>
          </w:p>
          <w:p w14:paraId="75263A13">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投标文件中提供有效的证书原件扫描件</w:t>
            </w:r>
            <w:r>
              <w:rPr>
                <w:rFonts w:hint="eastAsia" w:ascii="宋体" w:hAnsi="宋体" w:eastAsia="宋体" w:cs="宋体"/>
                <w:b/>
                <w:bCs/>
                <w:color w:val="auto"/>
                <w:sz w:val="22"/>
                <w:szCs w:val="22"/>
                <w:highlight w:val="none"/>
              </w:rPr>
              <w:t>及</w:t>
            </w:r>
            <w:r>
              <w:rPr>
                <w:rFonts w:hint="eastAsia" w:ascii="宋体" w:hAnsi="宋体" w:eastAsia="宋体" w:cs="宋体"/>
                <w:color w:val="auto"/>
                <w:sz w:val="22"/>
                <w:szCs w:val="22"/>
                <w:highlight w:val="none"/>
                <w:lang w:val="en-US" w:eastAsia="zh-CN"/>
              </w:rPr>
              <w:t>国家</w:t>
            </w:r>
            <w:r>
              <w:rPr>
                <w:rFonts w:hint="eastAsia" w:ascii="宋体" w:hAnsi="宋体" w:eastAsia="宋体" w:cs="宋体"/>
                <w:color w:val="auto"/>
                <w:sz w:val="22"/>
                <w:szCs w:val="22"/>
                <w:highlight w:val="none"/>
              </w:rPr>
              <w:t>认证认可</w:t>
            </w:r>
            <w:r>
              <w:rPr>
                <w:rFonts w:hint="eastAsia" w:ascii="宋体" w:hAnsi="宋体" w:eastAsia="宋体" w:cs="宋体"/>
                <w:color w:val="auto"/>
                <w:sz w:val="22"/>
                <w:szCs w:val="22"/>
                <w:highlight w:val="none"/>
                <w:lang w:val="en-US" w:eastAsia="zh-CN"/>
              </w:rPr>
              <w:t>监督管理委员会（</w:t>
            </w:r>
            <w:r>
              <w:rPr>
                <w:rFonts w:hint="eastAsia" w:ascii="宋体" w:hAnsi="宋体" w:eastAsia="宋体" w:cs="宋体"/>
                <w:color w:val="auto"/>
                <w:sz w:val="22"/>
                <w:szCs w:val="22"/>
                <w:highlight w:val="none"/>
              </w:rPr>
              <w:t>www.cnca.gov.cn</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网站查询截图</w:t>
            </w:r>
            <w:r>
              <w:rPr>
                <w:rFonts w:hint="eastAsia" w:ascii="宋体" w:hAnsi="宋体" w:eastAsia="宋体" w:cs="宋体"/>
                <w:color w:val="auto"/>
                <w:sz w:val="22"/>
                <w:szCs w:val="22"/>
                <w:highlight w:val="none"/>
                <w:lang w:val="en-US" w:eastAsia="zh-CN"/>
              </w:rPr>
              <w:t>并</w:t>
            </w:r>
            <w:r>
              <w:rPr>
                <w:rFonts w:hint="eastAsia" w:ascii="宋体" w:hAnsi="宋体" w:eastAsia="宋体" w:cs="宋体"/>
                <w:color w:val="auto"/>
                <w:sz w:val="22"/>
                <w:szCs w:val="22"/>
                <w:highlight w:val="none"/>
              </w:rPr>
              <w:t>加盖电子签章</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未提供</w:t>
            </w:r>
            <w:r>
              <w:rPr>
                <w:rFonts w:hint="eastAsia" w:ascii="宋体" w:hAnsi="宋体" w:eastAsia="宋体" w:cs="宋体"/>
                <w:color w:val="auto"/>
                <w:sz w:val="22"/>
                <w:szCs w:val="22"/>
                <w:highlight w:val="none"/>
              </w:rPr>
              <w:t>不得分</w:t>
            </w:r>
            <w:r>
              <w:rPr>
                <w:rFonts w:hint="eastAsia" w:ascii="宋体" w:hAnsi="宋体" w:eastAsia="宋体" w:cs="宋体"/>
                <w:color w:val="auto"/>
                <w:sz w:val="22"/>
                <w:szCs w:val="22"/>
                <w:highlight w:val="none"/>
                <w:lang w:eastAsia="zh-CN"/>
              </w:rPr>
              <w:t>）</w:t>
            </w:r>
          </w:p>
        </w:tc>
      </w:tr>
      <w:tr w14:paraId="2D1FAB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1315" w:type="dxa"/>
            <w:vMerge w:val="continue"/>
            <w:tcBorders>
              <w:left w:val="single" w:color="000000" w:sz="4" w:space="0"/>
              <w:right w:val="single" w:color="000000" w:sz="4" w:space="0"/>
            </w:tcBorders>
            <w:noWrap w:val="0"/>
            <w:vAlign w:val="center"/>
          </w:tcPr>
          <w:p w14:paraId="139E4EAC">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rPr>
            </w:pPr>
          </w:p>
        </w:tc>
        <w:tc>
          <w:tcPr>
            <w:tcW w:w="136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55C80F3">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项目负责人及技术负责人资历和业绩（2分）</w:t>
            </w:r>
          </w:p>
        </w:tc>
        <w:tc>
          <w:tcPr>
            <w:tcW w:w="716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310197D">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1.</w:t>
            </w:r>
            <w:r>
              <w:rPr>
                <w:rFonts w:hint="eastAsia" w:ascii="宋体" w:hAnsi="宋体" w:eastAsia="宋体" w:cs="宋体"/>
                <w:color w:val="auto"/>
                <w:sz w:val="22"/>
                <w:szCs w:val="22"/>
                <w:highlight w:val="none"/>
              </w:rPr>
              <w:t>项目负责人具有</w:t>
            </w:r>
            <w:r>
              <w:rPr>
                <w:rFonts w:hint="eastAsia" w:ascii="宋体" w:hAnsi="宋体" w:eastAsia="宋体" w:cs="宋体"/>
                <w:b w:val="0"/>
                <w:bCs w:val="0"/>
                <w:i w:val="0"/>
                <w:iCs w:val="0"/>
                <w:caps w:val="0"/>
                <w:color w:val="000000"/>
                <w:spacing w:val="0"/>
                <w:sz w:val="22"/>
                <w:szCs w:val="22"/>
                <w:highlight w:val="none"/>
                <w:shd w:val="clear" w:color="auto" w:fill="FFFFFF"/>
              </w:rPr>
              <w:t>由中华人民共和国人力资源和社会保障部、工业和信息化部共同颁发的</w:t>
            </w:r>
            <w:r>
              <w:rPr>
                <w:rFonts w:hint="eastAsia" w:ascii="宋体" w:hAnsi="宋体" w:eastAsia="宋体" w:cs="宋体"/>
                <w:b/>
                <w:bCs/>
                <w:color w:val="auto"/>
                <w:sz w:val="22"/>
                <w:szCs w:val="22"/>
                <w:highlight w:val="none"/>
              </w:rPr>
              <w:t>信息系统项目管理师证书</w:t>
            </w:r>
            <w:r>
              <w:rPr>
                <w:rFonts w:hint="eastAsia" w:ascii="宋体" w:hAnsi="宋体" w:eastAsia="宋体" w:cs="宋体"/>
                <w:color w:val="auto"/>
                <w:sz w:val="22"/>
                <w:szCs w:val="22"/>
                <w:highlight w:val="none"/>
              </w:rPr>
              <w:t>、环境工程</w:t>
            </w:r>
            <w:r>
              <w:rPr>
                <w:rFonts w:hint="eastAsia" w:ascii="宋体" w:hAnsi="宋体" w:eastAsia="宋体" w:cs="宋体"/>
                <w:color w:val="auto"/>
                <w:sz w:val="22"/>
                <w:szCs w:val="22"/>
                <w:highlight w:val="none"/>
                <w:lang w:val="en-US" w:eastAsia="zh-CN"/>
              </w:rPr>
              <w:t>类</w:t>
            </w:r>
            <w:r>
              <w:rPr>
                <w:rFonts w:hint="eastAsia" w:ascii="宋体" w:hAnsi="宋体" w:eastAsia="宋体" w:cs="宋体"/>
                <w:color w:val="auto"/>
                <w:sz w:val="22"/>
                <w:szCs w:val="22"/>
                <w:highlight w:val="none"/>
              </w:rPr>
              <w:t>中级及以上职称证书，每类提供一</w:t>
            </w:r>
            <w:r>
              <w:rPr>
                <w:rFonts w:hint="eastAsia" w:ascii="宋体" w:hAnsi="宋体" w:eastAsia="宋体" w:cs="宋体"/>
                <w:color w:val="auto"/>
                <w:sz w:val="22"/>
                <w:szCs w:val="22"/>
                <w:highlight w:val="none"/>
                <w:lang w:val="en-US" w:eastAsia="zh-CN"/>
              </w:rPr>
              <w:t>个得0.5</w:t>
            </w:r>
            <w:r>
              <w:rPr>
                <w:rFonts w:hint="eastAsia" w:ascii="宋体" w:hAnsi="宋体" w:eastAsia="宋体" w:cs="宋体"/>
                <w:color w:val="auto"/>
                <w:sz w:val="22"/>
                <w:szCs w:val="22"/>
                <w:highlight w:val="none"/>
              </w:rPr>
              <w:t>分，</w:t>
            </w:r>
            <w:r>
              <w:rPr>
                <w:rFonts w:hint="eastAsia" w:ascii="宋体" w:hAnsi="宋体" w:eastAsia="宋体" w:cs="宋体"/>
                <w:color w:val="auto"/>
                <w:sz w:val="22"/>
                <w:szCs w:val="22"/>
                <w:highlight w:val="none"/>
                <w:lang w:val="en-US" w:eastAsia="zh-CN"/>
              </w:rPr>
              <w:t>不重复计分，最高得1分，</w:t>
            </w:r>
            <w:r>
              <w:rPr>
                <w:rFonts w:hint="eastAsia" w:ascii="宋体" w:hAnsi="宋体" w:eastAsia="宋体" w:cs="宋体"/>
                <w:color w:val="auto"/>
                <w:sz w:val="22"/>
                <w:szCs w:val="22"/>
                <w:highlight w:val="none"/>
              </w:rPr>
              <w:t>未提供</w:t>
            </w:r>
            <w:r>
              <w:rPr>
                <w:rFonts w:hint="eastAsia" w:ascii="宋体" w:hAnsi="宋体" w:eastAsia="宋体" w:cs="宋体"/>
                <w:color w:val="auto"/>
                <w:sz w:val="22"/>
                <w:szCs w:val="22"/>
                <w:highlight w:val="none"/>
                <w:lang w:val="en-US" w:eastAsia="zh-CN"/>
              </w:rPr>
              <w:t>不得分</w:t>
            </w:r>
            <w:r>
              <w:rPr>
                <w:rFonts w:hint="eastAsia" w:ascii="宋体" w:hAnsi="宋体" w:eastAsia="宋体" w:cs="宋体"/>
                <w:color w:val="auto"/>
                <w:sz w:val="22"/>
                <w:szCs w:val="22"/>
                <w:highlight w:val="none"/>
              </w:rPr>
              <w:t>；</w:t>
            </w:r>
          </w:p>
          <w:p w14:paraId="6674A492">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2.技术负责人具有计算机类专业正高级职称得</w:t>
            </w:r>
            <w:r>
              <w:rPr>
                <w:rFonts w:hint="eastAsia" w:ascii="宋体" w:hAnsi="宋体" w:eastAsia="宋体" w:cs="宋体"/>
                <w:color w:val="auto"/>
                <w:sz w:val="22"/>
                <w:szCs w:val="22"/>
                <w:highlight w:val="none"/>
                <w:lang w:val="en-US" w:eastAsia="zh-CN"/>
              </w:rPr>
              <w:t>1</w:t>
            </w:r>
            <w:r>
              <w:rPr>
                <w:rFonts w:hint="eastAsia" w:ascii="宋体" w:hAnsi="宋体" w:eastAsia="宋体" w:cs="宋体"/>
                <w:color w:val="auto"/>
                <w:sz w:val="22"/>
                <w:szCs w:val="22"/>
                <w:highlight w:val="none"/>
              </w:rPr>
              <w:t>分，副高级职称得</w:t>
            </w:r>
            <w:r>
              <w:rPr>
                <w:rFonts w:hint="eastAsia" w:ascii="宋体" w:hAnsi="宋体" w:eastAsia="宋体" w:cs="宋体"/>
                <w:color w:val="auto"/>
                <w:sz w:val="22"/>
                <w:szCs w:val="22"/>
                <w:highlight w:val="none"/>
                <w:lang w:val="en-US" w:eastAsia="zh-CN"/>
              </w:rPr>
              <w:t>0.5</w:t>
            </w:r>
            <w:r>
              <w:rPr>
                <w:rFonts w:hint="eastAsia" w:ascii="宋体" w:hAnsi="宋体" w:eastAsia="宋体" w:cs="宋体"/>
                <w:color w:val="auto"/>
                <w:sz w:val="22"/>
                <w:szCs w:val="22"/>
                <w:highlight w:val="none"/>
              </w:rPr>
              <w:t>分，最高得</w:t>
            </w:r>
            <w:r>
              <w:rPr>
                <w:rFonts w:hint="eastAsia" w:ascii="宋体" w:hAnsi="宋体" w:eastAsia="宋体" w:cs="宋体"/>
                <w:color w:val="auto"/>
                <w:sz w:val="22"/>
                <w:szCs w:val="22"/>
                <w:highlight w:val="none"/>
                <w:lang w:val="en-US" w:eastAsia="zh-CN"/>
              </w:rPr>
              <w:t>1</w:t>
            </w:r>
            <w:r>
              <w:rPr>
                <w:rFonts w:hint="eastAsia" w:ascii="宋体" w:hAnsi="宋体" w:eastAsia="宋体" w:cs="宋体"/>
                <w:color w:val="auto"/>
                <w:sz w:val="22"/>
                <w:szCs w:val="22"/>
                <w:highlight w:val="none"/>
              </w:rPr>
              <w:t>分</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未提供的不得分。</w:t>
            </w:r>
          </w:p>
          <w:p w14:paraId="3BD12CA9">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注：以上人员须提供身份证、相关职称证书/资格证书复印件、近6个月内</w:t>
            </w:r>
            <w:r>
              <w:rPr>
                <w:rFonts w:hint="eastAsia" w:ascii="宋体" w:hAnsi="宋体" w:eastAsia="宋体" w:cs="宋体"/>
                <w:color w:val="auto"/>
                <w:sz w:val="22"/>
                <w:szCs w:val="22"/>
                <w:highlight w:val="none"/>
                <w:lang w:val="en-US" w:eastAsia="zh-CN"/>
              </w:rPr>
              <w:t>任何一个月</w:t>
            </w:r>
            <w:r>
              <w:rPr>
                <w:rFonts w:hint="eastAsia" w:ascii="宋体" w:hAnsi="宋体" w:eastAsia="宋体" w:cs="宋体"/>
                <w:color w:val="auto"/>
                <w:sz w:val="22"/>
                <w:szCs w:val="22"/>
                <w:highlight w:val="none"/>
              </w:rPr>
              <w:t>的企业为其缴纳的社保证明材料，无或缺项或未按要求</w:t>
            </w:r>
            <w:r>
              <w:rPr>
                <w:rFonts w:hint="eastAsia" w:ascii="宋体" w:hAnsi="宋体" w:eastAsia="宋体" w:cs="宋体"/>
                <w:color w:val="auto"/>
                <w:sz w:val="22"/>
                <w:szCs w:val="22"/>
                <w:highlight w:val="none"/>
                <w:lang w:val="en-US" w:eastAsia="zh-CN"/>
              </w:rPr>
              <w:t>提供</w:t>
            </w:r>
            <w:r>
              <w:rPr>
                <w:rFonts w:hint="eastAsia" w:ascii="宋体" w:hAnsi="宋体" w:eastAsia="宋体" w:cs="宋体"/>
                <w:color w:val="auto"/>
                <w:sz w:val="22"/>
                <w:szCs w:val="22"/>
                <w:highlight w:val="none"/>
              </w:rPr>
              <w:t>证明材料的不得分。</w:t>
            </w:r>
          </w:p>
        </w:tc>
      </w:tr>
      <w:tr w14:paraId="6B47AC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1315" w:type="dxa"/>
            <w:vMerge w:val="continue"/>
            <w:tcBorders>
              <w:left w:val="single" w:color="000000" w:sz="4" w:space="0"/>
              <w:right w:val="single" w:color="000000" w:sz="4" w:space="0"/>
            </w:tcBorders>
            <w:noWrap w:val="0"/>
            <w:vAlign w:val="center"/>
          </w:tcPr>
          <w:p w14:paraId="5EF3BE3F">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rPr>
            </w:pPr>
          </w:p>
        </w:tc>
        <w:tc>
          <w:tcPr>
            <w:tcW w:w="136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8B8EB43">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技术人员</w:t>
            </w:r>
          </w:p>
          <w:p w14:paraId="36FA4FF9">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（2分）</w:t>
            </w:r>
          </w:p>
        </w:tc>
        <w:tc>
          <w:tcPr>
            <w:tcW w:w="716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D01E634">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项目团队人员组建合理，提供不少于15人的团队人员名单，项目团队成员中具有环境类工程师证书、系统集成项目管理工程师证书、数据库系统工程师证书的，每类提供一</w:t>
            </w:r>
            <w:r>
              <w:rPr>
                <w:rFonts w:hint="eastAsia" w:ascii="宋体" w:hAnsi="宋体" w:eastAsia="宋体" w:cs="宋体"/>
                <w:color w:val="auto"/>
                <w:sz w:val="22"/>
                <w:szCs w:val="22"/>
                <w:highlight w:val="none"/>
                <w:lang w:val="en-US" w:eastAsia="zh-CN"/>
              </w:rPr>
              <w:t>个</w:t>
            </w:r>
            <w:r>
              <w:rPr>
                <w:rFonts w:hint="eastAsia" w:ascii="宋体" w:hAnsi="宋体" w:eastAsia="宋体" w:cs="宋体"/>
                <w:color w:val="auto"/>
                <w:sz w:val="22"/>
                <w:szCs w:val="22"/>
                <w:highlight w:val="none"/>
              </w:rPr>
              <w:t>得</w:t>
            </w:r>
            <w:r>
              <w:rPr>
                <w:rFonts w:hint="eastAsia" w:ascii="宋体" w:hAnsi="宋体" w:eastAsia="宋体" w:cs="宋体"/>
                <w:color w:val="auto"/>
                <w:sz w:val="22"/>
                <w:szCs w:val="22"/>
                <w:highlight w:val="none"/>
                <w:lang w:val="en-US" w:eastAsia="zh-CN"/>
              </w:rPr>
              <w:t>0.5</w:t>
            </w:r>
            <w:r>
              <w:rPr>
                <w:rFonts w:hint="eastAsia" w:ascii="宋体" w:hAnsi="宋体" w:eastAsia="宋体" w:cs="宋体"/>
                <w:color w:val="auto"/>
                <w:sz w:val="22"/>
                <w:szCs w:val="22"/>
                <w:highlight w:val="none"/>
              </w:rPr>
              <w:t>分，本项最高得</w:t>
            </w:r>
            <w:r>
              <w:rPr>
                <w:rFonts w:hint="eastAsia" w:ascii="宋体" w:hAnsi="宋体" w:eastAsia="宋体" w:cs="宋体"/>
                <w:color w:val="auto"/>
                <w:sz w:val="22"/>
                <w:szCs w:val="22"/>
                <w:highlight w:val="none"/>
                <w:lang w:val="en-US" w:eastAsia="zh-CN"/>
              </w:rPr>
              <w:t>2</w:t>
            </w:r>
            <w:r>
              <w:rPr>
                <w:rFonts w:hint="eastAsia" w:ascii="宋体" w:hAnsi="宋体" w:eastAsia="宋体" w:cs="宋体"/>
                <w:color w:val="auto"/>
                <w:sz w:val="22"/>
                <w:szCs w:val="22"/>
                <w:highlight w:val="none"/>
              </w:rPr>
              <w:t>分。</w:t>
            </w:r>
          </w:p>
          <w:p w14:paraId="71187BDD">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注：以上人员须提供身份证、相关职称证书/资格证书复印件、近6个月内</w:t>
            </w:r>
            <w:r>
              <w:rPr>
                <w:rFonts w:hint="eastAsia" w:ascii="宋体" w:hAnsi="宋体" w:eastAsia="宋体" w:cs="宋体"/>
                <w:color w:val="auto"/>
                <w:sz w:val="22"/>
                <w:szCs w:val="22"/>
                <w:highlight w:val="none"/>
                <w:lang w:val="en-US" w:eastAsia="zh-CN"/>
              </w:rPr>
              <w:t>任何一个月</w:t>
            </w:r>
            <w:r>
              <w:rPr>
                <w:rFonts w:hint="eastAsia" w:ascii="宋体" w:hAnsi="宋体" w:eastAsia="宋体" w:cs="宋体"/>
                <w:color w:val="auto"/>
                <w:sz w:val="22"/>
                <w:szCs w:val="22"/>
                <w:highlight w:val="none"/>
              </w:rPr>
              <w:t>的企业为其缴纳的社保证明材料，无或缺项或未按要求递交证明材料的不得分。</w:t>
            </w:r>
          </w:p>
        </w:tc>
      </w:tr>
      <w:tr w14:paraId="093240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1315" w:type="dxa"/>
            <w:vMerge w:val="restart"/>
            <w:tcBorders>
              <w:top w:val="single" w:color="000000" w:sz="4" w:space="0"/>
              <w:left w:val="single" w:color="000000" w:sz="4" w:space="0"/>
              <w:right w:val="single" w:color="000000" w:sz="4" w:space="0"/>
            </w:tcBorders>
            <w:noWrap w:val="0"/>
            <w:vAlign w:val="center"/>
          </w:tcPr>
          <w:p w14:paraId="1DB191CA">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技术部分</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78</w:t>
            </w:r>
            <w:r>
              <w:rPr>
                <w:rFonts w:hint="eastAsia" w:ascii="宋体" w:hAnsi="宋体" w:eastAsia="宋体" w:cs="宋体"/>
                <w:color w:val="auto"/>
                <w:sz w:val="22"/>
                <w:szCs w:val="22"/>
                <w:highlight w:val="none"/>
              </w:rPr>
              <w:t>分</w:t>
            </w:r>
            <w:r>
              <w:rPr>
                <w:rFonts w:hint="eastAsia" w:ascii="宋体" w:hAnsi="宋体" w:eastAsia="宋体" w:cs="宋体"/>
                <w:color w:val="auto"/>
                <w:sz w:val="22"/>
                <w:szCs w:val="22"/>
                <w:highlight w:val="none"/>
                <w:lang w:eastAsia="zh-CN"/>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1EFF1C0">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整体建设方案</w:t>
            </w:r>
          </w:p>
          <w:p w14:paraId="5900BD4A">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val="en-US" w:eastAsia="zh-CN" w:bidi="ar-SA"/>
              </w:rPr>
            </w:pPr>
            <w:r>
              <w:rPr>
                <w:rFonts w:hint="eastAsia" w:ascii="宋体" w:hAnsi="宋体" w:eastAsia="宋体" w:cs="宋体"/>
                <w:color w:val="auto"/>
                <w:sz w:val="22"/>
                <w:szCs w:val="22"/>
                <w:highlight w:val="none"/>
                <w:lang w:val="en-US" w:eastAsia="zh-CN"/>
              </w:rPr>
              <w:t>（12分）</w:t>
            </w:r>
          </w:p>
        </w:tc>
        <w:tc>
          <w:tcPr>
            <w:tcW w:w="716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D5D27F8">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考察投标人结合招标需求内容提供</w:t>
            </w:r>
            <w:r>
              <w:rPr>
                <w:rFonts w:hint="eastAsia" w:ascii="宋体" w:hAnsi="宋体" w:eastAsia="宋体" w:cs="宋体"/>
                <w:b w:val="0"/>
                <w:bCs w:val="0"/>
                <w:color w:val="auto"/>
                <w:sz w:val="22"/>
                <w:szCs w:val="22"/>
                <w:highlight w:val="none"/>
                <w:lang w:val="en-US" w:eastAsia="zh-CN"/>
              </w:rPr>
              <w:t>的</w:t>
            </w:r>
            <w:r>
              <w:rPr>
                <w:rFonts w:hint="eastAsia" w:ascii="宋体" w:hAnsi="宋体" w:eastAsia="宋体" w:cs="宋体"/>
                <w:b w:val="0"/>
                <w:bCs w:val="0"/>
                <w:color w:val="auto"/>
                <w:sz w:val="22"/>
                <w:szCs w:val="22"/>
                <w:highlight w:val="none"/>
              </w:rPr>
              <w:t>项目硬件整体建设方案，包括智能水质监测系统、智能视频监控系统、智能流量监测系统建设。根据投标人提供的硬件建设方案编制内容</w:t>
            </w:r>
            <w:r>
              <w:rPr>
                <w:rFonts w:hint="eastAsia" w:ascii="宋体" w:hAnsi="宋体" w:eastAsia="宋体" w:cs="宋体"/>
                <w:color w:val="auto"/>
                <w:sz w:val="22"/>
                <w:szCs w:val="22"/>
                <w:highlight w:val="none"/>
              </w:rPr>
              <w:t>进行综合评分</w:t>
            </w:r>
            <w:r>
              <w:rPr>
                <w:rFonts w:hint="eastAsia" w:ascii="宋体" w:hAnsi="宋体" w:eastAsia="宋体" w:cs="宋体"/>
                <w:color w:val="auto"/>
                <w:sz w:val="22"/>
                <w:szCs w:val="22"/>
                <w:highlight w:val="none"/>
                <w:lang w:eastAsia="zh-CN"/>
              </w:rPr>
              <w:t>：</w:t>
            </w:r>
          </w:p>
          <w:p w14:paraId="2000E74C">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全面性</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val="en-US" w:eastAsia="zh-CN"/>
              </w:rPr>
              <w:t>4</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：全面具体详实得</w:t>
            </w:r>
            <w:r>
              <w:rPr>
                <w:rFonts w:hint="eastAsia" w:ascii="宋体" w:hAnsi="宋体" w:eastAsia="宋体" w:cs="宋体"/>
                <w:b w:val="0"/>
                <w:bCs w:val="0"/>
                <w:color w:val="auto"/>
                <w:sz w:val="22"/>
                <w:szCs w:val="22"/>
                <w:highlight w:val="none"/>
                <w:lang w:val="en-US" w:eastAsia="zh-CN"/>
              </w:rPr>
              <w:t>4</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较全面得</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基本具备的得</w:t>
            </w:r>
            <w:r>
              <w:rPr>
                <w:rFonts w:hint="eastAsia" w:ascii="宋体" w:hAnsi="宋体" w:eastAsia="宋体" w:cs="宋体"/>
                <w:b w:val="0"/>
                <w:bCs w:val="0"/>
                <w:color w:val="auto"/>
                <w:sz w:val="22"/>
                <w:szCs w:val="22"/>
                <w:highlight w:val="none"/>
                <w:lang w:val="en-US" w:eastAsia="zh-CN"/>
              </w:rPr>
              <w:t>2</w:t>
            </w:r>
            <w:r>
              <w:rPr>
                <w:rFonts w:hint="eastAsia" w:ascii="宋体" w:hAnsi="宋体" w:eastAsia="宋体" w:cs="宋体"/>
                <w:b w:val="0"/>
                <w:bCs w:val="0"/>
                <w:color w:val="auto"/>
                <w:sz w:val="22"/>
                <w:szCs w:val="22"/>
                <w:highlight w:val="none"/>
              </w:rPr>
              <w:t>分，不太全面得1分</w:t>
            </w:r>
            <w:r>
              <w:rPr>
                <w:rFonts w:hint="eastAsia" w:ascii="宋体" w:hAnsi="宋体" w:eastAsia="宋体" w:cs="宋体"/>
                <w:b w:val="0"/>
                <w:bCs w:val="0"/>
                <w:color w:val="auto"/>
                <w:sz w:val="22"/>
                <w:szCs w:val="22"/>
                <w:highlight w:val="none"/>
                <w:lang w:eastAsia="zh-CN"/>
              </w:rPr>
              <w:t>；</w:t>
            </w:r>
          </w:p>
          <w:p w14:paraId="4EFBC3B9">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针对性</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val="en-US" w:eastAsia="zh-CN"/>
              </w:rPr>
              <w:t>4</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：针对性强得</w:t>
            </w:r>
            <w:r>
              <w:rPr>
                <w:rFonts w:hint="eastAsia" w:ascii="宋体" w:hAnsi="宋体" w:eastAsia="宋体" w:cs="宋体"/>
                <w:b w:val="0"/>
                <w:bCs w:val="0"/>
                <w:color w:val="auto"/>
                <w:sz w:val="22"/>
                <w:szCs w:val="22"/>
                <w:highlight w:val="none"/>
                <w:lang w:val="en-US" w:eastAsia="zh-CN"/>
              </w:rPr>
              <w:t>4</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针对性较强得</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针对性一般的得</w:t>
            </w:r>
            <w:r>
              <w:rPr>
                <w:rFonts w:hint="eastAsia" w:ascii="宋体" w:hAnsi="宋体" w:eastAsia="宋体" w:cs="宋体"/>
                <w:b w:val="0"/>
                <w:bCs w:val="0"/>
                <w:color w:val="auto"/>
                <w:sz w:val="22"/>
                <w:szCs w:val="22"/>
                <w:highlight w:val="none"/>
                <w:lang w:val="en-US" w:eastAsia="zh-CN"/>
              </w:rPr>
              <w:t>2</w:t>
            </w:r>
            <w:r>
              <w:rPr>
                <w:rFonts w:hint="eastAsia" w:ascii="宋体" w:hAnsi="宋体" w:eastAsia="宋体" w:cs="宋体"/>
                <w:b w:val="0"/>
                <w:bCs w:val="0"/>
                <w:color w:val="auto"/>
                <w:sz w:val="22"/>
                <w:szCs w:val="22"/>
                <w:highlight w:val="none"/>
              </w:rPr>
              <w:t>分，欠缺针对性的得1分</w:t>
            </w:r>
            <w:r>
              <w:rPr>
                <w:rFonts w:hint="eastAsia" w:ascii="宋体" w:hAnsi="宋体" w:eastAsia="宋体" w:cs="宋体"/>
                <w:b w:val="0"/>
                <w:bCs w:val="0"/>
                <w:color w:val="auto"/>
                <w:sz w:val="22"/>
                <w:szCs w:val="22"/>
                <w:highlight w:val="none"/>
                <w:lang w:eastAsia="zh-CN"/>
              </w:rPr>
              <w:t>；</w:t>
            </w:r>
          </w:p>
          <w:p w14:paraId="422F392B">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sz w:val="24"/>
                <w:szCs w:val="24"/>
                <w:highlight w:val="none"/>
              </w:rPr>
            </w:pPr>
            <w:r>
              <w:rPr>
                <w:rFonts w:hint="eastAsia" w:ascii="宋体" w:hAnsi="宋体" w:eastAsia="宋体" w:cs="宋体"/>
                <w:b w:val="0"/>
                <w:bCs w:val="0"/>
                <w:color w:val="auto"/>
                <w:sz w:val="22"/>
                <w:szCs w:val="22"/>
                <w:highlight w:val="none"/>
              </w:rPr>
              <w:t>可行性</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val="en-US" w:eastAsia="zh-CN"/>
              </w:rPr>
              <w:t>4</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：合理、切实可行的得</w:t>
            </w:r>
            <w:r>
              <w:rPr>
                <w:rFonts w:hint="eastAsia" w:ascii="宋体" w:hAnsi="宋体" w:eastAsia="宋体" w:cs="宋体"/>
                <w:b w:val="0"/>
                <w:bCs w:val="0"/>
                <w:color w:val="auto"/>
                <w:sz w:val="22"/>
                <w:szCs w:val="22"/>
                <w:highlight w:val="none"/>
                <w:lang w:val="en-US" w:eastAsia="zh-CN"/>
              </w:rPr>
              <w:t>4</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较切实可行</w:t>
            </w:r>
            <w:r>
              <w:rPr>
                <w:rFonts w:hint="eastAsia" w:ascii="宋体" w:hAnsi="宋体" w:eastAsia="宋体" w:cs="宋体"/>
                <w:sz w:val="24"/>
                <w:szCs w:val="24"/>
                <w:highlight w:val="none"/>
              </w:rPr>
              <w:t>得</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分</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可行性一般的得</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分，可行性欠缺得1分；</w:t>
            </w:r>
          </w:p>
          <w:p w14:paraId="112E37E6">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val="en-US" w:eastAsia="zh-CN" w:bidi="ar-SA"/>
              </w:rPr>
            </w:pPr>
            <w:r>
              <w:rPr>
                <w:rFonts w:hint="eastAsia" w:ascii="宋体" w:hAnsi="宋体" w:eastAsia="宋体" w:cs="宋体"/>
                <w:color w:val="auto"/>
                <w:sz w:val="22"/>
                <w:szCs w:val="22"/>
                <w:highlight w:val="none"/>
              </w:rPr>
              <w:t>未提供的不得分。最高得</w:t>
            </w:r>
            <w:r>
              <w:rPr>
                <w:rFonts w:hint="eastAsia" w:ascii="宋体" w:hAnsi="宋体" w:eastAsia="宋体" w:cs="宋体"/>
                <w:color w:val="auto"/>
                <w:sz w:val="22"/>
                <w:szCs w:val="22"/>
                <w:highlight w:val="none"/>
                <w:lang w:val="en-US" w:eastAsia="zh-CN"/>
              </w:rPr>
              <w:t>12</w:t>
            </w:r>
            <w:r>
              <w:rPr>
                <w:rFonts w:hint="eastAsia" w:ascii="宋体" w:hAnsi="宋体" w:eastAsia="宋体" w:cs="宋体"/>
                <w:color w:val="auto"/>
                <w:sz w:val="22"/>
                <w:szCs w:val="22"/>
                <w:highlight w:val="none"/>
              </w:rPr>
              <w:t>分，最低得0分。</w:t>
            </w:r>
          </w:p>
        </w:tc>
      </w:tr>
      <w:tr w14:paraId="501E94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9" w:hRule="atLeast"/>
        </w:trPr>
        <w:tc>
          <w:tcPr>
            <w:tcW w:w="1315" w:type="dxa"/>
            <w:vMerge w:val="continue"/>
            <w:tcBorders>
              <w:left w:val="single" w:color="000000" w:sz="4" w:space="0"/>
              <w:right w:val="single" w:color="000000" w:sz="4" w:space="0"/>
            </w:tcBorders>
            <w:noWrap w:val="0"/>
            <w:vAlign w:val="center"/>
          </w:tcPr>
          <w:p w14:paraId="544FADE9">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rPr>
            </w:pPr>
          </w:p>
        </w:tc>
        <w:tc>
          <w:tcPr>
            <w:tcW w:w="1360" w:type="dxa"/>
            <w:tcBorders>
              <w:top w:val="single" w:color="000000" w:sz="4" w:space="0"/>
              <w:left w:val="single" w:color="000000" w:sz="4" w:space="0"/>
              <w:right w:val="single" w:color="000000" w:sz="4" w:space="0"/>
            </w:tcBorders>
            <w:shd w:val="clear" w:color="auto" w:fill="auto"/>
            <w:noWrap w:val="0"/>
            <w:vAlign w:val="center"/>
          </w:tcPr>
          <w:p w14:paraId="452C6A19">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监管技术方案</w:t>
            </w:r>
          </w:p>
          <w:p w14:paraId="378DAB67">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en-US" w:eastAsia="zh-CN"/>
              </w:rPr>
              <w:t>（11分）</w:t>
            </w:r>
          </w:p>
        </w:tc>
        <w:tc>
          <w:tcPr>
            <w:tcW w:w="716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2B1CAA1">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考察投标人结合招标需求所提供的水环境数据资源整合共享、水环境综合管理应用、水环境一张图可视化监管技术方案。根据投标人提供的技术方案编制内容总体情况</w:t>
            </w:r>
            <w:r>
              <w:rPr>
                <w:rFonts w:hint="eastAsia" w:ascii="宋体" w:hAnsi="宋体" w:eastAsia="宋体" w:cs="宋体"/>
                <w:color w:val="auto"/>
                <w:sz w:val="22"/>
                <w:szCs w:val="22"/>
                <w:highlight w:val="none"/>
              </w:rPr>
              <w:t>进行综合评分</w:t>
            </w:r>
            <w:r>
              <w:rPr>
                <w:rFonts w:hint="eastAsia" w:ascii="宋体" w:hAnsi="宋体" w:eastAsia="宋体" w:cs="宋体"/>
                <w:color w:val="auto"/>
                <w:sz w:val="22"/>
                <w:szCs w:val="22"/>
                <w:highlight w:val="none"/>
                <w:lang w:eastAsia="zh-CN"/>
              </w:rPr>
              <w:t>：</w:t>
            </w:r>
          </w:p>
          <w:p w14:paraId="6C8068DD">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全面性</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val="en-US" w:eastAsia="zh-CN"/>
              </w:rPr>
              <w:t>4</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：全面具体详实得</w:t>
            </w:r>
            <w:r>
              <w:rPr>
                <w:rFonts w:hint="eastAsia" w:ascii="宋体" w:hAnsi="宋体" w:eastAsia="宋体" w:cs="宋体"/>
                <w:b w:val="0"/>
                <w:bCs w:val="0"/>
                <w:color w:val="auto"/>
                <w:sz w:val="22"/>
                <w:szCs w:val="22"/>
                <w:highlight w:val="none"/>
                <w:lang w:val="en-US" w:eastAsia="zh-CN"/>
              </w:rPr>
              <w:t>4</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较全面得</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基本具备的得</w:t>
            </w:r>
            <w:r>
              <w:rPr>
                <w:rFonts w:hint="eastAsia" w:ascii="宋体" w:hAnsi="宋体" w:eastAsia="宋体" w:cs="宋体"/>
                <w:b w:val="0"/>
                <w:bCs w:val="0"/>
                <w:color w:val="auto"/>
                <w:sz w:val="22"/>
                <w:szCs w:val="22"/>
                <w:highlight w:val="none"/>
                <w:lang w:val="en-US" w:eastAsia="zh-CN"/>
              </w:rPr>
              <w:t>2</w:t>
            </w:r>
            <w:r>
              <w:rPr>
                <w:rFonts w:hint="eastAsia" w:ascii="宋体" w:hAnsi="宋体" w:eastAsia="宋体" w:cs="宋体"/>
                <w:b w:val="0"/>
                <w:bCs w:val="0"/>
                <w:color w:val="auto"/>
                <w:sz w:val="22"/>
                <w:szCs w:val="22"/>
                <w:highlight w:val="none"/>
              </w:rPr>
              <w:t>分，不太全面得1分</w:t>
            </w:r>
            <w:r>
              <w:rPr>
                <w:rFonts w:hint="eastAsia" w:ascii="宋体" w:hAnsi="宋体" w:eastAsia="宋体" w:cs="宋体"/>
                <w:b w:val="0"/>
                <w:bCs w:val="0"/>
                <w:color w:val="auto"/>
                <w:sz w:val="22"/>
                <w:szCs w:val="22"/>
                <w:highlight w:val="none"/>
                <w:lang w:eastAsia="zh-CN"/>
              </w:rPr>
              <w:t>；</w:t>
            </w:r>
          </w:p>
          <w:p w14:paraId="5B000FB0">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针对性</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val="en-US" w:eastAsia="zh-CN"/>
              </w:rPr>
              <w:t>4</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：针对性强得</w:t>
            </w:r>
            <w:r>
              <w:rPr>
                <w:rFonts w:hint="eastAsia" w:ascii="宋体" w:hAnsi="宋体" w:eastAsia="宋体" w:cs="宋体"/>
                <w:b w:val="0"/>
                <w:bCs w:val="0"/>
                <w:color w:val="auto"/>
                <w:sz w:val="22"/>
                <w:szCs w:val="22"/>
                <w:highlight w:val="none"/>
                <w:lang w:val="en-US" w:eastAsia="zh-CN"/>
              </w:rPr>
              <w:t>4</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针对性较强得</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针对性一般的得</w:t>
            </w:r>
            <w:r>
              <w:rPr>
                <w:rFonts w:hint="eastAsia" w:ascii="宋体" w:hAnsi="宋体" w:eastAsia="宋体" w:cs="宋体"/>
                <w:b w:val="0"/>
                <w:bCs w:val="0"/>
                <w:color w:val="auto"/>
                <w:sz w:val="22"/>
                <w:szCs w:val="22"/>
                <w:highlight w:val="none"/>
                <w:lang w:val="en-US" w:eastAsia="zh-CN"/>
              </w:rPr>
              <w:t>2</w:t>
            </w:r>
            <w:r>
              <w:rPr>
                <w:rFonts w:hint="eastAsia" w:ascii="宋体" w:hAnsi="宋体" w:eastAsia="宋体" w:cs="宋体"/>
                <w:b w:val="0"/>
                <w:bCs w:val="0"/>
                <w:color w:val="auto"/>
                <w:sz w:val="22"/>
                <w:szCs w:val="22"/>
                <w:highlight w:val="none"/>
              </w:rPr>
              <w:t>分，欠缺针对性的得1分</w:t>
            </w:r>
            <w:r>
              <w:rPr>
                <w:rFonts w:hint="eastAsia" w:ascii="宋体" w:hAnsi="宋体" w:eastAsia="宋体" w:cs="宋体"/>
                <w:b w:val="0"/>
                <w:bCs w:val="0"/>
                <w:color w:val="auto"/>
                <w:sz w:val="22"/>
                <w:szCs w:val="22"/>
                <w:highlight w:val="none"/>
                <w:lang w:eastAsia="zh-CN"/>
              </w:rPr>
              <w:t>；</w:t>
            </w:r>
          </w:p>
          <w:p w14:paraId="06BCFEDA">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可行性</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：符合实际切实可行得</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分；较切实可行得</w:t>
            </w:r>
            <w:r>
              <w:rPr>
                <w:rFonts w:hint="eastAsia" w:ascii="宋体" w:hAnsi="宋体" w:eastAsia="宋体" w:cs="宋体"/>
                <w:b w:val="0"/>
                <w:bCs w:val="0"/>
                <w:color w:val="auto"/>
                <w:sz w:val="22"/>
                <w:szCs w:val="22"/>
                <w:highlight w:val="none"/>
                <w:lang w:val="en-US" w:eastAsia="zh-CN"/>
              </w:rPr>
              <w:t>2</w:t>
            </w:r>
            <w:r>
              <w:rPr>
                <w:rFonts w:hint="eastAsia" w:ascii="宋体" w:hAnsi="宋体" w:eastAsia="宋体" w:cs="宋体"/>
                <w:b w:val="0"/>
                <w:bCs w:val="0"/>
                <w:color w:val="auto"/>
                <w:sz w:val="22"/>
                <w:szCs w:val="22"/>
                <w:highlight w:val="none"/>
              </w:rPr>
              <w:t>分；可行性欠缺得</w:t>
            </w:r>
            <w:r>
              <w:rPr>
                <w:rFonts w:hint="eastAsia" w:ascii="宋体" w:hAnsi="宋体" w:eastAsia="宋体" w:cs="宋体"/>
                <w:b w:val="0"/>
                <w:bCs w:val="0"/>
                <w:color w:val="auto"/>
                <w:sz w:val="22"/>
                <w:szCs w:val="22"/>
                <w:highlight w:val="none"/>
                <w:lang w:val="en-US" w:eastAsia="zh-CN"/>
              </w:rPr>
              <w:t>1</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p>
          <w:p w14:paraId="5A0D1F79">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eastAsia="zh-CN"/>
              </w:rPr>
            </w:pPr>
            <w:r>
              <w:rPr>
                <w:rFonts w:hint="eastAsia" w:ascii="宋体" w:hAnsi="宋体" w:eastAsia="宋体" w:cs="宋体"/>
                <w:color w:val="auto"/>
                <w:sz w:val="22"/>
                <w:szCs w:val="22"/>
                <w:highlight w:val="none"/>
              </w:rPr>
              <w:t>未提供的不得分。最高得</w:t>
            </w:r>
            <w:r>
              <w:rPr>
                <w:rFonts w:hint="eastAsia" w:ascii="宋体" w:hAnsi="宋体" w:eastAsia="宋体" w:cs="宋体"/>
                <w:color w:val="auto"/>
                <w:sz w:val="22"/>
                <w:szCs w:val="22"/>
                <w:highlight w:val="none"/>
                <w:lang w:val="en-US" w:eastAsia="zh-CN"/>
              </w:rPr>
              <w:t>11</w:t>
            </w:r>
            <w:r>
              <w:rPr>
                <w:rFonts w:hint="eastAsia" w:ascii="宋体" w:hAnsi="宋体" w:eastAsia="宋体" w:cs="宋体"/>
                <w:color w:val="auto"/>
                <w:sz w:val="22"/>
                <w:szCs w:val="22"/>
                <w:highlight w:val="none"/>
              </w:rPr>
              <w:t>分，最低得0分。</w:t>
            </w:r>
          </w:p>
        </w:tc>
      </w:tr>
      <w:tr w14:paraId="22C07D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6" w:hRule="atLeast"/>
        </w:trPr>
        <w:tc>
          <w:tcPr>
            <w:tcW w:w="1315" w:type="dxa"/>
            <w:vMerge w:val="continue"/>
            <w:tcBorders>
              <w:left w:val="single" w:color="000000" w:sz="4" w:space="0"/>
              <w:right w:val="single" w:color="000000" w:sz="4" w:space="0"/>
            </w:tcBorders>
            <w:noWrap w:val="0"/>
            <w:vAlign w:val="center"/>
          </w:tcPr>
          <w:p w14:paraId="2E7AFB47">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rPr>
            </w:pPr>
          </w:p>
        </w:tc>
        <w:tc>
          <w:tcPr>
            <w:tcW w:w="1360" w:type="dxa"/>
            <w:tcBorders>
              <w:top w:val="single" w:color="000000" w:sz="4" w:space="0"/>
              <w:left w:val="single" w:color="000000" w:sz="4" w:space="0"/>
              <w:right w:val="single" w:color="000000" w:sz="4" w:space="0"/>
            </w:tcBorders>
            <w:shd w:val="clear" w:color="auto" w:fill="auto"/>
            <w:noWrap w:val="0"/>
            <w:vAlign w:val="center"/>
          </w:tcPr>
          <w:p w14:paraId="78549046">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项目服务方案</w:t>
            </w:r>
          </w:p>
          <w:p w14:paraId="37C9D030">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val="en-US" w:eastAsia="zh-CN" w:bidi="ar-SA"/>
              </w:rPr>
            </w:pPr>
            <w:r>
              <w:rPr>
                <w:rFonts w:hint="eastAsia" w:ascii="宋体" w:hAnsi="宋体" w:eastAsia="宋体" w:cs="宋体"/>
                <w:color w:val="auto"/>
                <w:sz w:val="22"/>
                <w:szCs w:val="22"/>
                <w:highlight w:val="none"/>
                <w:lang w:val="en-US" w:eastAsia="zh-CN"/>
              </w:rPr>
              <w:t>（12分）</w:t>
            </w:r>
          </w:p>
        </w:tc>
        <w:tc>
          <w:tcPr>
            <w:tcW w:w="716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B08018D">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考察投标人结合招标需求内容提供的水环境决策支持建设技术方案，重点包含视频监控AI分析预警、水污染溯源及应急分析、流域动态画像、水环境容量动态测算等模型应用理解程度，根据投标人提供的技术方案编制内容总体情况</w:t>
            </w:r>
            <w:r>
              <w:rPr>
                <w:rFonts w:hint="eastAsia" w:ascii="宋体" w:hAnsi="宋体" w:eastAsia="宋体" w:cs="宋体"/>
                <w:color w:val="auto"/>
                <w:sz w:val="22"/>
                <w:szCs w:val="22"/>
                <w:highlight w:val="none"/>
              </w:rPr>
              <w:t>进行综合评分</w:t>
            </w:r>
            <w:r>
              <w:rPr>
                <w:rFonts w:hint="eastAsia" w:ascii="宋体" w:hAnsi="宋体" w:eastAsia="宋体" w:cs="宋体"/>
                <w:color w:val="auto"/>
                <w:sz w:val="22"/>
                <w:szCs w:val="22"/>
                <w:highlight w:val="none"/>
                <w:lang w:eastAsia="zh-CN"/>
              </w:rPr>
              <w:t>：</w:t>
            </w:r>
          </w:p>
          <w:p w14:paraId="570E693F">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全面性</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val="en-US" w:eastAsia="zh-CN"/>
              </w:rPr>
              <w:t>4</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：全面具体详实得</w:t>
            </w:r>
            <w:r>
              <w:rPr>
                <w:rFonts w:hint="eastAsia" w:ascii="宋体" w:hAnsi="宋体" w:eastAsia="宋体" w:cs="宋体"/>
                <w:b w:val="0"/>
                <w:bCs w:val="0"/>
                <w:color w:val="auto"/>
                <w:sz w:val="22"/>
                <w:szCs w:val="22"/>
                <w:highlight w:val="none"/>
                <w:lang w:val="en-US" w:eastAsia="zh-CN"/>
              </w:rPr>
              <w:t>4</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较全面得</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基本具备的得</w:t>
            </w:r>
            <w:r>
              <w:rPr>
                <w:rFonts w:hint="eastAsia" w:ascii="宋体" w:hAnsi="宋体" w:eastAsia="宋体" w:cs="宋体"/>
                <w:b w:val="0"/>
                <w:bCs w:val="0"/>
                <w:color w:val="auto"/>
                <w:sz w:val="22"/>
                <w:szCs w:val="22"/>
                <w:highlight w:val="none"/>
                <w:lang w:val="en-US" w:eastAsia="zh-CN"/>
              </w:rPr>
              <w:t>2</w:t>
            </w:r>
            <w:r>
              <w:rPr>
                <w:rFonts w:hint="eastAsia" w:ascii="宋体" w:hAnsi="宋体" w:eastAsia="宋体" w:cs="宋体"/>
                <w:b w:val="0"/>
                <w:bCs w:val="0"/>
                <w:color w:val="auto"/>
                <w:sz w:val="22"/>
                <w:szCs w:val="22"/>
                <w:highlight w:val="none"/>
              </w:rPr>
              <w:t>分，不太全面得1分</w:t>
            </w:r>
            <w:r>
              <w:rPr>
                <w:rFonts w:hint="eastAsia" w:ascii="宋体" w:hAnsi="宋体" w:eastAsia="宋体" w:cs="宋体"/>
                <w:b w:val="0"/>
                <w:bCs w:val="0"/>
                <w:color w:val="auto"/>
                <w:sz w:val="22"/>
                <w:szCs w:val="22"/>
                <w:highlight w:val="none"/>
                <w:lang w:eastAsia="zh-CN"/>
              </w:rPr>
              <w:t>；</w:t>
            </w:r>
          </w:p>
          <w:p w14:paraId="2CD3D662">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针对性</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val="en-US" w:eastAsia="zh-CN"/>
              </w:rPr>
              <w:t>4</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：针对性强得</w:t>
            </w:r>
            <w:r>
              <w:rPr>
                <w:rFonts w:hint="eastAsia" w:ascii="宋体" w:hAnsi="宋体" w:eastAsia="宋体" w:cs="宋体"/>
                <w:b w:val="0"/>
                <w:bCs w:val="0"/>
                <w:color w:val="auto"/>
                <w:sz w:val="22"/>
                <w:szCs w:val="22"/>
                <w:highlight w:val="none"/>
                <w:lang w:val="en-US" w:eastAsia="zh-CN"/>
              </w:rPr>
              <w:t>4</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针对性较强得</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针对性一般的得</w:t>
            </w:r>
            <w:r>
              <w:rPr>
                <w:rFonts w:hint="eastAsia" w:ascii="宋体" w:hAnsi="宋体" w:eastAsia="宋体" w:cs="宋体"/>
                <w:b w:val="0"/>
                <w:bCs w:val="0"/>
                <w:color w:val="auto"/>
                <w:sz w:val="22"/>
                <w:szCs w:val="22"/>
                <w:highlight w:val="none"/>
                <w:lang w:val="en-US" w:eastAsia="zh-CN"/>
              </w:rPr>
              <w:t>2</w:t>
            </w:r>
            <w:r>
              <w:rPr>
                <w:rFonts w:hint="eastAsia" w:ascii="宋体" w:hAnsi="宋体" w:eastAsia="宋体" w:cs="宋体"/>
                <w:b w:val="0"/>
                <w:bCs w:val="0"/>
                <w:color w:val="auto"/>
                <w:sz w:val="22"/>
                <w:szCs w:val="22"/>
                <w:highlight w:val="none"/>
              </w:rPr>
              <w:t>分，欠缺针对性的得1分</w:t>
            </w:r>
            <w:r>
              <w:rPr>
                <w:rFonts w:hint="eastAsia" w:ascii="宋体" w:hAnsi="宋体" w:eastAsia="宋体" w:cs="宋体"/>
                <w:b w:val="0"/>
                <w:bCs w:val="0"/>
                <w:color w:val="auto"/>
                <w:sz w:val="22"/>
                <w:szCs w:val="22"/>
                <w:highlight w:val="none"/>
                <w:lang w:eastAsia="zh-CN"/>
              </w:rPr>
              <w:t>；</w:t>
            </w:r>
          </w:p>
          <w:p w14:paraId="2B326212">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sz w:val="24"/>
                <w:szCs w:val="24"/>
                <w:highlight w:val="none"/>
              </w:rPr>
            </w:pPr>
            <w:r>
              <w:rPr>
                <w:rFonts w:hint="eastAsia" w:ascii="宋体" w:hAnsi="宋体" w:eastAsia="宋体" w:cs="宋体"/>
                <w:b w:val="0"/>
                <w:bCs w:val="0"/>
                <w:color w:val="auto"/>
                <w:sz w:val="22"/>
                <w:szCs w:val="22"/>
                <w:highlight w:val="none"/>
              </w:rPr>
              <w:t>可行性</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val="en-US" w:eastAsia="zh-CN"/>
              </w:rPr>
              <w:t>4</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：合理、切实可行的得</w:t>
            </w:r>
            <w:r>
              <w:rPr>
                <w:rFonts w:hint="eastAsia" w:ascii="宋体" w:hAnsi="宋体" w:eastAsia="宋体" w:cs="宋体"/>
                <w:b w:val="0"/>
                <w:bCs w:val="0"/>
                <w:color w:val="auto"/>
                <w:sz w:val="22"/>
                <w:szCs w:val="22"/>
                <w:highlight w:val="none"/>
                <w:lang w:val="en-US" w:eastAsia="zh-CN"/>
              </w:rPr>
              <w:t>4</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较切实可行</w:t>
            </w:r>
            <w:r>
              <w:rPr>
                <w:rFonts w:hint="eastAsia" w:ascii="宋体" w:hAnsi="宋体" w:eastAsia="宋体" w:cs="宋体"/>
                <w:sz w:val="24"/>
                <w:szCs w:val="24"/>
                <w:highlight w:val="none"/>
              </w:rPr>
              <w:t>得</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分</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可行性一般的得</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分，可行性欠缺得1分；</w:t>
            </w:r>
          </w:p>
          <w:p w14:paraId="76653D99">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val="en-US" w:eastAsia="zh-CN" w:bidi="ar-SA"/>
              </w:rPr>
            </w:pPr>
            <w:r>
              <w:rPr>
                <w:rFonts w:hint="eastAsia" w:ascii="宋体" w:hAnsi="宋体" w:eastAsia="宋体" w:cs="宋体"/>
                <w:color w:val="auto"/>
                <w:sz w:val="22"/>
                <w:szCs w:val="22"/>
                <w:highlight w:val="none"/>
              </w:rPr>
              <w:t>未提供的不得分。最高得</w:t>
            </w:r>
            <w:r>
              <w:rPr>
                <w:rFonts w:hint="eastAsia" w:ascii="宋体" w:hAnsi="宋体" w:eastAsia="宋体" w:cs="宋体"/>
                <w:color w:val="auto"/>
                <w:sz w:val="22"/>
                <w:szCs w:val="22"/>
                <w:highlight w:val="none"/>
                <w:lang w:val="en-US" w:eastAsia="zh-CN"/>
              </w:rPr>
              <w:t>12</w:t>
            </w:r>
            <w:r>
              <w:rPr>
                <w:rFonts w:hint="eastAsia" w:ascii="宋体" w:hAnsi="宋体" w:eastAsia="宋体" w:cs="宋体"/>
                <w:color w:val="auto"/>
                <w:sz w:val="22"/>
                <w:szCs w:val="22"/>
                <w:highlight w:val="none"/>
              </w:rPr>
              <w:t>分，最低得0分。</w:t>
            </w:r>
          </w:p>
        </w:tc>
      </w:tr>
      <w:tr w14:paraId="687EB7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28" w:hRule="atLeast"/>
        </w:trPr>
        <w:tc>
          <w:tcPr>
            <w:tcW w:w="1315" w:type="dxa"/>
            <w:vMerge w:val="continue"/>
            <w:tcBorders>
              <w:left w:val="single" w:color="000000" w:sz="4" w:space="0"/>
              <w:right w:val="single" w:color="000000" w:sz="4" w:space="0"/>
            </w:tcBorders>
            <w:noWrap w:val="0"/>
            <w:vAlign w:val="center"/>
          </w:tcPr>
          <w:p w14:paraId="399223DF">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rPr>
            </w:pPr>
          </w:p>
        </w:tc>
        <w:tc>
          <w:tcPr>
            <w:tcW w:w="1360" w:type="dxa"/>
            <w:tcBorders>
              <w:top w:val="single" w:color="000000" w:sz="4" w:space="0"/>
              <w:left w:val="single" w:color="000000" w:sz="4" w:space="0"/>
              <w:right w:val="single" w:color="000000" w:sz="4" w:space="0"/>
            </w:tcBorders>
            <w:shd w:val="clear" w:color="auto" w:fill="auto"/>
            <w:noWrap w:val="0"/>
            <w:vAlign w:val="center"/>
          </w:tcPr>
          <w:p w14:paraId="04566DA6">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预警技术应用方案</w:t>
            </w:r>
          </w:p>
          <w:p w14:paraId="4054FCED">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en-US" w:eastAsia="zh-CN"/>
              </w:rPr>
              <w:t>（9分）</w:t>
            </w:r>
          </w:p>
        </w:tc>
        <w:tc>
          <w:tcPr>
            <w:tcW w:w="716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875FD47">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投标人对“基于人工智能的水环境监控分级预警技术应用”技术方案进行详细阐述。根据投标人提供的方案编制内容总体情况</w:t>
            </w:r>
            <w:r>
              <w:rPr>
                <w:rFonts w:hint="eastAsia" w:ascii="宋体" w:hAnsi="宋体" w:eastAsia="宋体" w:cs="宋体"/>
                <w:color w:val="auto"/>
                <w:sz w:val="22"/>
                <w:szCs w:val="22"/>
                <w:highlight w:val="none"/>
              </w:rPr>
              <w:t>进行综合评分</w:t>
            </w:r>
            <w:r>
              <w:rPr>
                <w:rFonts w:hint="eastAsia" w:ascii="宋体" w:hAnsi="宋体" w:eastAsia="宋体" w:cs="宋体"/>
                <w:color w:val="auto"/>
                <w:sz w:val="22"/>
                <w:szCs w:val="22"/>
                <w:highlight w:val="none"/>
                <w:lang w:eastAsia="zh-CN"/>
              </w:rPr>
              <w:t>：</w:t>
            </w:r>
          </w:p>
          <w:p w14:paraId="22C76CCB">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全面性</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：全面具体详实得</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分；较全面得</w:t>
            </w:r>
            <w:r>
              <w:rPr>
                <w:rFonts w:hint="eastAsia" w:ascii="宋体" w:hAnsi="宋体" w:eastAsia="宋体" w:cs="宋体"/>
                <w:b w:val="0"/>
                <w:bCs w:val="0"/>
                <w:color w:val="auto"/>
                <w:sz w:val="22"/>
                <w:szCs w:val="22"/>
                <w:highlight w:val="none"/>
                <w:lang w:val="en-US" w:eastAsia="zh-CN"/>
              </w:rPr>
              <w:t>2</w:t>
            </w:r>
            <w:r>
              <w:rPr>
                <w:rFonts w:hint="eastAsia" w:ascii="宋体" w:hAnsi="宋体" w:eastAsia="宋体" w:cs="宋体"/>
                <w:b w:val="0"/>
                <w:bCs w:val="0"/>
                <w:color w:val="auto"/>
                <w:sz w:val="22"/>
                <w:szCs w:val="22"/>
                <w:highlight w:val="none"/>
              </w:rPr>
              <w:t>分；不全面得</w:t>
            </w:r>
            <w:r>
              <w:rPr>
                <w:rFonts w:hint="eastAsia" w:ascii="宋体" w:hAnsi="宋体" w:eastAsia="宋体" w:cs="宋体"/>
                <w:b w:val="0"/>
                <w:bCs w:val="0"/>
                <w:color w:val="auto"/>
                <w:sz w:val="22"/>
                <w:szCs w:val="22"/>
                <w:highlight w:val="none"/>
                <w:lang w:val="en-US" w:eastAsia="zh-CN"/>
              </w:rPr>
              <w:t>1</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p>
          <w:p w14:paraId="29C46AE3">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针对性</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：针对性强得</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分；针对性较强得</w:t>
            </w:r>
            <w:r>
              <w:rPr>
                <w:rFonts w:hint="eastAsia" w:ascii="宋体" w:hAnsi="宋体" w:eastAsia="宋体" w:cs="宋体"/>
                <w:b w:val="0"/>
                <w:bCs w:val="0"/>
                <w:color w:val="auto"/>
                <w:sz w:val="22"/>
                <w:szCs w:val="22"/>
                <w:highlight w:val="none"/>
                <w:lang w:val="en-US" w:eastAsia="zh-CN"/>
              </w:rPr>
              <w:t>2</w:t>
            </w:r>
            <w:r>
              <w:rPr>
                <w:rFonts w:hint="eastAsia" w:ascii="宋体" w:hAnsi="宋体" w:eastAsia="宋体" w:cs="宋体"/>
                <w:b w:val="0"/>
                <w:bCs w:val="0"/>
                <w:color w:val="auto"/>
                <w:sz w:val="22"/>
                <w:szCs w:val="22"/>
                <w:highlight w:val="none"/>
              </w:rPr>
              <w:t>分；针对性不强得</w:t>
            </w:r>
            <w:r>
              <w:rPr>
                <w:rFonts w:hint="eastAsia" w:ascii="宋体" w:hAnsi="宋体" w:eastAsia="宋体" w:cs="宋体"/>
                <w:b w:val="0"/>
                <w:bCs w:val="0"/>
                <w:color w:val="auto"/>
                <w:sz w:val="22"/>
                <w:szCs w:val="22"/>
                <w:highlight w:val="none"/>
                <w:lang w:val="en-US" w:eastAsia="zh-CN"/>
              </w:rPr>
              <w:t>1</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p>
          <w:p w14:paraId="16E45BA8">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可行性</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：符合实际切实可行得</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分；较切实可行得</w:t>
            </w:r>
            <w:r>
              <w:rPr>
                <w:rFonts w:hint="eastAsia" w:ascii="宋体" w:hAnsi="宋体" w:eastAsia="宋体" w:cs="宋体"/>
                <w:b w:val="0"/>
                <w:bCs w:val="0"/>
                <w:color w:val="auto"/>
                <w:sz w:val="22"/>
                <w:szCs w:val="22"/>
                <w:highlight w:val="none"/>
                <w:lang w:val="en-US" w:eastAsia="zh-CN"/>
              </w:rPr>
              <w:t>2</w:t>
            </w:r>
            <w:r>
              <w:rPr>
                <w:rFonts w:hint="eastAsia" w:ascii="宋体" w:hAnsi="宋体" w:eastAsia="宋体" w:cs="宋体"/>
                <w:b w:val="0"/>
                <w:bCs w:val="0"/>
                <w:color w:val="auto"/>
                <w:sz w:val="22"/>
                <w:szCs w:val="22"/>
                <w:highlight w:val="none"/>
              </w:rPr>
              <w:t>分；可行性欠缺得</w:t>
            </w:r>
            <w:r>
              <w:rPr>
                <w:rFonts w:hint="eastAsia" w:ascii="宋体" w:hAnsi="宋体" w:eastAsia="宋体" w:cs="宋体"/>
                <w:b w:val="0"/>
                <w:bCs w:val="0"/>
                <w:color w:val="auto"/>
                <w:sz w:val="22"/>
                <w:szCs w:val="22"/>
                <w:highlight w:val="none"/>
                <w:lang w:val="en-US" w:eastAsia="zh-CN"/>
              </w:rPr>
              <w:t>1</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p>
          <w:p w14:paraId="777A4821">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eastAsia="zh-CN"/>
              </w:rPr>
            </w:pPr>
            <w:r>
              <w:rPr>
                <w:rFonts w:hint="eastAsia" w:ascii="宋体" w:hAnsi="宋体" w:eastAsia="宋体" w:cs="宋体"/>
                <w:color w:val="auto"/>
                <w:sz w:val="22"/>
                <w:szCs w:val="22"/>
                <w:highlight w:val="none"/>
              </w:rPr>
              <w:t>未提供的不得分。最高得</w:t>
            </w:r>
            <w:r>
              <w:rPr>
                <w:rFonts w:hint="eastAsia" w:ascii="宋体" w:hAnsi="宋体" w:eastAsia="宋体" w:cs="宋体"/>
                <w:color w:val="auto"/>
                <w:sz w:val="22"/>
                <w:szCs w:val="22"/>
                <w:highlight w:val="none"/>
                <w:lang w:val="en-US" w:eastAsia="zh-CN"/>
              </w:rPr>
              <w:t>9</w:t>
            </w:r>
            <w:r>
              <w:rPr>
                <w:rFonts w:hint="eastAsia" w:ascii="宋体" w:hAnsi="宋体" w:eastAsia="宋体" w:cs="宋体"/>
                <w:color w:val="auto"/>
                <w:sz w:val="22"/>
                <w:szCs w:val="22"/>
                <w:highlight w:val="none"/>
              </w:rPr>
              <w:t>分，最低得0分。</w:t>
            </w:r>
          </w:p>
        </w:tc>
      </w:tr>
      <w:tr w14:paraId="3CDCDD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3" w:hRule="atLeast"/>
        </w:trPr>
        <w:tc>
          <w:tcPr>
            <w:tcW w:w="1315" w:type="dxa"/>
            <w:vMerge w:val="continue"/>
            <w:tcBorders>
              <w:left w:val="single" w:color="000000" w:sz="4" w:space="0"/>
              <w:right w:val="single" w:color="000000" w:sz="4" w:space="0"/>
            </w:tcBorders>
            <w:noWrap w:val="0"/>
            <w:vAlign w:val="center"/>
          </w:tcPr>
          <w:p w14:paraId="7043F4B6">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rPr>
            </w:pPr>
          </w:p>
        </w:tc>
        <w:tc>
          <w:tcPr>
            <w:tcW w:w="1360" w:type="dxa"/>
            <w:tcBorders>
              <w:top w:val="single" w:color="000000" w:sz="4" w:space="0"/>
              <w:left w:val="single" w:color="000000" w:sz="4" w:space="0"/>
              <w:right w:val="single" w:color="000000" w:sz="4" w:space="0"/>
            </w:tcBorders>
            <w:shd w:val="clear" w:color="auto" w:fill="auto"/>
            <w:noWrap w:val="0"/>
            <w:vAlign w:val="center"/>
          </w:tcPr>
          <w:p w14:paraId="2C1BA5A6">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项目测试及验收方案</w:t>
            </w:r>
          </w:p>
          <w:p w14:paraId="42CFF9C8">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（9分）</w:t>
            </w:r>
          </w:p>
        </w:tc>
        <w:tc>
          <w:tcPr>
            <w:tcW w:w="716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ADFE4F7">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根据投标人提供的</w:t>
            </w:r>
            <w:r>
              <w:rPr>
                <w:rFonts w:hint="eastAsia" w:ascii="宋体" w:hAnsi="宋体" w:eastAsia="宋体" w:cs="宋体"/>
                <w:color w:val="auto"/>
                <w:sz w:val="22"/>
                <w:szCs w:val="22"/>
                <w:highlight w:val="none"/>
              </w:rPr>
              <w:t>项目测试及验收方案，包括但不限于项目测试计划、项目验收方案等内容进行综合评分</w:t>
            </w:r>
            <w:r>
              <w:rPr>
                <w:rFonts w:hint="eastAsia" w:ascii="宋体" w:hAnsi="宋体" w:eastAsia="宋体" w:cs="宋体"/>
                <w:color w:val="auto"/>
                <w:sz w:val="22"/>
                <w:szCs w:val="22"/>
                <w:highlight w:val="none"/>
                <w:lang w:val="en-US" w:eastAsia="zh-CN"/>
              </w:rPr>
              <w:t>：</w:t>
            </w:r>
          </w:p>
          <w:p w14:paraId="52227FD2">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全面性</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：全面具体详实得</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分；较全面得</w:t>
            </w:r>
            <w:r>
              <w:rPr>
                <w:rFonts w:hint="eastAsia" w:ascii="宋体" w:hAnsi="宋体" w:eastAsia="宋体" w:cs="宋体"/>
                <w:b w:val="0"/>
                <w:bCs w:val="0"/>
                <w:color w:val="auto"/>
                <w:sz w:val="22"/>
                <w:szCs w:val="22"/>
                <w:highlight w:val="none"/>
                <w:lang w:val="en-US" w:eastAsia="zh-CN"/>
              </w:rPr>
              <w:t>2</w:t>
            </w:r>
            <w:r>
              <w:rPr>
                <w:rFonts w:hint="eastAsia" w:ascii="宋体" w:hAnsi="宋体" w:eastAsia="宋体" w:cs="宋体"/>
                <w:b w:val="0"/>
                <w:bCs w:val="0"/>
                <w:color w:val="auto"/>
                <w:sz w:val="22"/>
                <w:szCs w:val="22"/>
                <w:highlight w:val="none"/>
              </w:rPr>
              <w:t>分；不全面得</w:t>
            </w:r>
            <w:r>
              <w:rPr>
                <w:rFonts w:hint="eastAsia" w:ascii="宋体" w:hAnsi="宋体" w:eastAsia="宋体" w:cs="宋体"/>
                <w:b w:val="0"/>
                <w:bCs w:val="0"/>
                <w:color w:val="auto"/>
                <w:sz w:val="22"/>
                <w:szCs w:val="22"/>
                <w:highlight w:val="none"/>
                <w:lang w:val="en-US" w:eastAsia="zh-CN"/>
              </w:rPr>
              <w:t>1</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p>
          <w:p w14:paraId="7BCC1EB9">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合理性（3分）：合理强得3分，合理性较强得2分，合理性不足得1分。</w:t>
            </w:r>
          </w:p>
          <w:p w14:paraId="214AB92B">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针对性</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：针对性强得</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分；针对性较强得</w:t>
            </w:r>
            <w:r>
              <w:rPr>
                <w:rFonts w:hint="eastAsia" w:ascii="宋体" w:hAnsi="宋体" w:eastAsia="宋体" w:cs="宋体"/>
                <w:b w:val="0"/>
                <w:bCs w:val="0"/>
                <w:color w:val="auto"/>
                <w:sz w:val="22"/>
                <w:szCs w:val="22"/>
                <w:highlight w:val="none"/>
                <w:lang w:val="en-US" w:eastAsia="zh-CN"/>
              </w:rPr>
              <w:t>2</w:t>
            </w:r>
            <w:r>
              <w:rPr>
                <w:rFonts w:hint="eastAsia" w:ascii="宋体" w:hAnsi="宋体" w:eastAsia="宋体" w:cs="宋体"/>
                <w:b w:val="0"/>
                <w:bCs w:val="0"/>
                <w:color w:val="auto"/>
                <w:sz w:val="22"/>
                <w:szCs w:val="22"/>
                <w:highlight w:val="none"/>
              </w:rPr>
              <w:t>分；针对性不强得</w:t>
            </w:r>
            <w:r>
              <w:rPr>
                <w:rFonts w:hint="eastAsia" w:ascii="宋体" w:hAnsi="宋体" w:eastAsia="宋体" w:cs="宋体"/>
                <w:b w:val="0"/>
                <w:bCs w:val="0"/>
                <w:color w:val="auto"/>
                <w:sz w:val="22"/>
                <w:szCs w:val="22"/>
                <w:highlight w:val="none"/>
                <w:lang w:val="en-US" w:eastAsia="zh-CN"/>
              </w:rPr>
              <w:t>1</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p>
          <w:p w14:paraId="57B5C82D">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未提供的不得分。</w:t>
            </w:r>
            <w:r>
              <w:rPr>
                <w:rFonts w:hint="eastAsia" w:ascii="宋体" w:hAnsi="宋体" w:eastAsia="宋体" w:cs="宋体"/>
                <w:color w:val="auto"/>
                <w:sz w:val="22"/>
                <w:szCs w:val="22"/>
                <w:highlight w:val="none"/>
                <w:lang w:val="en-US" w:eastAsia="zh-CN"/>
              </w:rPr>
              <w:t>本项最高得9分，最低得0分。</w:t>
            </w:r>
          </w:p>
        </w:tc>
      </w:tr>
      <w:tr w14:paraId="6CD4BE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1315" w:type="dxa"/>
            <w:vMerge w:val="continue"/>
            <w:tcBorders>
              <w:left w:val="single" w:color="000000" w:sz="4" w:space="0"/>
              <w:right w:val="single" w:color="000000" w:sz="4" w:space="0"/>
            </w:tcBorders>
            <w:noWrap w:val="0"/>
            <w:vAlign w:val="center"/>
          </w:tcPr>
          <w:p w14:paraId="20ED7039">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rPr>
            </w:pPr>
          </w:p>
        </w:tc>
        <w:tc>
          <w:tcPr>
            <w:tcW w:w="136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CB8E105">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安全保障及文明保证</w:t>
            </w:r>
          </w:p>
          <w:p w14:paraId="14002E9F">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（9分）</w:t>
            </w:r>
          </w:p>
          <w:p w14:paraId="20C8BCA0">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val="en-US" w:eastAsia="zh-CN" w:bidi="ar-SA"/>
              </w:rPr>
            </w:pPr>
          </w:p>
        </w:tc>
        <w:tc>
          <w:tcPr>
            <w:tcW w:w="716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2AA65D5">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根据投标人提供的安全保障及文明保证进行打分，包括但不限于对本项目的人员安全保障、设备保障措施和对本项目现场的安全保护措施、文明服务管理措施等内容的全面性、针对性、可行性进行综合评分：</w:t>
            </w:r>
          </w:p>
          <w:p w14:paraId="69C48396">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全面性</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：全面具体详实得</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分；较全面得</w:t>
            </w:r>
            <w:r>
              <w:rPr>
                <w:rFonts w:hint="eastAsia" w:ascii="宋体" w:hAnsi="宋体" w:eastAsia="宋体" w:cs="宋体"/>
                <w:b w:val="0"/>
                <w:bCs w:val="0"/>
                <w:color w:val="auto"/>
                <w:sz w:val="22"/>
                <w:szCs w:val="22"/>
                <w:highlight w:val="none"/>
                <w:lang w:val="en-US" w:eastAsia="zh-CN"/>
              </w:rPr>
              <w:t>2</w:t>
            </w:r>
            <w:r>
              <w:rPr>
                <w:rFonts w:hint="eastAsia" w:ascii="宋体" w:hAnsi="宋体" w:eastAsia="宋体" w:cs="宋体"/>
                <w:b w:val="0"/>
                <w:bCs w:val="0"/>
                <w:color w:val="auto"/>
                <w:sz w:val="22"/>
                <w:szCs w:val="22"/>
                <w:highlight w:val="none"/>
              </w:rPr>
              <w:t>分；不全面得</w:t>
            </w:r>
            <w:r>
              <w:rPr>
                <w:rFonts w:hint="eastAsia" w:ascii="宋体" w:hAnsi="宋体" w:eastAsia="宋体" w:cs="宋体"/>
                <w:b w:val="0"/>
                <w:bCs w:val="0"/>
                <w:color w:val="auto"/>
                <w:sz w:val="22"/>
                <w:szCs w:val="22"/>
                <w:highlight w:val="none"/>
                <w:lang w:val="en-US" w:eastAsia="zh-CN"/>
              </w:rPr>
              <w:t>1</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p>
          <w:p w14:paraId="0473F5AB">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合理性（3分）：合理强得3分，合理性较强得2分，合理性不足得1分。</w:t>
            </w:r>
          </w:p>
          <w:p w14:paraId="7D6F7EC2">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针对性</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：针对性强得</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分；针对性较强得</w:t>
            </w:r>
            <w:r>
              <w:rPr>
                <w:rFonts w:hint="eastAsia" w:ascii="宋体" w:hAnsi="宋体" w:eastAsia="宋体" w:cs="宋体"/>
                <w:b w:val="0"/>
                <w:bCs w:val="0"/>
                <w:color w:val="auto"/>
                <w:sz w:val="22"/>
                <w:szCs w:val="22"/>
                <w:highlight w:val="none"/>
                <w:lang w:val="en-US" w:eastAsia="zh-CN"/>
              </w:rPr>
              <w:t>2</w:t>
            </w:r>
            <w:r>
              <w:rPr>
                <w:rFonts w:hint="eastAsia" w:ascii="宋体" w:hAnsi="宋体" w:eastAsia="宋体" w:cs="宋体"/>
                <w:b w:val="0"/>
                <w:bCs w:val="0"/>
                <w:color w:val="auto"/>
                <w:sz w:val="22"/>
                <w:szCs w:val="22"/>
                <w:highlight w:val="none"/>
              </w:rPr>
              <w:t>分；针对性不强得</w:t>
            </w:r>
            <w:r>
              <w:rPr>
                <w:rFonts w:hint="eastAsia" w:ascii="宋体" w:hAnsi="宋体" w:eastAsia="宋体" w:cs="宋体"/>
                <w:b w:val="0"/>
                <w:bCs w:val="0"/>
                <w:color w:val="auto"/>
                <w:sz w:val="22"/>
                <w:szCs w:val="22"/>
                <w:highlight w:val="none"/>
                <w:lang w:val="en-US" w:eastAsia="zh-CN"/>
              </w:rPr>
              <w:t>1</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p>
          <w:p w14:paraId="71DDD074">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未提供的不得分。</w:t>
            </w:r>
            <w:r>
              <w:rPr>
                <w:rFonts w:hint="eastAsia" w:ascii="宋体" w:hAnsi="宋体" w:eastAsia="宋体" w:cs="宋体"/>
                <w:color w:val="auto"/>
                <w:sz w:val="22"/>
                <w:szCs w:val="22"/>
                <w:highlight w:val="none"/>
                <w:lang w:val="en-US" w:eastAsia="zh-CN"/>
              </w:rPr>
              <w:t>本项最高得9分，最低得0分。</w:t>
            </w:r>
          </w:p>
        </w:tc>
      </w:tr>
      <w:tr w14:paraId="4910FD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1315" w:type="dxa"/>
            <w:vMerge w:val="continue"/>
            <w:tcBorders>
              <w:left w:val="single" w:color="000000" w:sz="4" w:space="0"/>
              <w:right w:val="single" w:color="000000" w:sz="4" w:space="0"/>
            </w:tcBorders>
            <w:noWrap w:val="0"/>
            <w:vAlign w:val="center"/>
          </w:tcPr>
          <w:p w14:paraId="6E9E5FAB">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rPr>
            </w:pPr>
          </w:p>
        </w:tc>
        <w:tc>
          <w:tcPr>
            <w:tcW w:w="136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DF6B0FA">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运维、售后及培训方案</w:t>
            </w:r>
          </w:p>
          <w:p w14:paraId="65BF7285">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val="en-US" w:eastAsia="zh-CN" w:bidi="ar-SA"/>
              </w:rPr>
            </w:pPr>
            <w:r>
              <w:rPr>
                <w:rFonts w:hint="eastAsia" w:ascii="宋体" w:hAnsi="宋体" w:eastAsia="宋体" w:cs="宋体"/>
                <w:color w:val="auto"/>
                <w:sz w:val="22"/>
                <w:szCs w:val="22"/>
                <w:highlight w:val="none"/>
                <w:lang w:val="en-US" w:eastAsia="zh-CN"/>
              </w:rPr>
              <w:t>（12分）</w:t>
            </w:r>
          </w:p>
        </w:tc>
        <w:tc>
          <w:tcPr>
            <w:tcW w:w="716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0CA4F2D">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根据投标人提供的运维技术方案、售后、培训方案进行打分，包括但不限于运维服务内容、服务措施、服务标准、服务流程、培训方式、培训计划、培训流程、培训课程及内容、投标人培训方面的优势等内容进行综合评分：</w:t>
            </w:r>
          </w:p>
          <w:p w14:paraId="027CAC49">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全面性</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val="en-US" w:eastAsia="zh-CN"/>
              </w:rPr>
              <w:t>4</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：全面具体详实得</w:t>
            </w:r>
            <w:r>
              <w:rPr>
                <w:rFonts w:hint="eastAsia" w:ascii="宋体" w:hAnsi="宋体" w:eastAsia="宋体" w:cs="宋体"/>
                <w:b w:val="0"/>
                <w:bCs w:val="0"/>
                <w:color w:val="auto"/>
                <w:sz w:val="22"/>
                <w:szCs w:val="22"/>
                <w:highlight w:val="none"/>
                <w:lang w:val="en-US" w:eastAsia="zh-CN"/>
              </w:rPr>
              <w:t>4</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较全面得</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基本具备的得</w:t>
            </w:r>
            <w:r>
              <w:rPr>
                <w:rFonts w:hint="eastAsia" w:ascii="宋体" w:hAnsi="宋体" w:eastAsia="宋体" w:cs="宋体"/>
                <w:b w:val="0"/>
                <w:bCs w:val="0"/>
                <w:color w:val="auto"/>
                <w:sz w:val="22"/>
                <w:szCs w:val="22"/>
                <w:highlight w:val="none"/>
                <w:lang w:val="en-US" w:eastAsia="zh-CN"/>
              </w:rPr>
              <w:t>2</w:t>
            </w:r>
            <w:r>
              <w:rPr>
                <w:rFonts w:hint="eastAsia" w:ascii="宋体" w:hAnsi="宋体" w:eastAsia="宋体" w:cs="宋体"/>
                <w:b w:val="0"/>
                <w:bCs w:val="0"/>
                <w:color w:val="auto"/>
                <w:sz w:val="22"/>
                <w:szCs w:val="22"/>
                <w:highlight w:val="none"/>
              </w:rPr>
              <w:t>分，不太全面得1分</w:t>
            </w:r>
            <w:r>
              <w:rPr>
                <w:rFonts w:hint="eastAsia" w:ascii="宋体" w:hAnsi="宋体" w:eastAsia="宋体" w:cs="宋体"/>
                <w:b w:val="0"/>
                <w:bCs w:val="0"/>
                <w:color w:val="auto"/>
                <w:sz w:val="22"/>
                <w:szCs w:val="22"/>
                <w:highlight w:val="none"/>
                <w:lang w:eastAsia="zh-CN"/>
              </w:rPr>
              <w:t>；</w:t>
            </w:r>
          </w:p>
          <w:p w14:paraId="0773D064">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针对性</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val="en-US" w:eastAsia="zh-CN"/>
              </w:rPr>
              <w:t>4</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：针对性强得</w:t>
            </w:r>
            <w:r>
              <w:rPr>
                <w:rFonts w:hint="eastAsia" w:ascii="宋体" w:hAnsi="宋体" w:eastAsia="宋体" w:cs="宋体"/>
                <w:b w:val="0"/>
                <w:bCs w:val="0"/>
                <w:color w:val="auto"/>
                <w:sz w:val="22"/>
                <w:szCs w:val="22"/>
                <w:highlight w:val="none"/>
                <w:lang w:val="en-US" w:eastAsia="zh-CN"/>
              </w:rPr>
              <w:t>4</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针对性较强得</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针对性一般的得</w:t>
            </w:r>
            <w:r>
              <w:rPr>
                <w:rFonts w:hint="eastAsia" w:ascii="宋体" w:hAnsi="宋体" w:eastAsia="宋体" w:cs="宋体"/>
                <w:b w:val="0"/>
                <w:bCs w:val="0"/>
                <w:color w:val="auto"/>
                <w:sz w:val="22"/>
                <w:szCs w:val="22"/>
                <w:highlight w:val="none"/>
                <w:lang w:val="en-US" w:eastAsia="zh-CN"/>
              </w:rPr>
              <w:t>2</w:t>
            </w:r>
            <w:r>
              <w:rPr>
                <w:rFonts w:hint="eastAsia" w:ascii="宋体" w:hAnsi="宋体" w:eastAsia="宋体" w:cs="宋体"/>
                <w:b w:val="0"/>
                <w:bCs w:val="0"/>
                <w:color w:val="auto"/>
                <w:sz w:val="22"/>
                <w:szCs w:val="22"/>
                <w:highlight w:val="none"/>
              </w:rPr>
              <w:t>分，欠缺针对性的得1分</w:t>
            </w:r>
            <w:r>
              <w:rPr>
                <w:rFonts w:hint="eastAsia" w:ascii="宋体" w:hAnsi="宋体" w:eastAsia="宋体" w:cs="宋体"/>
                <w:b w:val="0"/>
                <w:bCs w:val="0"/>
                <w:color w:val="auto"/>
                <w:sz w:val="22"/>
                <w:szCs w:val="22"/>
                <w:highlight w:val="none"/>
                <w:lang w:eastAsia="zh-CN"/>
              </w:rPr>
              <w:t>；</w:t>
            </w:r>
          </w:p>
          <w:p w14:paraId="7292BC15">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sz w:val="24"/>
                <w:szCs w:val="24"/>
                <w:highlight w:val="none"/>
              </w:rPr>
            </w:pPr>
            <w:r>
              <w:rPr>
                <w:rFonts w:hint="eastAsia" w:ascii="宋体" w:hAnsi="宋体" w:eastAsia="宋体" w:cs="宋体"/>
                <w:b w:val="0"/>
                <w:bCs w:val="0"/>
                <w:color w:val="auto"/>
                <w:sz w:val="22"/>
                <w:szCs w:val="22"/>
                <w:highlight w:val="none"/>
              </w:rPr>
              <w:t>可行性</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val="en-US" w:eastAsia="zh-CN"/>
              </w:rPr>
              <w:t>4</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：合理、切实可行的得</w:t>
            </w:r>
            <w:r>
              <w:rPr>
                <w:rFonts w:hint="eastAsia" w:ascii="宋体" w:hAnsi="宋体" w:eastAsia="宋体" w:cs="宋体"/>
                <w:b w:val="0"/>
                <w:bCs w:val="0"/>
                <w:color w:val="auto"/>
                <w:sz w:val="22"/>
                <w:szCs w:val="22"/>
                <w:highlight w:val="none"/>
                <w:lang w:val="en-US" w:eastAsia="zh-CN"/>
              </w:rPr>
              <w:t>4</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较切实可行</w:t>
            </w:r>
            <w:r>
              <w:rPr>
                <w:rFonts w:hint="eastAsia" w:ascii="宋体" w:hAnsi="宋体" w:eastAsia="宋体" w:cs="宋体"/>
                <w:sz w:val="24"/>
                <w:szCs w:val="24"/>
                <w:highlight w:val="none"/>
              </w:rPr>
              <w:t>得</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分</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可行性一般的得</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分，可行性欠缺得1分；</w:t>
            </w:r>
          </w:p>
          <w:p w14:paraId="6A041F4E">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未提供的不得分。</w:t>
            </w:r>
            <w:r>
              <w:rPr>
                <w:rFonts w:hint="eastAsia" w:ascii="宋体" w:hAnsi="宋体" w:eastAsia="宋体" w:cs="宋体"/>
                <w:color w:val="auto"/>
                <w:sz w:val="22"/>
                <w:szCs w:val="22"/>
                <w:highlight w:val="none"/>
                <w:lang w:val="en-US" w:eastAsia="zh-CN"/>
              </w:rPr>
              <w:t>本项最高得12分，最低得0分。</w:t>
            </w:r>
          </w:p>
        </w:tc>
      </w:tr>
      <w:tr w14:paraId="2868A1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1315" w:type="dxa"/>
            <w:vMerge w:val="continue"/>
            <w:tcBorders>
              <w:left w:val="single" w:color="000000" w:sz="4" w:space="0"/>
              <w:right w:val="single" w:color="000000" w:sz="4" w:space="0"/>
            </w:tcBorders>
            <w:noWrap w:val="0"/>
            <w:vAlign w:val="center"/>
          </w:tcPr>
          <w:p w14:paraId="7C3BA056">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rPr>
            </w:pPr>
          </w:p>
        </w:tc>
        <w:tc>
          <w:tcPr>
            <w:tcW w:w="1360" w:type="dxa"/>
            <w:tcBorders>
              <w:top w:val="single" w:color="auto" w:sz="4" w:space="0"/>
              <w:left w:val="single" w:color="000000" w:sz="4" w:space="0"/>
              <w:bottom w:val="single" w:color="000000" w:sz="4" w:space="0"/>
              <w:right w:val="single" w:color="000000" w:sz="4" w:space="0"/>
            </w:tcBorders>
            <w:shd w:val="clear" w:color="auto" w:fill="auto"/>
            <w:noWrap w:val="0"/>
            <w:vAlign w:val="center"/>
          </w:tcPr>
          <w:p w14:paraId="1A411822">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应急方案  （</w:t>
            </w:r>
            <w:r>
              <w:rPr>
                <w:rFonts w:hint="eastAsia" w:ascii="宋体" w:hAnsi="宋体" w:eastAsia="宋体" w:cs="宋体"/>
                <w:color w:val="auto"/>
                <w:sz w:val="22"/>
                <w:szCs w:val="22"/>
                <w:highlight w:val="none"/>
                <w:lang w:val="en-US" w:eastAsia="zh-CN"/>
              </w:rPr>
              <w:t>4</w:t>
            </w:r>
            <w:r>
              <w:rPr>
                <w:rFonts w:hint="eastAsia" w:ascii="宋体" w:hAnsi="宋体" w:eastAsia="宋体" w:cs="宋体"/>
                <w:color w:val="auto"/>
                <w:sz w:val="22"/>
                <w:szCs w:val="22"/>
                <w:highlight w:val="none"/>
              </w:rPr>
              <w:t>分）</w:t>
            </w:r>
          </w:p>
        </w:tc>
        <w:tc>
          <w:tcPr>
            <w:tcW w:w="716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6970353">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根据投标人提供的应急方案的全面性、针对性、可行性</w:t>
            </w:r>
            <w:r>
              <w:rPr>
                <w:rFonts w:hint="eastAsia" w:ascii="宋体" w:hAnsi="宋体" w:eastAsia="宋体" w:cs="宋体"/>
                <w:color w:val="auto"/>
                <w:sz w:val="22"/>
                <w:szCs w:val="22"/>
                <w:highlight w:val="none"/>
              </w:rPr>
              <w:t>进行综合评分</w:t>
            </w:r>
            <w:r>
              <w:rPr>
                <w:rFonts w:hint="eastAsia" w:ascii="宋体" w:hAnsi="宋体" w:eastAsia="宋体" w:cs="宋体"/>
                <w:color w:val="auto"/>
                <w:sz w:val="22"/>
                <w:szCs w:val="22"/>
                <w:highlight w:val="none"/>
                <w:lang w:val="en-US" w:eastAsia="zh-CN"/>
              </w:rPr>
              <w:t>：</w:t>
            </w:r>
          </w:p>
          <w:p w14:paraId="6D2254DC">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sz w:val="22"/>
                <w:szCs w:val="22"/>
                <w:highlight w:val="none"/>
              </w:rPr>
            </w:pPr>
            <w:r>
              <w:rPr>
                <w:rFonts w:hint="eastAsia" w:ascii="宋体" w:hAnsi="宋体" w:eastAsia="宋体" w:cs="宋体"/>
                <w:sz w:val="22"/>
                <w:szCs w:val="22"/>
                <w:highlight w:val="none"/>
              </w:rPr>
              <w:t>内容详细具体、针对性强、内容完整的得</w:t>
            </w:r>
            <w:r>
              <w:rPr>
                <w:rFonts w:hint="eastAsia" w:ascii="宋体" w:hAnsi="宋体" w:eastAsia="宋体" w:cs="宋体"/>
                <w:sz w:val="22"/>
                <w:szCs w:val="22"/>
                <w:highlight w:val="none"/>
                <w:lang w:val="en-US" w:eastAsia="zh-CN"/>
              </w:rPr>
              <w:t>4</w:t>
            </w:r>
            <w:r>
              <w:rPr>
                <w:rFonts w:hint="eastAsia" w:ascii="宋体" w:hAnsi="宋体" w:eastAsia="宋体" w:cs="宋体"/>
                <w:sz w:val="22"/>
                <w:szCs w:val="22"/>
                <w:highlight w:val="none"/>
              </w:rPr>
              <w:t>分；</w:t>
            </w:r>
          </w:p>
          <w:p w14:paraId="26F771FF">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sz w:val="22"/>
                <w:szCs w:val="22"/>
                <w:highlight w:val="none"/>
                <w:lang w:val="en-US"/>
              </w:rPr>
            </w:pPr>
            <w:r>
              <w:rPr>
                <w:rFonts w:hint="eastAsia" w:ascii="宋体" w:hAnsi="宋体" w:eastAsia="宋体" w:cs="宋体"/>
                <w:sz w:val="22"/>
                <w:szCs w:val="22"/>
                <w:highlight w:val="none"/>
                <w:lang w:val="en-US" w:eastAsia="zh-CN"/>
              </w:rPr>
              <w:t>内容较详细具体、针对性较强、内容较完整的得3分；</w:t>
            </w:r>
          </w:p>
          <w:p w14:paraId="3577013F">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sz w:val="22"/>
                <w:szCs w:val="22"/>
                <w:highlight w:val="none"/>
              </w:rPr>
            </w:pPr>
            <w:r>
              <w:rPr>
                <w:rFonts w:hint="eastAsia" w:ascii="宋体" w:hAnsi="宋体" w:eastAsia="宋体" w:cs="宋体"/>
                <w:sz w:val="22"/>
                <w:szCs w:val="22"/>
                <w:highlight w:val="none"/>
              </w:rPr>
              <w:t>内容基本完整、针对性较强、基本符合要求的得</w:t>
            </w:r>
            <w:r>
              <w:rPr>
                <w:rFonts w:hint="eastAsia" w:ascii="宋体" w:hAnsi="宋体" w:eastAsia="宋体" w:cs="宋体"/>
                <w:sz w:val="22"/>
                <w:szCs w:val="22"/>
                <w:highlight w:val="none"/>
                <w:lang w:val="en-US" w:eastAsia="zh-CN"/>
              </w:rPr>
              <w:t>2</w:t>
            </w:r>
            <w:r>
              <w:rPr>
                <w:rFonts w:hint="eastAsia" w:ascii="宋体" w:hAnsi="宋体" w:eastAsia="宋体" w:cs="宋体"/>
                <w:sz w:val="22"/>
                <w:szCs w:val="22"/>
                <w:highlight w:val="none"/>
              </w:rPr>
              <w:t>分；</w:t>
            </w:r>
          </w:p>
          <w:p w14:paraId="398B3265">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sz w:val="22"/>
                <w:szCs w:val="22"/>
                <w:highlight w:val="none"/>
              </w:rPr>
            </w:pPr>
            <w:r>
              <w:rPr>
                <w:rFonts w:hint="eastAsia" w:ascii="宋体" w:hAnsi="宋体" w:eastAsia="宋体" w:cs="宋体"/>
                <w:sz w:val="22"/>
                <w:szCs w:val="22"/>
                <w:highlight w:val="none"/>
              </w:rPr>
              <w:t>内容一般、基本可行</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lang w:val="en-US" w:eastAsia="zh-CN"/>
              </w:rPr>
              <w:t>存在明显不足</w:t>
            </w:r>
            <w:r>
              <w:rPr>
                <w:rFonts w:hint="eastAsia" w:ascii="宋体" w:hAnsi="宋体" w:eastAsia="宋体" w:cs="宋体"/>
                <w:sz w:val="22"/>
                <w:szCs w:val="22"/>
                <w:highlight w:val="none"/>
              </w:rPr>
              <w:t>的得</w:t>
            </w: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分；</w:t>
            </w:r>
          </w:p>
          <w:p w14:paraId="4FAD6896">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sz w:val="22"/>
                <w:szCs w:val="22"/>
                <w:highlight w:val="none"/>
              </w:rPr>
            </w:pPr>
            <w:r>
              <w:rPr>
                <w:rFonts w:hint="eastAsia" w:ascii="宋体" w:hAnsi="宋体" w:eastAsia="宋体" w:cs="宋体"/>
                <w:sz w:val="22"/>
                <w:szCs w:val="22"/>
                <w:highlight w:val="none"/>
              </w:rPr>
              <w:t>内容较差</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不可行</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lang w:val="en-US" w:eastAsia="zh-CN"/>
              </w:rPr>
              <w:t>存在重大缺陷</w:t>
            </w:r>
            <w:r>
              <w:rPr>
                <w:rFonts w:hint="eastAsia" w:ascii="宋体" w:hAnsi="宋体" w:eastAsia="宋体" w:cs="宋体"/>
                <w:sz w:val="22"/>
                <w:szCs w:val="22"/>
                <w:highlight w:val="none"/>
              </w:rPr>
              <w:t>的得</w:t>
            </w:r>
            <w:r>
              <w:rPr>
                <w:rFonts w:hint="eastAsia" w:ascii="宋体" w:hAnsi="宋体" w:eastAsia="宋体" w:cs="宋体"/>
                <w:sz w:val="22"/>
                <w:szCs w:val="22"/>
                <w:highlight w:val="none"/>
                <w:lang w:val="en-US" w:eastAsia="zh-CN"/>
              </w:rPr>
              <w:t>0</w:t>
            </w:r>
            <w:r>
              <w:rPr>
                <w:rFonts w:hint="eastAsia" w:ascii="宋体" w:hAnsi="宋体" w:eastAsia="宋体" w:cs="宋体"/>
                <w:sz w:val="22"/>
                <w:szCs w:val="22"/>
                <w:highlight w:val="none"/>
              </w:rPr>
              <w:t>分。</w:t>
            </w:r>
          </w:p>
          <w:p w14:paraId="619AD7DB">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0"/>
              <w:jc w:val="both"/>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未提供的不得分。最高得</w:t>
            </w:r>
            <w:r>
              <w:rPr>
                <w:rFonts w:hint="eastAsia" w:ascii="宋体" w:hAnsi="宋体" w:eastAsia="宋体" w:cs="宋体"/>
                <w:color w:val="auto"/>
                <w:sz w:val="22"/>
                <w:szCs w:val="22"/>
                <w:highlight w:val="none"/>
                <w:lang w:val="en-US" w:eastAsia="zh-CN"/>
              </w:rPr>
              <w:t>4</w:t>
            </w:r>
            <w:r>
              <w:rPr>
                <w:rFonts w:hint="eastAsia" w:ascii="宋体" w:hAnsi="宋体" w:eastAsia="宋体" w:cs="宋体"/>
                <w:color w:val="auto"/>
                <w:sz w:val="22"/>
                <w:szCs w:val="22"/>
                <w:highlight w:val="none"/>
              </w:rPr>
              <w:t>分，最低得0分。</w:t>
            </w:r>
          </w:p>
        </w:tc>
      </w:tr>
    </w:tbl>
    <w:p w14:paraId="556787E9">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480" w:firstLineChars="200"/>
        <w:jc w:val="both"/>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2、删去</w:t>
      </w:r>
      <w:r>
        <w:rPr>
          <w:rFonts w:hint="eastAsia" w:ascii="宋体" w:hAnsi="宋体" w:eastAsia="宋体" w:cs="宋体"/>
          <w:color w:val="000000"/>
          <w:sz w:val="24"/>
          <w:szCs w:val="24"/>
        </w:rPr>
        <w:t>高锰酸盐指数水质自动分析仪/氨氮水质自动分析仪/总磷水质自动分析仪/总氮水质自动分析仪</w:t>
      </w:r>
      <w:r>
        <w:rPr>
          <w:rFonts w:hint="eastAsia" w:ascii="宋体" w:hAnsi="宋体" w:eastAsia="宋体" w:cs="宋体"/>
          <w:color w:val="000000"/>
          <w:sz w:val="24"/>
          <w:szCs w:val="24"/>
          <w:lang w:val="en-US" w:eastAsia="zh-CN"/>
        </w:rPr>
        <w:t xml:space="preserve"> </w:t>
      </w:r>
      <w:r>
        <w:rPr>
          <w:rFonts w:hint="eastAsia" w:ascii="宋体" w:hAnsi="宋体" w:eastAsia="宋体" w:cs="宋体"/>
          <w:sz w:val="24"/>
          <w:szCs w:val="24"/>
          <w:highlight w:val="none"/>
          <w:lang w:val="en-US" w:eastAsia="zh-CN"/>
        </w:rPr>
        <w:t>仪表功能5项，改为:</w:t>
      </w:r>
    </w:p>
    <w:p w14:paraId="1D62E980">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480" w:firstLineChars="200"/>
        <w:jc w:val="both"/>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(1)具有自动零点核查、自动跨度核查、自动校零校标功能;</w:t>
      </w:r>
    </w:p>
    <w:p w14:paraId="2949FC2E">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480" w:firstLineChars="200"/>
        <w:jc w:val="both"/>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(2)设备具备对不同测试数据添加维护(M)、故障(D)标定(C)、报警(F)等标识的功能;</w:t>
      </w:r>
    </w:p>
    <w:p w14:paraId="57C06B2B">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480" w:firstLineChars="200"/>
        <w:jc w:val="both"/>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(3)设备具备零部件故障、超量程报警、超标报警、缺试剂报警等功能。</w:t>
      </w:r>
    </w:p>
    <w:p w14:paraId="47C3B253">
      <w:pPr>
        <w:keepNext w:val="0"/>
        <w:keepLines w:val="0"/>
        <w:pageBreakBefore w:val="0"/>
        <w:widowControl/>
        <w:pBdr>
          <w:top w:val="none" w:color="000000" w:sz="0" w:space="0"/>
          <w:left w:val="none" w:color="000000" w:sz="0" w:space="0"/>
          <w:bottom w:val="none" w:color="000000" w:sz="0" w:space="0"/>
          <w:right w:val="none" w:color="000000" w:sz="0" w:space="0"/>
        </w:pBdr>
        <w:shd w:val="clear" w:color="auto"/>
        <w:spacing w:before="0" w:beforeAutospacing="0" w:after="0" w:afterAutospacing="0" w:line="360" w:lineRule="auto"/>
        <w:ind w:left="0" w:right="0" w:firstLine="480" w:firstLineChars="200"/>
        <w:jc w:val="both"/>
        <w:rPr>
          <w:rFonts w:hint="eastAsia" w:ascii="宋体" w:hAnsi="宋体" w:eastAsia="宋体" w:cs="宋体"/>
          <w:sz w:val="24"/>
          <w:szCs w:val="24"/>
          <w:highlight w:val="none"/>
          <w:lang w:val="en-US" w:eastAsia="zh-CN"/>
        </w:rPr>
      </w:pPr>
    </w:p>
    <w:p w14:paraId="24AFEBF9">
      <w:pPr>
        <w:numPr>
          <w:ilvl w:val="0"/>
          <w:numId w:val="2"/>
        </w:numPr>
        <w:rPr>
          <w:rFonts w:hint="eastAsia" w:ascii="宋体" w:hAnsi="宋体" w:cs="宋体"/>
          <w:b/>
          <w:bCs/>
          <w:kern w:val="2"/>
          <w:sz w:val="28"/>
          <w:szCs w:val="28"/>
        </w:rPr>
      </w:pPr>
      <w:r>
        <w:rPr>
          <w:rFonts w:hint="eastAsia" w:ascii="宋体" w:hAnsi="宋体" w:cs="宋体"/>
          <w:b/>
          <w:bCs/>
          <w:kern w:val="2"/>
          <w:sz w:val="28"/>
          <w:szCs w:val="28"/>
        </w:rPr>
        <w:t>其他内容不变。</w:t>
      </w:r>
    </w:p>
    <w:p w14:paraId="2345A198">
      <w:pPr>
        <w:pStyle w:val="4"/>
        <w:numPr>
          <w:ilvl w:val="0"/>
          <w:numId w:val="0"/>
        </w:numPr>
        <w:ind w:right="33" w:rightChars="0"/>
        <w:rPr>
          <w:rFonts w:hint="eastAsia"/>
        </w:rPr>
      </w:pPr>
    </w:p>
    <w:p w14:paraId="015F3099">
      <w:pPr>
        <w:pStyle w:val="4"/>
        <w:numPr>
          <w:ilvl w:val="0"/>
          <w:numId w:val="0"/>
        </w:numPr>
        <w:ind w:right="33" w:rightChars="0"/>
        <w:jc w:val="right"/>
        <w:rPr>
          <w:rFonts w:hint="eastAsia" w:ascii="宋体" w:hAnsi="宋体" w:eastAsia="宋体" w:cs="宋体"/>
          <w:b/>
          <w:bCs/>
          <w:sz w:val="28"/>
          <w:szCs w:val="28"/>
        </w:rPr>
      </w:pPr>
      <w:r>
        <w:rPr>
          <w:rFonts w:hint="eastAsia" w:ascii="宋体" w:hAnsi="宋体" w:eastAsia="宋体" w:cs="宋体"/>
          <w:b/>
          <w:bCs/>
          <w:sz w:val="28"/>
          <w:szCs w:val="28"/>
        </w:rPr>
        <w:t>江苏中瑞建设项目管理有限公司</w:t>
      </w:r>
    </w:p>
    <w:p w14:paraId="6E10DAC3">
      <w:pPr>
        <w:pStyle w:val="4"/>
        <w:numPr>
          <w:ilvl w:val="0"/>
          <w:numId w:val="0"/>
        </w:numPr>
        <w:ind w:right="33" w:rightChars="0"/>
        <w:jc w:val="right"/>
        <w:rPr>
          <w:rFonts w:hint="default" w:ascii="宋体" w:hAnsi="宋体" w:eastAsia="宋体" w:cs="宋体"/>
          <w:b/>
          <w:bCs/>
          <w:sz w:val="30"/>
          <w:szCs w:val="30"/>
          <w:lang w:val="en-US" w:eastAsia="zh-CN"/>
        </w:rPr>
      </w:pPr>
      <w:r>
        <w:rPr>
          <w:rFonts w:hint="eastAsia" w:ascii="宋体" w:hAnsi="宋体" w:eastAsia="宋体" w:cs="宋体"/>
          <w:b/>
          <w:bCs/>
          <w:sz w:val="28"/>
          <w:szCs w:val="28"/>
          <w:lang w:val="en-US" w:eastAsia="zh-CN"/>
        </w:rPr>
        <w:t>2025年4月22日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F"/>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新宋体">
    <w:panose1 w:val="02010609030101010101"/>
    <w:charset w:val="86"/>
    <w:family w:val="auto"/>
    <w:pitch w:val="default"/>
    <w:sig w:usb0="0000020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6651409"/>
    <w:multiLevelType w:val="singleLevel"/>
    <w:tmpl w:val="16651409"/>
    <w:lvl w:ilvl="0" w:tentative="0">
      <w:start w:val="2"/>
      <w:numFmt w:val="chineseCounting"/>
      <w:suff w:val="nothing"/>
      <w:lvlText w:val="%1、"/>
      <w:lvlJc w:val="left"/>
      <w:rPr>
        <w:rFonts w:hint="eastAsia"/>
      </w:rPr>
    </w:lvl>
  </w:abstractNum>
  <w:abstractNum w:abstractNumId="1">
    <w:nsid w:val="792B75FD"/>
    <w:multiLevelType w:val="singleLevel"/>
    <w:tmpl w:val="792B75FD"/>
    <w:lvl w:ilvl="0" w:tentative="0">
      <w:start w:val="2"/>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3640B3D"/>
    <w:rsid w:val="048F7EE8"/>
    <w:rsid w:val="071B28F6"/>
    <w:rsid w:val="088A071D"/>
    <w:rsid w:val="0A5553DD"/>
    <w:rsid w:val="0C7E387A"/>
    <w:rsid w:val="0D511D2F"/>
    <w:rsid w:val="0E3176C7"/>
    <w:rsid w:val="0F767647"/>
    <w:rsid w:val="0FCB5A17"/>
    <w:rsid w:val="116E0A2C"/>
    <w:rsid w:val="176371DE"/>
    <w:rsid w:val="19816A0E"/>
    <w:rsid w:val="19FC41DF"/>
    <w:rsid w:val="1B733913"/>
    <w:rsid w:val="1DCD4F4F"/>
    <w:rsid w:val="1FCB4587"/>
    <w:rsid w:val="208154DB"/>
    <w:rsid w:val="216919F8"/>
    <w:rsid w:val="233E4217"/>
    <w:rsid w:val="23FC58BB"/>
    <w:rsid w:val="246E6B03"/>
    <w:rsid w:val="25F65EA0"/>
    <w:rsid w:val="29095841"/>
    <w:rsid w:val="2A34411C"/>
    <w:rsid w:val="2AAF6BEE"/>
    <w:rsid w:val="2CD26AA6"/>
    <w:rsid w:val="2D43337D"/>
    <w:rsid w:val="2D7328EF"/>
    <w:rsid w:val="2ECA44C6"/>
    <w:rsid w:val="31B21285"/>
    <w:rsid w:val="36727878"/>
    <w:rsid w:val="3A023B78"/>
    <w:rsid w:val="3A8F5472"/>
    <w:rsid w:val="3AA31C05"/>
    <w:rsid w:val="3AC13E88"/>
    <w:rsid w:val="3BEB26A3"/>
    <w:rsid w:val="3E954F57"/>
    <w:rsid w:val="40401F7A"/>
    <w:rsid w:val="40D948EB"/>
    <w:rsid w:val="42F23EC2"/>
    <w:rsid w:val="443F1FF9"/>
    <w:rsid w:val="4AC867EE"/>
    <w:rsid w:val="4B346CEE"/>
    <w:rsid w:val="4EFC6765"/>
    <w:rsid w:val="4F884945"/>
    <w:rsid w:val="503E2B9F"/>
    <w:rsid w:val="50FF480D"/>
    <w:rsid w:val="535773A1"/>
    <w:rsid w:val="55A6430A"/>
    <w:rsid w:val="56477C89"/>
    <w:rsid w:val="59297CC8"/>
    <w:rsid w:val="59DF0F4C"/>
    <w:rsid w:val="5A3C086F"/>
    <w:rsid w:val="5B125A51"/>
    <w:rsid w:val="5B5E6814"/>
    <w:rsid w:val="5BB71341"/>
    <w:rsid w:val="5CEF4994"/>
    <w:rsid w:val="5D560B5F"/>
    <w:rsid w:val="5E6832D7"/>
    <w:rsid w:val="5EBA46DF"/>
    <w:rsid w:val="5EC7676C"/>
    <w:rsid w:val="65F96058"/>
    <w:rsid w:val="66C31ADB"/>
    <w:rsid w:val="692063B2"/>
    <w:rsid w:val="693F018E"/>
    <w:rsid w:val="6A2633FF"/>
    <w:rsid w:val="6B7D41F7"/>
    <w:rsid w:val="6C6A698C"/>
    <w:rsid w:val="6D193C70"/>
    <w:rsid w:val="6D840E33"/>
    <w:rsid w:val="6D8825F4"/>
    <w:rsid w:val="703C47B8"/>
    <w:rsid w:val="713B338E"/>
    <w:rsid w:val="74F73BE4"/>
    <w:rsid w:val="777A7295"/>
    <w:rsid w:val="783F48F4"/>
    <w:rsid w:val="79144F31"/>
    <w:rsid w:val="799A63AB"/>
    <w:rsid w:val="79D34741"/>
    <w:rsid w:val="7A6148F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9">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Body Text"/>
    <w:basedOn w:val="1"/>
    <w:qFormat/>
    <w:uiPriority w:val="1"/>
    <w:pPr>
      <w:spacing w:after="120"/>
    </w:pPr>
  </w:style>
  <w:style w:type="paragraph" w:styleId="4">
    <w:name w:val="Block Text"/>
    <w:basedOn w:val="1"/>
    <w:unhideWhenUsed/>
    <w:qFormat/>
    <w:uiPriority w:val="0"/>
    <w:pPr>
      <w:ind w:left="420" w:right="33"/>
    </w:pPr>
    <w:rPr>
      <w:sz w:val="24"/>
    </w:rPr>
  </w:style>
  <w:style w:type="paragraph" w:styleId="5">
    <w:name w:val="footer"/>
    <w:basedOn w:val="1"/>
    <w:unhideWhenUsed/>
    <w:qFormat/>
    <w:uiPriority w:val="99"/>
    <w:pPr>
      <w:tabs>
        <w:tab w:val="center" w:pos="7143"/>
        <w:tab w:val="right" w:pos="14287"/>
      </w:tabs>
      <w:spacing w:after="0" w:line="240" w:lineRule="auto"/>
    </w:pPr>
  </w:style>
  <w:style w:type="paragraph" w:styleId="6">
    <w:name w:val="Normal (Web)"/>
    <w:basedOn w:val="1"/>
    <w:qFormat/>
    <w:uiPriority w:val="0"/>
    <w:pPr>
      <w:spacing w:beforeAutospacing="1" w:afterAutospacing="1"/>
      <w:jc w:val="left"/>
    </w:pPr>
    <w:rPr>
      <w:rFonts w:cs="Times New Roman"/>
      <w:kern w:val="0"/>
      <w:sz w:val="24"/>
    </w:rPr>
  </w:style>
  <w:style w:type="table" w:styleId="8">
    <w:name w:val="Table Grid"/>
    <w:basedOn w:val="7"/>
    <w:qFormat/>
    <w:uiPriority w:val="5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10">
    <w:name w:val="Strong"/>
    <w:basedOn w:val="9"/>
    <w:qFormat/>
    <w:uiPriority w:val="0"/>
    <w:rPr>
      <w:b/>
    </w:rPr>
  </w:style>
  <w:style w:type="paragraph" w:customStyle="1" w:styleId="11">
    <w:name w:val="文本块11"/>
    <w:basedOn w:val="12"/>
    <w:unhideWhenUsed/>
    <w:qFormat/>
    <w:uiPriority w:val="6"/>
    <w:pPr>
      <w:spacing w:after="120"/>
      <w:ind w:left="1440" w:right="1440"/>
    </w:pPr>
  </w:style>
  <w:style w:type="paragraph" w:customStyle="1" w:styleId="12">
    <w:name w:val="正文12"/>
    <w:next w:val="13"/>
    <w:qFormat/>
    <w:uiPriority w:val="0"/>
    <w:pPr>
      <w:widowControl w:val="0"/>
      <w:spacing w:line="360" w:lineRule="auto"/>
      <w:ind w:firstLine="723"/>
      <w:jc w:val="both"/>
    </w:pPr>
    <w:rPr>
      <w:rFonts w:ascii="Times New Roman" w:hAnsi="Times New Roman" w:eastAsia="宋体" w:cs="Times New Roman"/>
      <w:sz w:val="24"/>
      <w:szCs w:val="24"/>
      <w:lang w:val="en-US" w:eastAsia="zh-CN" w:bidi="ar-SA"/>
    </w:rPr>
  </w:style>
  <w:style w:type="paragraph" w:customStyle="1" w:styleId="13">
    <w:name w:val="正文文本111"/>
    <w:basedOn w:val="12"/>
    <w:next w:val="12"/>
    <w:qFormat/>
    <w:uiPriority w:val="0"/>
  </w:style>
  <w:style w:type="paragraph" w:customStyle="1" w:styleId="14">
    <w:name w:val="正文1"/>
    <w:basedOn w:val="15"/>
    <w:next w:val="17"/>
    <w:qFormat/>
    <w:uiPriority w:val="0"/>
  </w:style>
  <w:style w:type="paragraph" w:customStyle="1" w:styleId="15">
    <w:name w:val="正文111"/>
    <w:next w:val="16"/>
    <w:qFormat/>
    <w:uiPriority w:val="0"/>
    <w:pPr>
      <w:widowControl w:val="0"/>
      <w:jc w:val="both"/>
    </w:pPr>
    <w:rPr>
      <w:rFonts w:hint="default" w:ascii="Times New Roman" w:hAnsi="Times New Roman" w:eastAsia="宋体" w:cs="Times New Roman"/>
      <w:sz w:val="21"/>
      <w:szCs w:val="24"/>
    </w:rPr>
  </w:style>
  <w:style w:type="paragraph" w:customStyle="1" w:styleId="16">
    <w:name w:val="目录 111"/>
    <w:basedOn w:val="12"/>
    <w:next w:val="1"/>
    <w:qFormat/>
    <w:uiPriority w:val="0"/>
  </w:style>
  <w:style w:type="paragraph" w:customStyle="1" w:styleId="17">
    <w:name w:val="目录 11"/>
    <w:basedOn w:val="18"/>
    <w:next w:val="12"/>
    <w:qFormat/>
    <w:uiPriority w:val="0"/>
    <w:pPr>
      <w:widowControl/>
      <w:spacing w:after="100" w:line="259" w:lineRule="auto"/>
      <w:jc w:val="left"/>
    </w:pPr>
    <w:rPr>
      <w:rFonts w:ascii="Calibri" w:hAnsi="Calibri" w:eastAsia="宋体"/>
      <w:sz w:val="22"/>
      <w:szCs w:val="22"/>
    </w:rPr>
  </w:style>
  <w:style w:type="paragraph" w:customStyle="1" w:styleId="18">
    <w:name w:val="正文11"/>
    <w:next w:val="19"/>
    <w:qFormat/>
    <w:uiPriority w:val="0"/>
    <w:pPr>
      <w:widowControl w:val="0"/>
      <w:jc w:val="both"/>
    </w:pPr>
    <w:rPr>
      <w:rFonts w:hint="default" w:ascii="Times New Roman" w:hAnsi="Times New Roman" w:eastAsia="宋体" w:cs="Times New Roman"/>
      <w:sz w:val="21"/>
      <w:szCs w:val="24"/>
      <w:lang w:val="en-US" w:eastAsia="zh-CN" w:bidi="ar-SA"/>
    </w:rPr>
  </w:style>
  <w:style w:type="paragraph" w:customStyle="1" w:styleId="19">
    <w:name w:val="正文首行缩进 21"/>
    <w:basedOn w:val="20"/>
    <w:next w:val="1"/>
    <w:qFormat/>
    <w:uiPriority w:val="0"/>
    <w:pPr>
      <w:spacing w:line="357" w:lineRule="atLeast"/>
      <w:ind w:firstLine="420"/>
    </w:pPr>
    <w:rPr>
      <w:color w:val="000000"/>
      <w:sz w:val="20"/>
      <w:szCs w:val="20"/>
    </w:rPr>
  </w:style>
  <w:style w:type="paragraph" w:customStyle="1" w:styleId="20">
    <w:name w:val="正文文本缩进1"/>
    <w:basedOn w:val="18"/>
    <w:next w:val="21"/>
    <w:qFormat/>
    <w:uiPriority w:val="0"/>
    <w:pPr>
      <w:spacing w:after="120"/>
      <w:ind w:left="420"/>
    </w:pPr>
    <w:rPr>
      <w:rFonts w:ascii="Calibri" w:hAnsi="Calibri"/>
    </w:rPr>
  </w:style>
  <w:style w:type="paragraph" w:customStyle="1" w:styleId="21">
    <w:name w:val="寄信人地址1"/>
    <w:basedOn w:val="18"/>
    <w:qFormat/>
    <w:uiPriority w:val="0"/>
    <w:rPr>
      <w:rFonts w:ascii="Arial" w:hAnsi="Arial"/>
    </w:rPr>
  </w:style>
  <w:style w:type="paragraph" w:customStyle="1" w:styleId="22">
    <w:name w:val="页脚1"/>
    <w:basedOn w:val="1"/>
    <w:qFormat/>
    <w:uiPriority w:val="0"/>
    <w:pPr>
      <w:tabs>
        <w:tab w:val="center" w:pos="4153"/>
        <w:tab w:val="right" w:pos="8306"/>
      </w:tabs>
      <w:jc w:val="left"/>
    </w:pPr>
    <w:rPr>
      <w:sz w:val="18"/>
    </w:rPr>
  </w:style>
  <w:style w:type="character" w:customStyle="1" w:styleId="23">
    <w:name w:val="标题 1 Char"/>
    <w:link w:val="24"/>
    <w:qFormat/>
    <w:uiPriority w:val="0"/>
    <w:rPr>
      <w:rFonts w:eastAsia="新宋体"/>
      <w:b/>
      <w:bCs/>
      <w:sz w:val="30"/>
      <w:szCs w:val="44"/>
    </w:rPr>
  </w:style>
  <w:style w:type="paragraph" w:customStyle="1" w:styleId="24">
    <w:name w:val="标题 11"/>
    <w:basedOn w:val="12"/>
    <w:next w:val="12"/>
    <w:link w:val="23"/>
    <w:qFormat/>
    <w:uiPriority w:val="0"/>
    <w:pPr>
      <w:keepNext/>
      <w:keepLines/>
      <w:spacing w:line="578" w:lineRule="auto"/>
      <w:jc w:val="center"/>
      <w:outlineLvl w:val="0"/>
    </w:pPr>
    <w:rPr>
      <w:rFonts w:eastAsia="新宋体"/>
      <w:b/>
      <w:bCs/>
      <w:sz w:val="30"/>
      <w:szCs w:val="4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Kingsoft</Company>
  <Pages>9</Pages>
  <Words>6101</Words>
  <Characters>6276</Characters>
  <Lines>0</Lines>
  <Paragraphs>0</Paragraphs>
  <TotalTime>1</TotalTime>
  <ScaleCrop>false</ScaleCrop>
  <LinksUpToDate>false</LinksUpToDate>
  <CharactersWithSpaces>6281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2022-04-13T03:48:00Z</dcterms:created>
  <dc:creator>ADMIN</dc:creator>
  <cp:lastModifiedBy>Bao</cp:lastModifiedBy>
  <dcterms:modified xsi:type="dcterms:W3CDTF">2025-04-22T05:54:17Z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E07397A058C848919258FC100123A7E9_13</vt:lpwstr>
  </property>
  <property fmtid="{D5CDD505-2E9C-101B-9397-08002B2CF9AE}" pid="4" name="KSOTemplateDocerSaveRecord">
    <vt:lpwstr>eyJoZGlkIjoiNWEzMzg0MzRlNjNhOWQ0ZTgyMGNjZmU1YjBmOTNmOGYiLCJ1c2VySWQiOiI1NDM0NTI2NzAifQ==</vt:lpwstr>
  </property>
</Properties>
</file>