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75159">
      <w:pPr>
        <w:rPr>
          <w:rFonts w:ascii="宋体" w:hAnsi="宋体" w:cs="宋体"/>
          <w:color w:val="auto"/>
          <w:sz w:val="36"/>
          <w:highlight w:val="none"/>
        </w:rPr>
      </w:pPr>
      <w:bookmarkStart w:id="0" w:name="_Toc369077541"/>
      <w:bookmarkStart w:id="1" w:name="_Toc363326675"/>
      <w:bookmarkStart w:id="2" w:name="_Toc368759509"/>
    </w:p>
    <w:p w14:paraId="3521C8B9">
      <w:pPr>
        <w:pStyle w:val="25"/>
        <w:ind w:left="1260"/>
        <w:rPr>
          <w:rFonts w:hAnsi="宋体" w:cs="宋体"/>
          <w:color w:val="auto"/>
          <w:sz w:val="36"/>
          <w:highlight w:val="none"/>
        </w:rPr>
      </w:pPr>
    </w:p>
    <w:p w14:paraId="334FFA4D">
      <w:pPr>
        <w:rPr>
          <w:rFonts w:ascii="宋体" w:hAnsi="宋体" w:cs="宋体"/>
          <w:color w:val="auto"/>
          <w:sz w:val="36"/>
          <w:highlight w:val="none"/>
        </w:rPr>
      </w:pPr>
    </w:p>
    <w:p w14:paraId="67C0D972">
      <w:pPr>
        <w:pStyle w:val="25"/>
        <w:ind w:left="1260"/>
        <w:rPr>
          <w:color w:val="auto"/>
          <w:highlight w:val="none"/>
        </w:rPr>
      </w:pPr>
    </w:p>
    <w:p w14:paraId="2EA7E19B">
      <w:pPr>
        <w:jc w:val="center"/>
        <w:rPr>
          <w:rFonts w:ascii="宋体" w:hAnsi="宋体" w:cs="宋体"/>
          <w:b/>
          <w:color w:val="auto"/>
          <w:sz w:val="84"/>
          <w:highlight w:val="none"/>
        </w:rPr>
      </w:pPr>
      <w:r>
        <w:rPr>
          <w:rFonts w:hint="eastAsia" w:ascii="宋体" w:hAnsi="宋体" w:cs="宋体"/>
          <w:bCs/>
          <w:color w:val="auto"/>
          <w:sz w:val="84"/>
          <w:highlight w:val="none"/>
        </w:rPr>
        <w:t>招 标 文 件</w:t>
      </w:r>
    </w:p>
    <w:p w14:paraId="001B6FCC">
      <w:pPr>
        <w:rPr>
          <w:rFonts w:ascii="宋体" w:hAnsi="宋体" w:cs="宋体"/>
          <w:b/>
          <w:color w:val="auto"/>
          <w:sz w:val="32"/>
          <w:highlight w:val="none"/>
        </w:rPr>
      </w:pPr>
    </w:p>
    <w:p w14:paraId="37D274D3">
      <w:pPr>
        <w:jc w:val="center"/>
        <w:rPr>
          <w:rFonts w:ascii="宋体" w:hAnsi="宋体" w:cs="宋体"/>
          <w:b/>
          <w:color w:val="auto"/>
          <w:sz w:val="32"/>
          <w:highlight w:val="none"/>
        </w:rPr>
      </w:pPr>
    </w:p>
    <w:p w14:paraId="5ADF563A">
      <w:pPr>
        <w:jc w:val="center"/>
        <w:rPr>
          <w:rFonts w:ascii="宋体" w:hAnsi="宋体" w:cs="宋体"/>
          <w:b/>
          <w:color w:val="auto"/>
          <w:sz w:val="32"/>
          <w:highlight w:val="none"/>
        </w:rPr>
      </w:pPr>
    </w:p>
    <w:p w14:paraId="189C436C">
      <w:pPr>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项目编号：</w:t>
      </w:r>
      <w:r>
        <w:rPr>
          <w:rFonts w:ascii="宋体" w:hAnsi="宋体" w:cs="宋体"/>
          <w:b/>
          <w:color w:val="auto"/>
          <w:sz w:val="36"/>
          <w:highlight w:val="none"/>
        </w:rPr>
        <w:t xml:space="preserve"> </w:t>
      </w:r>
      <w:r>
        <w:rPr>
          <w:rFonts w:hint="eastAsia" w:ascii="宋体" w:hAnsi="宋体" w:cs="宋体"/>
          <w:b/>
          <w:color w:val="auto"/>
          <w:sz w:val="36"/>
          <w:highlight w:val="none"/>
          <w:lang w:eastAsia="zh-CN"/>
        </w:rPr>
        <w:t>JSZC-320904-JSYF-G2025-0009</w:t>
      </w:r>
    </w:p>
    <w:p w14:paraId="43D0BC39">
      <w:pPr>
        <w:rPr>
          <w:rFonts w:ascii="宋体" w:hAnsi="宋体" w:cs="宋体"/>
          <w:b/>
          <w:color w:val="auto"/>
          <w:sz w:val="36"/>
          <w:szCs w:val="36"/>
          <w:highlight w:val="none"/>
        </w:rPr>
      </w:pPr>
    </w:p>
    <w:p w14:paraId="62F33C72">
      <w:pPr>
        <w:jc w:val="center"/>
        <w:rPr>
          <w:rFonts w:hint="eastAsia" w:ascii="宋体" w:hAnsi="宋体" w:eastAsia="宋体" w:cs="宋体"/>
          <w:b/>
          <w:color w:val="auto"/>
          <w:sz w:val="36"/>
          <w:szCs w:val="36"/>
          <w:highlight w:val="none"/>
          <w:lang w:eastAsia="zh-CN"/>
        </w:rPr>
      </w:pPr>
      <w:r>
        <w:rPr>
          <w:rFonts w:hint="eastAsia" w:ascii="宋体" w:hAnsi="宋体" w:cs="宋体"/>
          <w:b/>
          <w:color w:val="auto"/>
          <w:sz w:val="36"/>
          <w:szCs w:val="36"/>
          <w:highlight w:val="none"/>
        </w:rPr>
        <w:t>项目名称：</w:t>
      </w:r>
      <w:r>
        <w:rPr>
          <w:rFonts w:hint="eastAsia" w:ascii="宋体" w:hAnsi="宋体" w:cs="宋体"/>
          <w:b/>
          <w:color w:val="auto"/>
          <w:sz w:val="36"/>
          <w:szCs w:val="36"/>
          <w:highlight w:val="none"/>
          <w:lang w:eastAsia="zh-CN"/>
        </w:rPr>
        <w:t>盐城市大丰区垃圾处理厂2025年飞灰填埋第三方服务项目</w:t>
      </w:r>
    </w:p>
    <w:p w14:paraId="22126894">
      <w:pPr>
        <w:ind w:firstLine="2244" w:firstLineChars="745"/>
        <w:rPr>
          <w:rFonts w:ascii="宋体" w:hAnsi="宋体" w:cs="宋体"/>
          <w:b/>
          <w:color w:val="auto"/>
          <w:sz w:val="30"/>
          <w:szCs w:val="30"/>
          <w:highlight w:val="none"/>
        </w:rPr>
      </w:pPr>
    </w:p>
    <w:p w14:paraId="22B7B8DE">
      <w:pPr>
        <w:rPr>
          <w:rFonts w:ascii="宋体" w:hAnsi="宋体" w:cs="宋体"/>
          <w:b/>
          <w:color w:val="auto"/>
          <w:sz w:val="32"/>
          <w:highlight w:val="none"/>
        </w:rPr>
      </w:pPr>
    </w:p>
    <w:p w14:paraId="4F0CD827">
      <w:pPr>
        <w:rPr>
          <w:rFonts w:ascii="宋体" w:hAnsi="宋体" w:cs="宋体"/>
          <w:b/>
          <w:color w:val="auto"/>
          <w:sz w:val="32"/>
          <w:highlight w:val="none"/>
        </w:rPr>
      </w:pPr>
    </w:p>
    <w:p w14:paraId="7C719A1C">
      <w:pPr>
        <w:pStyle w:val="52"/>
        <w:rPr>
          <w:rFonts w:cs="宋体"/>
          <w:color w:val="auto"/>
          <w:highlight w:val="none"/>
        </w:rPr>
      </w:pPr>
    </w:p>
    <w:p w14:paraId="28637353">
      <w:pPr>
        <w:pStyle w:val="14"/>
        <w:rPr>
          <w:color w:val="auto"/>
          <w:highlight w:val="none"/>
        </w:rPr>
      </w:pPr>
    </w:p>
    <w:p w14:paraId="72F0DFF1">
      <w:pPr>
        <w:pStyle w:val="14"/>
        <w:rPr>
          <w:color w:val="auto"/>
          <w:highlight w:val="none"/>
        </w:rPr>
      </w:pPr>
    </w:p>
    <w:p w14:paraId="46EF62A1">
      <w:pPr>
        <w:pStyle w:val="14"/>
        <w:rPr>
          <w:color w:val="auto"/>
          <w:highlight w:val="none"/>
        </w:rPr>
      </w:pPr>
    </w:p>
    <w:p w14:paraId="0AA3501C">
      <w:pPr>
        <w:pStyle w:val="14"/>
        <w:rPr>
          <w:color w:val="auto"/>
          <w:highlight w:val="none"/>
        </w:rPr>
      </w:pPr>
    </w:p>
    <w:p w14:paraId="01871025">
      <w:pPr>
        <w:pStyle w:val="14"/>
        <w:rPr>
          <w:color w:val="auto"/>
          <w:highlight w:val="none"/>
        </w:rPr>
      </w:pPr>
    </w:p>
    <w:p w14:paraId="05779A02">
      <w:pPr>
        <w:rPr>
          <w:rFonts w:ascii="宋体" w:hAnsi="宋体" w:cs="宋体"/>
          <w:b/>
          <w:color w:val="auto"/>
          <w:sz w:val="32"/>
          <w:highlight w:val="none"/>
        </w:rPr>
      </w:pPr>
    </w:p>
    <w:p w14:paraId="261FCF77">
      <w:pPr>
        <w:spacing w:before="120" w:after="120" w:line="700" w:lineRule="exact"/>
        <w:jc w:val="center"/>
        <w:rPr>
          <w:rFonts w:hint="eastAsia" w:ascii="宋体" w:hAnsi="宋体" w:cs="宋体"/>
          <w:bCs/>
          <w:color w:val="auto"/>
          <w:sz w:val="36"/>
          <w:szCs w:val="36"/>
          <w:highlight w:val="none"/>
          <w:lang w:eastAsia="zh-CN"/>
        </w:rPr>
      </w:pPr>
      <w:r>
        <w:rPr>
          <w:rFonts w:hint="eastAsia" w:ascii="宋体" w:hAnsi="宋体" w:cs="宋体"/>
          <w:bCs/>
          <w:color w:val="auto"/>
          <w:sz w:val="36"/>
          <w:szCs w:val="36"/>
          <w:highlight w:val="none"/>
          <w:lang w:eastAsia="zh-CN"/>
        </w:rPr>
        <w:t>盐城市大丰区环境卫生管理处</w:t>
      </w:r>
    </w:p>
    <w:p w14:paraId="6061AE81">
      <w:pPr>
        <w:spacing w:before="120" w:after="120" w:line="700" w:lineRule="exact"/>
        <w:jc w:val="center"/>
        <w:rPr>
          <w:rFonts w:ascii="宋体" w:hAnsi="宋体" w:cs="宋体"/>
          <w:bCs/>
          <w:color w:val="auto"/>
          <w:sz w:val="36"/>
          <w:szCs w:val="36"/>
          <w:highlight w:val="none"/>
        </w:rPr>
      </w:pPr>
      <w:r>
        <w:rPr>
          <w:rFonts w:hint="eastAsia" w:ascii="宋体" w:hAnsi="宋体" w:cs="宋体"/>
          <w:bCs/>
          <w:color w:val="auto"/>
          <w:sz w:val="36"/>
          <w:szCs w:val="36"/>
          <w:highlight w:val="none"/>
        </w:rPr>
        <w:t>江苏昱丰华项目管理有限公司</w:t>
      </w:r>
    </w:p>
    <w:p w14:paraId="1498F696">
      <w:pPr>
        <w:tabs>
          <w:tab w:val="left" w:pos="7560"/>
        </w:tabs>
        <w:spacing w:line="800" w:lineRule="exact"/>
        <w:jc w:val="center"/>
        <w:rPr>
          <w:rFonts w:ascii="宋体" w:hAnsi="宋体" w:cs="宋体"/>
          <w:color w:val="auto"/>
          <w:sz w:val="36"/>
          <w:szCs w:val="36"/>
          <w:highlight w:val="none"/>
        </w:rPr>
      </w:pPr>
      <w:r>
        <w:rPr>
          <w:rFonts w:hint="eastAsia" w:ascii="宋体" w:hAnsi="宋体" w:cs="宋体"/>
          <w:color w:val="auto"/>
          <w:sz w:val="36"/>
          <w:szCs w:val="36"/>
          <w:highlight w:val="none"/>
        </w:rPr>
        <w:t>202</w:t>
      </w:r>
      <w:r>
        <w:rPr>
          <w:rFonts w:ascii="宋体" w:hAnsi="宋体" w:cs="宋体"/>
          <w:color w:val="auto"/>
          <w:sz w:val="36"/>
          <w:szCs w:val="36"/>
          <w:highlight w:val="none"/>
        </w:rPr>
        <w:t>5</w:t>
      </w:r>
      <w:r>
        <w:rPr>
          <w:rFonts w:hint="eastAsia" w:ascii="宋体" w:hAnsi="宋体" w:cs="宋体"/>
          <w:color w:val="auto"/>
          <w:sz w:val="36"/>
          <w:szCs w:val="36"/>
          <w:highlight w:val="none"/>
        </w:rPr>
        <w:t>年</w:t>
      </w:r>
      <w:r>
        <w:rPr>
          <w:rFonts w:hint="eastAsia" w:ascii="宋体" w:hAnsi="宋体" w:cs="宋体"/>
          <w:color w:val="auto"/>
          <w:sz w:val="36"/>
          <w:szCs w:val="36"/>
          <w:highlight w:val="none"/>
          <w:lang w:val="en-US" w:eastAsia="zh-CN"/>
        </w:rPr>
        <w:t>4</w:t>
      </w:r>
      <w:r>
        <w:rPr>
          <w:rFonts w:hint="eastAsia" w:ascii="宋体" w:hAnsi="宋体" w:cs="宋体"/>
          <w:color w:val="auto"/>
          <w:sz w:val="36"/>
          <w:szCs w:val="36"/>
          <w:highlight w:val="none"/>
        </w:rPr>
        <w:t>月</w:t>
      </w:r>
    </w:p>
    <w:p w14:paraId="5A5306AB">
      <w:pPr>
        <w:tabs>
          <w:tab w:val="left" w:pos="7560"/>
        </w:tabs>
        <w:spacing w:line="800" w:lineRule="exact"/>
        <w:rPr>
          <w:rFonts w:ascii="宋体" w:hAnsi="宋体" w:cs="宋体"/>
          <w:color w:val="auto"/>
          <w:sz w:val="36"/>
          <w:szCs w:val="36"/>
          <w:highlight w:val="none"/>
        </w:rPr>
      </w:pPr>
    </w:p>
    <w:bookmarkEnd w:id="0"/>
    <w:bookmarkEnd w:id="1"/>
    <w:bookmarkEnd w:id="2"/>
    <w:p w14:paraId="327EF3F3">
      <w:pPr>
        <w:pStyle w:val="3"/>
        <w:spacing w:before="0" w:after="0" w:line="360" w:lineRule="auto"/>
        <w:rPr>
          <w:rFonts w:ascii="宋体" w:hAnsi="宋体" w:cs="宋体"/>
          <w:color w:val="auto"/>
          <w:sz w:val="40"/>
          <w:szCs w:val="40"/>
          <w:highlight w:val="none"/>
        </w:rPr>
        <w:sectPr>
          <w:pgSz w:w="11906" w:h="16838"/>
          <w:pgMar w:top="1440" w:right="1080" w:bottom="1440" w:left="1080" w:header="851" w:footer="992" w:gutter="0"/>
          <w:cols w:space="425" w:num="1"/>
          <w:docGrid w:linePitch="360" w:charSpace="0"/>
        </w:sectPr>
      </w:pPr>
      <w:bookmarkStart w:id="3" w:name="OLE_LINK2"/>
      <w:bookmarkStart w:id="4" w:name="OLE_LINK1"/>
      <w:bookmarkStart w:id="5" w:name="_Toc369077550"/>
      <w:bookmarkStart w:id="6" w:name="_Toc368759511"/>
      <w:bookmarkStart w:id="7" w:name="_Toc508216877"/>
      <w:bookmarkStart w:id="8" w:name="OLE_LINK5"/>
      <w:bookmarkStart w:id="9" w:name="OLE_LINK6"/>
      <w:bookmarkStart w:id="10" w:name="OLE_LINK4"/>
      <w:bookmarkStart w:id="11" w:name="OLE_LINK3"/>
    </w:p>
    <w:bookmarkEnd w:id="3"/>
    <w:bookmarkEnd w:id="4"/>
    <w:bookmarkEnd w:id="5"/>
    <w:bookmarkEnd w:id="6"/>
    <w:bookmarkEnd w:id="7"/>
    <w:bookmarkEnd w:id="8"/>
    <w:bookmarkEnd w:id="9"/>
    <w:bookmarkEnd w:id="10"/>
    <w:bookmarkEnd w:id="11"/>
    <w:p w14:paraId="7016C784">
      <w:pPr>
        <w:pStyle w:val="3"/>
        <w:spacing w:before="0" w:after="0" w:line="360" w:lineRule="auto"/>
        <w:rPr>
          <w:rFonts w:hint="eastAsia" w:ascii="宋体" w:hAnsi="宋体" w:eastAsia="宋体" w:cs="宋体"/>
          <w:color w:val="auto"/>
          <w:highlight w:val="none"/>
        </w:rPr>
      </w:pPr>
      <w:bookmarkStart w:id="12" w:name="_Toc35393621"/>
      <w:bookmarkStart w:id="13" w:name="_Toc28359079"/>
      <w:bookmarkStart w:id="14" w:name="_Toc28359002"/>
      <w:bookmarkStart w:id="15" w:name="_Toc35393790"/>
      <w:bookmarkStart w:id="16" w:name="_Hlk24379207"/>
      <w:bookmarkStart w:id="17" w:name="_Toc387526373"/>
      <w:bookmarkStart w:id="18" w:name="_Toc184635069"/>
      <w:bookmarkStart w:id="19" w:name="_Toc387526281"/>
      <w:bookmarkStart w:id="20" w:name="_Toc363326679"/>
      <w:bookmarkStart w:id="21" w:name="_Toc368759512"/>
      <w:bookmarkStart w:id="22" w:name="_Toc369077558"/>
      <w:bookmarkStart w:id="23" w:name="_Toc387526177"/>
      <w:bookmarkStart w:id="24" w:name="_Toc508216878"/>
      <w:bookmarkStart w:id="25" w:name="_Toc6770"/>
      <w:bookmarkStart w:id="26" w:name="_Toc397928547"/>
      <w:r>
        <w:rPr>
          <w:rFonts w:hint="eastAsia" w:ascii="宋体" w:hAnsi="宋体" w:eastAsia="宋体" w:cs="宋体"/>
          <w:color w:val="auto"/>
          <w:highlight w:val="none"/>
        </w:rPr>
        <w:t>第一章 招标公告</w:t>
      </w:r>
    </w:p>
    <w:p w14:paraId="3F96C9B9">
      <w:pPr>
        <w:spacing w:line="500" w:lineRule="exact"/>
        <w:ind w:firstLine="482"/>
        <w:rPr>
          <w:rFonts w:hint="eastAsia" w:ascii="宋体" w:hAnsi="宋体" w:cs="宋体"/>
          <w:b w:val="0"/>
          <w:bCs w:val="0"/>
          <w:color w:val="auto"/>
          <w:sz w:val="24"/>
          <w:szCs w:val="24"/>
          <w:highlight w:val="none"/>
        </w:rPr>
      </w:pPr>
      <w:r>
        <w:rPr>
          <w:rFonts w:hint="eastAsia" w:ascii="宋体" w:hAnsi="宋体" w:cs="宋体"/>
          <w:b/>
          <w:bCs/>
          <w:color w:val="auto"/>
          <w:sz w:val="24"/>
          <w:szCs w:val="24"/>
          <w:highlight w:val="none"/>
        </w:rPr>
        <w:t>项目概况：</w:t>
      </w:r>
      <w:r>
        <w:rPr>
          <w:rFonts w:hint="eastAsia" w:ascii="宋体" w:hAnsi="宋体" w:cs="宋体"/>
          <w:b w:val="0"/>
          <w:bCs w:val="0"/>
          <w:color w:val="auto"/>
          <w:sz w:val="24"/>
          <w:szCs w:val="24"/>
          <w:highlight w:val="none"/>
        </w:rPr>
        <w:t>盐城市大丰区垃圾处理厂2025年飞灰填埋第三方服务项目 JSZC-320904-JSYF-G2025-0009 招标项目的潜在投标人应在“苏采云”系统内免费下载（投标人必须在苏采云系统中获取采购文件，方能参与政府采购项目） 获取招标文件，并于2025-04-29 10:00（北京时间）前递交投标文件。</w:t>
      </w:r>
    </w:p>
    <w:p w14:paraId="7610F8B4">
      <w:pPr>
        <w:pStyle w:val="3"/>
        <w:keepLines w:val="0"/>
        <w:pageBreakBefore w:val="0"/>
        <w:tabs>
          <w:tab w:val="left" w:pos="0"/>
          <w:tab w:val="left" w:pos="3165"/>
          <w:tab w:val="center" w:pos="4153"/>
        </w:tabs>
        <w:spacing w:line="500" w:lineRule="exact"/>
        <w:ind w:firstLine="48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bookmarkEnd w:id="12"/>
      <w:bookmarkEnd w:id="13"/>
      <w:bookmarkEnd w:id="14"/>
      <w:bookmarkEnd w:id="15"/>
    </w:p>
    <w:bookmarkEnd w:id="16"/>
    <w:p w14:paraId="4041F3F5">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bookmarkStart w:id="27" w:name="_Toc35393622"/>
      <w:bookmarkStart w:id="28" w:name="_Toc28359003"/>
      <w:bookmarkStart w:id="29" w:name="_Toc35393791"/>
      <w:bookmarkStart w:id="30" w:name="_Toc28359080"/>
      <w:bookmarkStart w:id="31" w:name="_Toc35393793"/>
      <w:bookmarkStart w:id="32" w:name="_Toc28359005"/>
      <w:bookmarkStart w:id="33" w:name="_Toc28359082"/>
      <w:bookmarkStart w:id="34" w:name="_Toc35393624"/>
      <w:r>
        <w:rPr>
          <w:rFonts w:hint="eastAsia" w:ascii="宋体" w:hAnsi="宋体" w:cs="宋体"/>
          <w:color w:val="auto"/>
          <w:sz w:val="24"/>
          <w:highlight w:val="none"/>
        </w:rPr>
        <w:t>（1）项目编号：</w:t>
      </w:r>
      <w:r>
        <w:rPr>
          <w:rFonts w:hint="eastAsia" w:ascii="宋体" w:hAnsi="宋体" w:cs="宋体"/>
          <w:color w:val="auto"/>
          <w:sz w:val="24"/>
          <w:highlight w:val="none"/>
          <w:lang w:eastAsia="zh-CN"/>
        </w:rPr>
        <w:t>JSZC-320904-JSYF-G2025-0009</w:t>
      </w:r>
      <w:r>
        <w:rPr>
          <w:rFonts w:ascii="宋体" w:hAnsi="宋体" w:cs="宋体"/>
          <w:color w:val="auto"/>
          <w:sz w:val="24"/>
          <w:highlight w:val="none"/>
        </w:rPr>
        <w:t xml:space="preserve">          </w:t>
      </w:r>
      <w:r>
        <w:rPr>
          <w:rFonts w:hint="eastAsia" w:ascii="宋体" w:hAnsi="宋体" w:cs="宋体"/>
          <w:color w:val="auto"/>
          <w:sz w:val="24"/>
          <w:highlight w:val="none"/>
        </w:rPr>
        <w:t xml:space="preserve"> </w:t>
      </w:r>
    </w:p>
    <w:p w14:paraId="573F718F">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（2）项目名称：</w:t>
      </w:r>
      <w:r>
        <w:rPr>
          <w:rFonts w:hint="eastAsia" w:ascii="宋体" w:hAnsi="宋体" w:cs="宋体"/>
          <w:color w:val="auto"/>
          <w:sz w:val="24"/>
          <w:szCs w:val="24"/>
          <w:highlight w:val="none"/>
          <w:u w:val="single"/>
          <w:lang w:eastAsia="zh-CN"/>
        </w:rPr>
        <w:t>盐城市大丰区垃圾处理厂2025年飞灰填埋第三方服务项目</w:t>
      </w:r>
    </w:p>
    <w:p w14:paraId="7B7253D5">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（3）预算金额：</w:t>
      </w:r>
      <w:r>
        <w:rPr>
          <w:rFonts w:hint="eastAsia" w:ascii="宋体" w:hAnsi="宋体" w:cs="宋体"/>
          <w:color w:val="auto"/>
          <w:sz w:val="24"/>
          <w:highlight w:val="none"/>
          <w:lang w:val="en-US" w:eastAsia="zh-CN"/>
        </w:rPr>
        <w:t>188.156</w:t>
      </w:r>
      <w:r>
        <w:rPr>
          <w:rFonts w:hint="eastAsia" w:ascii="宋体" w:hAnsi="宋体" w:cs="宋体"/>
          <w:color w:val="auto"/>
          <w:sz w:val="24"/>
          <w:highlight w:val="none"/>
        </w:rPr>
        <w:t>万元，本项目共分三个包，其中分包一的预算金额：</w:t>
      </w:r>
      <w:r>
        <w:rPr>
          <w:rFonts w:hint="eastAsia" w:ascii="宋体" w:hAnsi="宋体" w:cs="宋体"/>
          <w:color w:val="auto"/>
          <w:sz w:val="24"/>
          <w:highlight w:val="none"/>
          <w:lang w:val="en-US" w:eastAsia="zh-CN"/>
        </w:rPr>
        <w:t>122.156</w:t>
      </w:r>
      <w:r>
        <w:rPr>
          <w:rFonts w:hint="eastAsia" w:ascii="宋体" w:hAnsi="宋体" w:cs="宋体"/>
          <w:color w:val="auto"/>
          <w:sz w:val="24"/>
          <w:highlight w:val="none"/>
        </w:rPr>
        <w:t>万元；分包二的预算金额：</w:t>
      </w:r>
      <w:r>
        <w:rPr>
          <w:rFonts w:hint="eastAsia" w:ascii="宋体" w:hAnsi="宋体" w:cs="宋体"/>
          <w:color w:val="auto"/>
          <w:sz w:val="24"/>
          <w:highlight w:val="none"/>
          <w:lang w:val="en-US" w:eastAsia="zh-CN"/>
        </w:rPr>
        <w:t>36</w:t>
      </w:r>
      <w:r>
        <w:rPr>
          <w:rFonts w:hint="eastAsia" w:ascii="宋体" w:hAnsi="宋体" w:cs="宋体"/>
          <w:color w:val="auto"/>
          <w:sz w:val="24"/>
          <w:highlight w:val="none"/>
        </w:rPr>
        <w:t>万元；分包三的预算金额：</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万元。</w:t>
      </w:r>
    </w:p>
    <w:p w14:paraId="2326F878">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（4）最高限价：</w:t>
      </w:r>
      <w:r>
        <w:rPr>
          <w:rFonts w:hint="eastAsia" w:ascii="宋体" w:hAnsi="宋体"/>
          <w:color w:val="auto"/>
          <w:sz w:val="24"/>
          <w:highlight w:val="none"/>
        </w:rPr>
        <w:t>分包一</w:t>
      </w:r>
      <w:r>
        <w:rPr>
          <w:rFonts w:hint="eastAsia" w:ascii="宋体" w:hAnsi="宋体" w:cs="宋体"/>
          <w:color w:val="auto"/>
          <w:sz w:val="24"/>
          <w:highlight w:val="none"/>
        </w:rPr>
        <w:t>的最高限价：</w:t>
      </w:r>
      <w:r>
        <w:rPr>
          <w:rFonts w:hint="eastAsia" w:ascii="宋体" w:hAnsi="宋体" w:cs="宋体"/>
          <w:color w:val="auto"/>
          <w:sz w:val="24"/>
          <w:highlight w:val="none"/>
          <w:lang w:val="en-US" w:eastAsia="zh-CN"/>
        </w:rPr>
        <w:t>122.156</w:t>
      </w:r>
      <w:r>
        <w:rPr>
          <w:rFonts w:hint="eastAsia" w:ascii="宋体" w:hAnsi="宋体" w:cs="宋体"/>
          <w:color w:val="auto"/>
          <w:sz w:val="24"/>
          <w:highlight w:val="none"/>
        </w:rPr>
        <w:t>万元；</w:t>
      </w:r>
      <w:r>
        <w:rPr>
          <w:rFonts w:hint="eastAsia" w:ascii="宋体" w:hAnsi="宋体"/>
          <w:color w:val="auto"/>
          <w:sz w:val="24"/>
          <w:highlight w:val="none"/>
        </w:rPr>
        <w:t>分包二</w:t>
      </w:r>
      <w:r>
        <w:rPr>
          <w:rFonts w:hint="eastAsia" w:ascii="宋体" w:hAnsi="宋体" w:cs="宋体"/>
          <w:color w:val="auto"/>
          <w:sz w:val="24"/>
          <w:highlight w:val="none"/>
        </w:rPr>
        <w:t>的最高限价：</w:t>
      </w:r>
      <w:r>
        <w:rPr>
          <w:rFonts w:hint="eastAsia" w:ascii="宋体" w:hAnsi="宋体" w:cs="宋体"/>
          <w:color w:val="auto"/>
          <w:sz w:val="24"/>
          <w:highlight w:val="none"/>
          <w:lang w:val="en-US" w:eastAsia="zh-CN"/>
        </w:rPr>
        <w:t>36</w:t>
      </w:r>
      <w:r>
        <w:rPr>
          <w:rFonts w:hint="eastAsia" w:ascii="宋体" w:hAnsi="宋体" w:cs="宋体"/>
          <w:color w:val="auto"/>
          <w:sz w:val="24"/>
          <w:highlight w:val="none"/>
        </w:rPr>
        <w:t>万元；</w:t>
      </w:r>
      <w:r>
        <w:rPr>
          <w:rFonts w:hint="eastAsia" w:ascii="宋体" w:hAnsi="宋体"/>
          <w:color w:val="auto"/>
          <w:sz w:val="24"/>
          <w:highlight w:val="none"/>
        </w:rPr>
        <w:t>分包三</w:t>
      </w:r>
      <w:r>
        <w:rPr>
          <w:rFonts w:hint="eastAsia" w:ascii="宋体" w:hAnsi="宋体" w:cs="宋体"/>
          <w:color w:val="auto"/>
          <w:sz w:val="24"/>
          <w:highlight w:val="none"/>
        </w:rPr>
        <w:t>的最高限价：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万元。</w:t>
      </w:r>
    </w:p>
    <w:p w14:paraId="6E0F99BC">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（5）采购需求：</w:t>
      </w:r>
    </w:p>
    <w:p w14:paraId="13B3C174">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olor w:val="auto"/>
          <w:sz w:val="24"/>
          <w:highlight w:val="none"/>
        </w:rPr>
        <w:t>分包一</w:t>
      </w:r>
      <w:r>
        <w:rPr>
          <w:rFonts w:hint="eastAsia" w:ascii="宋体" w:hAnsi="宋体" w:cs="宋体"/>
          <w:color w:val="auto"/>
          <w:sz w:val="24"/>
          <w:highlight w:val="none"/>
        </w:rPr>
        <w:t>：</w:t>
      </w:r>
      <w:r>
        <w:rPr>
          <w:rFonts w:hint="eastAsia" w:ascii="宋体" w:hAnsi="宋体" w:cs="宋体"/>
          <w:color w:val="auto"/>
          <w:sz w:val="24"/>
          <w:highlight w:val="none"/>
          <w:lang w:eastAsia="zh-CN"/>
        </w:rPr>
        <w:t>生活垃圾（飞灰）填埋</w:t>
      </w:r>
      <w:r>
        <w:rPr>
          <w:rFonts w:hint="eastAsia" w:ascii="宋体" w:hAnsi="宋体"/>
          <w:color w:val="auto"/>
          <w:sz w:val="24"/>
          <w:highlight w:val="none"/>
        </w:rPr>
        <w:t>，数量：</w:t>
      </w:r>
      <w:r>
        <w:rPr>
          <w:rFonts w:hint="eastAsia" w:ascii="宋体" w:hAnsi="宋体"/>
          <w:color w:val="auto"/>
          <w:sz w:val="24"/>
          <w:highlight w:val="none"/>
          <w:lang w:val="en-US" w:eastAsia="zh-CN"/>
        </w:rPr>
        <w:t xml:space="preserve">1项 </w:t>
      </w:r>
      <w:r>
        <w:rPr>
          <w:rFonts w:hint="eastAsia" w:ascii="宋体" w:hAnsi="宋体"/>
          <w:color w:val="auto"/>
          <w:sz w:val="24"/>
          <w:highlight w:val="none"/>
        </w:rPr>
        <w:t>。详细内容见本招标文件第四章</w:t>
      </w:r>
      <w:r>
        <w:rPr>
          <w:rFonts w:hint="eastAsia" w:ascii="宋体" w:hAnsi="宋体" w:cs="宋体"/>
          <w:color w:val="auto"/>
          <w:sz w:val="24"/>
          <w:highlight w:val="none"/>
        </w:rPr>
        <w:t>。</w:t>
      </w:r>
    </w:p>
    <w:p w14:paraId="290CE56E">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olor w:val="auto"/>
          <w:sz w:val="24"/>
          <w:highlight w:val="none"/>
        </w:rPr>
        <w:t>分包二</w:t>
      </w:r>
      <w:r>
        <w:rPr>
          <w:rFonts w:hint="eastAsia" w:ascii="宋体" w:hAnsi="宋体" w:cs="宋体"/>
          <w:color w:val="auto"/>
          <w:sz w:val="24"/>
          <w:highlight w:val="none"/>
        </w:rPr>
        <w:t>：</w:t>
      </w:r>
      <w:r>
        <w:rPr>
          <w:rFonts w:hint="eastAsia" w:ascii="宋体" w:hAnsi="宋体"/>
          <w:color w:val="auto"/>
          <w:sz w:val="24"/>
          <w:highlight w:val="none"/>
          <w:lang w:val="en-US" w:eastAsia="zh-CN"/>
        </w:rPr>
        <w:t>HDPE膜</w:t>
      </w:r>
      <w:r>
        <w:rPr>
          <w:rFonts w:hint="eastAsia" w:ascii="宋体" w:hAnsi="宋体"/>
          <w:color w:val="auto"/>
          <w:sz w:val="24"/>
          <w:highlight w:val="none"/>
        </w:rPr>
        <w:t>，数量：</w:t>
      </w:r>
      <w:r>
        <w:rPr>
          <w:rFonts w:ascii="宋体" w:hAnsi="宋体"/>
          <w:color w:val="auto"/>
          <w:sz w:val="24"/>
          <w:highlight w:val="none"/>
        </w:rPr>
        <w:t>1</w:t>
      </w:r>
      <w:r>
        <w:rPr>
          <w:rFonts w:hint="eastAsia" w:ascii="宋体" w:hAnsi="宋体"/>
          <w:color w:val="auto"/>
          <w:sz w:val="24"/>
          <w:highlight w:val="none"/>
          <w:lang w:val="en-US" w:eastAsia="zh-CN"/>
        </w:rPr>
        <w:t>项</w:t>
      </w:r>
      <w:r>
        <w:rPr>
          <w:rFonts w:hint="eastAsia" w:ascii="宋体" w:hAnsi="宋体"/>
          <w:color w:val="auto"/>
          <w:sz w:val="24"/>
          <w:highlight w:val="none"/>
        </w:rPr>
        <w:t>。详细内容见本招标文件第四章</w:t>
      </w:r>
      <w:r>
        <w:rPr>
          <w:rFonts w:hint="eastAsia" w:ascii="宋体" w:hAnsi="宋体" w:cs="宋体"/>
          <w:color w:val="auto"/>
          <w:sz w:val="24"/>
          <w:highlight w:val="none"/>
        </w:rPr>
        <w:t>。</w:t>
      </w:r>
    </w:p>
    <w:p w14:paraId="5FC9A912">
      <w:pPr>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olor w:val="auto"/>
          <w:sz w:val="24"/>
          <w:highlight w:val="none"/>
        </w:rPr>
        <w:t>分包三</w:t>
      </w:r>
      <w:r>
        <w:rPr>
          <w:rFonts w:hint="eastAsia" w:ascii="宋体" w:hAnsi="宋体" w:cs="宋体"/>
          <w:color w:val="auto"/>
          <w:sz w:val="24"/>
          <w:highlight w:val="none"/>
        </w:rPr>
        <w:t>：</w:t>
      </w:r>
      <w:r>
        <w:rPr>
          <w:rFonts w:hint="eastAsia" w:ascii="宋体" w:hAnsi="宋体"/>
          <w:color w:val="auto"/>
          <w:sz w:val="24"/>
          <w:highlight w:val="none"/>
          <w:lang w:val="en-US" w:eastAsia="zh-CN"/>
        </w:rPr>
        <w:t>检测</w:t>
      </w:r>
      <w:r>
        <w:rPr>
          <w:rFonts w:hint="eastAsia" w:ascii="宋体" w:hAnsi="宋体"/>
          <w:color w:val="auto"/>
          <w:sz w:val="24"/>
          <w:highlight w:val="none"/>
        </w:rPr>
        <w:t>，数量：</w:t>
      </w:r>
      <w:r>
        <w:rPr>
          <w:rFonts w:hint="eastAsia" w:ascii="宋体" w:hAnsi="宋体"/>
          <w:color w:val="auto"/>
          <w:sz w:val="24"/>
          <w:highlight w:val="none"/>
          <w:lang w:val="en-US" w:eastAsia="zh-CN"/>
        </w:rPr>
        <w:t>1项</w:t>
      </w:r>
      <w:r>
        <w:rPr>
          <w:rFonts w:hint="eastAsia" w:ascii="宋体" w:hAnsi="宋体"/>
          <w:color w:val="auto"/>
          <w:sz w:val="24"/>
          <w:highlight w:val="none"/>
        </w:rPr>
        <w:t>。详细内容见本招标文件第四章</w:t>
      </w:r>
      <w:r>
        <w:rPr>
          <w:rFonts w:hint="eastAsia" w:ascii="宋体" w:hAnsi="宋体" w:cs="宋体"/>
          <w:color w:val="auto"/>
          <w:sz w:val="24"/>
          <w:highlight w:val="none"/>
        </w:rPr>
        <w:t>。</w:t>
      </w:r>
    </w:p>
    <w:p w14:paraId="32F6F81E">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zh-CN"/>
        </w:rPr>
        <w:t>服务期要求：一年</w:t>
      </w:r>
      <w:r>
        <w:rPr>
          <w:rFonts w:hint="eastAsia" w:ascii="宋体" w:hAnsi="宋体" w:cs="宋体"/>
          <w:color w:val="auto"/>
          <w:sz w:val="24"/>
          <w:highlight w:val="none"/>
        </w:rPr>
        <w:t>。</w:t>
      </w:r>
    </w:p>
    <w:p w14:paraId="14152D2A">
      <w:pPr>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w:t>
      </w:r>
      <w:bookmarkStart w:id="35" w:name="OLE_LINK8"/>
      <w:r>
        <w:rPr>
          <w:rFonts w:hint="eastAsia" w:ascii="宋体" w:hAnsi="宋体" w:cs="宋体"/>
          <w:color w:val="auto"/>
          <w:sz w:val="24"/>
          <w:highlight w:val="none"/>
        </w:rPr>
        <w:t>本项目不接受联合体投标</w:t>
      </w:r>
      <w:bookmarkEnd w:id="35"/>
      <w:r>
        <w:rPr>
          <w:rFonts w:hint="eastAsia" w:ascii="宋体" w:hAnsi="宋体" w:cs="宋体"/>
          <w:color w:val="auto"/>
          <w:sz w:val="24"/>
          <w:highlight w:val="none"/>
        </w:rPr>
        <w:t>。</w:t>
      </w:r>
    </w:p>
    <w:bookmarkEnd w:id="27"/>
    <w:bookmarkEnd w:id="28"/>
    <w:bookmarkEnd w:id="29"/>
    <w:bookmarkEnd w:id="30"/>
    <w:p w14:paraId="7A3F632B">
      <w:pPr>
        <w:pageBreakBefore w:val="0"/>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highlight w:val="none"/>
        </w:rPr>
      </w:pPr>
      <w:bookmarkStart w:id="36" w:name="_Toc35393792"/>
      <w:bookmarkStart w:id="37" w:name="_Toc35393623"/>
      <w:r>
        <w:rPr>
          <w:rFonts w:hint="eastAsia" w:ascii="宋体" w:hAnsi="宋体" w:cs="宋体"/>
          <w:b/>
          <w:bCs/>
          <w:color w:val="auto"/>
          <w:sz w:val="24"/>
          <w:highlight w:val="none"/>
        </w:rPr>
        <w:t>二、申请人的资格要求：</w:t>
      </w:r>
    </w:p>
    <w:p w14:paraId="2A689FA2">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1、满足《中华人民共和国政府采购法》第二十二条规定，并提供下列资料：</w:t>
      </w:r>
    </w:p>
    <w:p w14:paraId="5633F99F">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1.1 法人或者其他组织的营业执照等证明文件，自然人的身份证明；</w:t>
      </w:r>
    </w:p>
    <w:p w14:paraId="1DA9E317">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1.2上一年度的财务状况报表（成立不满一年无需提供）；</w:t>
      </w:r>
    </w:p>
    <w:p w14:paraId="49218109">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1.3具备履行合同所必需的设备和专业技术能力的书面声明；</w:t>
      </w:r>
    </w:p>
    <w:p w14:paraId="795D6598">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1.4依法缴纳税收和社会保障资金的相关材料（提供提交响应文件截止时间前一年内至少一个月依法缴纳税收及缴纳社会保障资金的证明材料。供应商依法享受缓缴、免缴税收、社会保障资金的提供证明材料。）；</w:t>
      </w:r>
    </w:p>
    <w:p w14:paraId="65E55D92">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1.5参加政府采购活动前3年内在经营活动中没有重大违法记录的书面声明。</w:t>
      </w:r>
    </w:p>
    <w:p w14:paraId="16317149">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1.6法律、行政法规规定的其他条件。</w:t>
      </w:r>
    </w:p>
    <w:p w14:paraId="531BB051">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1.7在“信用中国”网站查询，无被列入失信被执行人、重大税收违法案件当事人名单、政府采购严重失信行为记录名单及其他不符合《中华人民共和国政府采购法》第二十二条规定条件的信用记录。（响应文件中无需提供证明材料）</w:t>
      </w:r>
    </w:p>
    <w:p w14:paraId="45D36462">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1.8单位负责人为同一人或者存在直接控股、管理关系的不同供应商，不得参加同一合同项下的政府采购活动。</w:t>
      </w:r>
    </w:p>
    <w:p w14:paraId="7E125F45">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2、落实政府采购政策需满足的资格要求：无。</w:t>
      </w:r>
    </w:p>
    <w:p w14:paraId="2A64C6D2">
      <w:pPr>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本项目的</w:t>
      </w:r>
      <w:r>
        <w:rPr>
          <w:rFonts w:hint="eastAsia" w:ascii="宋体" w:hAnsi="宋体" w:cs="宋体"/>
          <w:color w:val="auto"/>
          <w:sz w:val="24"/>
          <w:highlight w:val="none"/>
        </w:rPr>
        <w:t>特定资格要求：</w:t>
      </w:r>
    </w:p>
    <w:p w14:paraId="61F429DC">
      <w:pPr>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分包一/分包二/：无</w:t>
      </w:r>
    </w:p>
    <w:p w14:paraId="0AD99300">
      <w:pPr>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分包三：</w:t>
      </w:r>
      <w:r>
        <w:rPr>
          <w:rFonts w:hint="eastAsia" w:ascii="宋体" w:hAnsi="宋体" w:cs="宋体"/>
          <w:color w:val="auto"/>
          <w:sz w:val="24"/>
          <w:highlight w:val="none"/>
          <w:lang w:bidi="ar"/>
        </w:rPr>
        <w:t>投标人具有</w:t>
      </w:r>
      <w:r>
        <w:rPr>
          <w:rFonts w:hint="eastAsia" w:ascii="宋体" w:hAnsi="宋体"/>
          <w:color w:val="auto"/>
          <w:sz w:val="24"/>
          <w:highlight w:val="none"/>
        </w:rPr>
        <w:t>国家认证认可监督管理部门计量认证合格或通过各省《资质认定计量认证证书》</w:t>
      </w:r>
      <w:r>
        <w:rPr>
          <w:rFonts w:hint="eastAsia" w:ascii="宋体" w:hAnsi="宋体" w:cs="宋体"/>
          <w:color w:val="auto"/>
          <w:sz w:val="24"/>
          <w:highlight w:val="none"/>
          <w:lang w:bidi="ar"/>
        </w:rPr>
        <w:t>CMA证书（CMA证书须在有效期内）</w:t>
      </w:r>
      <w:bookmarkStart w:id="199" w:name="_GoBack"/>
      <w:bookmarkEnd w:id="199"/>
      <w:r>
        <w:rPr>
          <w:rFonts w:hint="eastAsia" w:ascii="宋体" w:hAnsi="宋体" w:cs="宋体"/>
          <w:color w:val="auto"/>
          <w:sz w:val="24"/>
          <w:highlight w:val="none"/>
          <w:lang w:bidi="ar"/>
        </w:rPr>
        <w:t>。</w:t>
      </w:r>
    </w:p>
    <w:p w14:paraId="71DF1638">
      <w:pPr>
        <w:pStyle w:val="3"/>
        <w:keepLines w:val="0"/>
        <w:pageBreakBefore w:val="0"/>
        <w:tabs>
          <w:tab w:val="left" w:pos="0"/>
          <w:tab w:val="left" w:pos="3165"/>
          <w:tab w:val="center" w:pos="4153"/>
        </w:tabs>
        <w:spacing w:line="500" w:lineRule="exact"/>
        <w:ind w:firstLine="482"/>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三、获取招标文件</w:t>
      </w:r>
      <w:bookmarkEnd w:id="36"/>
      <w:bookmarkEnd w:id="37"/>
    </w:p>
    <w:p w14:paraId="48E8242E">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exac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时间：自招标文件公告发布之日起5个工作日。 </w:t>
      </w:r>
    </w:p>
    <w:p w14:paraId="329EF6C5">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exac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地点：</w:t>
      </w:r>
      <w:r>
        <w:rPr>
          <w:rFonts w:hint="eastAsia" w:ascii="宋体" w:hAnsi="宋体" w:cs="宋体"/>
          <w:i w:val="0"/>
          <w:iCs w:val="0"/>
          <w:caps w:val="0"/>
          <w:color w:val="auto"/>
          <w:spacing w:val="0"/>
          <w:sz w:val="24"/>
          <w:szCs w:val="24"/>
          <w:highlight w:val="none"/>
          <w:shd w:val="clear" w:color="auto" w:fill="FFFFFF"/>
          <w:lang w:eastAsia="zh-CN"/>
        </w:rPr>
        <w:t xml:space="preserve">“苏采云”系统内免费下载（投标人必须在苏采云系统中获取采购文件，方能参与政府采购项目）； </w:t>
      </w:r>
      <w:r>
        <w:rPr>
          <w:rFonts w:hint="eastAsia" w:ascii="宋体" w:hAnsi="宋体" w:eastAsia="宋体" w:cs="宋体"/>
          <w:i w:val="0"/>
          <w:iCs w:val="0"/>
          <w:caps w:val="0"/>
          <w:color w:val="auto"/>
          <w:spacing w:val="0"/>
          <w:sz w:val="24"/>
          <w:szCs w:val="24"/>
          <w:highlight w:val="none"/>
          <w:shd w:val="clear" w:color="auto" w:fill="FFFFFF"/>
        </w:rPr>
        <w:t> </w:t>
      </w:r>
    </w:p>
    <w:p w14:paraId="360370C3">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exact"/>
        <w:ind w:left="0" w:right="0" w:firstLine="480"/>
        <w:jc w:val="left"/>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方式：</w:t>
      </w:r>
      <w:r>
        <w:rPr>
          <w:rFonts w:hint="eastAsia" w:ascii="宋体" w:hAnsi="宋体" w:cs="宋体"/>
          <w:color w:val="auto"/>
          <w:sz w:val="24"/>
          <w:szCs w:val="24"/>
          <w:highlight w:val="none"/>
        </w:rPr>
        <w:t>网上注册登记成功后</w:t>
      </w:r>
      <w:r>
        <w:rPr>
          <w:rFonts w:hint="eastAsia" w:ascii="宋体" w:hAnsi="宋体" w:cs="宋体"/>
          <w:color w:val="auto"/>
          <w:sz w:val="24"/>
          <w:szCs w:val="24"/>
          <w:highlight w:val="none"/>
          <w:lang w:eastAsia="zh-CN"/>
        </w:rPr>
        <w:t>“</w:t>
      </w:r>
      <w:r>
        <w:rPr>
          <w:rFonts w:hint="eastAsia" w:ascii="宋体" w:hAnsi="宋体" w:cs="宋体"/>
          <w:i w:val="0"/>
          <w:iCs w:val="0"/>
          <w:caps w:val="0"/>
          <w:color w:val="auto"/>
          <w:spacing w:val="0"/>
          <w:sz w:val="24"/>
          <w:szCs w:val="24"/>
          <w:highlight w:val="none"/>
          <w:shd w:val="clear" w:color="auto" w:fill="FFFFFF"/>
          <w:lang w:eastAsia="zh-CN"/>
        </w:rPr>
        <w:t>苏采云”系统内免费下载</w:t>
      </w:r>
      <w:r>
        <w:rPr>
          <w:rFonts w:hint="eastAsia" w:ascii="宋体" w:hAnsi="宋体" w:eastAsia="宋体" w:cs="宋体"/>
          <w:i w:val="0"/>
          <w:iCs w:val="0"/>
          <w:caps w:val="0"/>
          <w:color w:val="auto"/>
          <w:spacing w:val="0"/>
          <w:sz w:val="24"/>
          <w:szCs w:val="24"/>
          <w:highlight w:val="none"/>
          <w:shd w:val="clear" w:color="auto" w:fill="FFFFFF"/>
        </w:rPr>
        <w:t>。 </w:t>
      </w:r>
    </w:p>
    <w:p w14:paraId="46286D8E">
      <w:pPr>
        <w:pBdr>
          <w:top w:val="none" w:color="000000" w:sz="0" w:space="0"/>
          <w:left w:val="none" w:color="000000" w:sz="0" w:space="0"/>
          <w:bottom w:val="none" w:color="000000" w:sz="0" w:space="0"/>
          <w:right w:val="none" w:color="000000" w:sz="0" w:space="0"/>
        </w:pBdr>
        <w:spacing w:before="0" w:after="0"/>
        <w:ind w:left="0" w:right="0" w:firstLine="0"/>
        <w:jc w:val="both"/>
        <w:rPr>
          <w:color w:val="auto"/>
          <w:highlight w:val="none"/>
        </w:rPr>
      </w:pPr>
      <w:r>
        <w:rPr>
          <w:rFonts w:ascii="宋体" w:hAnsi="宋体" w:eastAsia="宋体" w:cs="宋体"/>
          <w:color w:val="auto"/>
          <w:sz w:val="24"/>
          <w:highlight w:val="none"/>
        </w:rPr>
        <w:t xml:space="preserve">    售价：</w:t>
      </w:r>
      <w:r>
        <w:rPr>
          <w:rFonts w:ascii="Times New Roman" w:hAnsi="Times New Roman" w:eastAsia="Times New Roman" w:cs="Times New Roman"/>
          <w:color w:val="auto"/>
          <w:sz w:val="24"/>
          <w:highlight w:val="none"/>
        </w:rPr>
        <w:t>0</w:t>
      </w:r>
      <w:r>
        <w:rPr>
          <w:rFonts w:ascii="宋体" w:hAnsi="宋体" w:eastAsia="宋体" w:cs="宋体"/>
          <w:color w:val="auto"/>
          <w:sz w:val="24"/>
          <w:highlight w:val="none"/>
        </w:rPr>
        <w:t>元</w:t>
      </w:r>
    </w:p>
    <w:p w14:paraId="45AC10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2"/>
        <w:jc w:val="left"/>
        <w:rPr>
          <w:rFonts w:hint="eastAsia" w:ascii="宋体" w:hAnsi="宋体" w:eastAsia="宋体" w:cs="宋体"/>
          <w:color w:val="auto"/>
          <w:sz w:val="24"/>
          <w:szCs w:val="24"/>
          <w:highlight w:val="none"/>
        </w:rPr>
      </w:pPr>
      <w:r>
        <w:rPr>
          <w:rStyle w:val="56"/>
          <w:rFonts w:hint="eastAsia" w:ascii="宋体" w:hAnsi="宋体" w:eastAsia="宋体" w:cs="宋体"/>
          <w:b/>
          <w:bCs/>
          <w:i w:val="0"/>
          <w:iCs w:val="0"/>
          <w:caps w:val="0"/>
          <w:color w:val="auto"/>
          <w:spacing w:val="0"/>
          <w:sz w:val="24"/>
          <w:szCs w:val="24"/>
          <w:highlight w:val="none"/>
          <w:shd w:val="clear" w:color="auto" w:fill="FFFFFF"/>
        </w:rPr>
        <w:t>四、提交投标文件截止时间、开标时间和地点</w:t>
      </w:r>
    </w:p>
    <w:p w14:paraId="3FDF64A5">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jc w:val="left"/>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rPr>
        <w:t>202</w:t>
      </w: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rPr>
        <w:t>年</w:t>
      </w:r>
      <w:r>
        <w:rPr>
          <w:rFonts w:hint="eastAsia" w:cs="宋体"/>
          <w:b w:val="0"/>
          <w:bCs w:val="0"/>
          <w:color w:val="auto"/>
          <w:sz w:val="24"/>
          <w:szCs w:val="24"/>
          <w:highlight w:val="none"/>
          <w:lang w:val="en-US" w:eastAsia="zh-CN"/>
        </w:rPr>
        <w:t>4</w:t>
      </w:r>
      <w:r>
        <w:rPr>
          <w:rFonts w:hint="eastAsia" w:ascii="宋体" w:hAnsi="宋体" w:cs="宋体"/>
          <w:b w:val="0"/>
          <w:bCs w:val="0"/>
          <w:color w:val="auto"/>
          <w:sz w:val="24"/>
          <w:szCs w:val="24"/>
          <w:highlight w:val="none"/>
          <w:lang w:eastAsia="zh-CN"/>
        </w:rPr>
        <w:t>月</w:t>
      </w:r>
      <w:r>
        <w:rPr>
          <w:rFonts w:hint="eastAsia" w:cs="宋体"/>
          <w:b/>
          <w:bCs/>
          <w:i w:val="0"/>
          <w:iCs w:val="0"/>
          <w:caps w:val="0"/>
          <w:color w:val="auto"/>
          <w:spacing w:val="0"/>
          <w:sz w:val="24"/>
          <w:szCs w:val="24"/>
          <w:highlight w:val="none"/>
          <w:shd w:val="clear" w:color="auto" w:fill="FFFFFF"/>
          <w:lang w:val="en-US" w:eastAsia="zh-CN"/>
        </w:rPr>
        <w:t>29</w:t>
      </w:r>
      <w:r>
        <w:rPr>
          <w:rFonts w:hint="eastAsia" w:ascii="宋体" w:hAnsi="宋体" w:cs="宋体"/>
          <w:b/>
          <w:bCs/>
          <w:i w:val="0"/>
          <w:iCs w:val="0"/>
          <w:caps w:val="0"/>
          <w:color w:val="auto"/>
          <w:spacing w:val="0"/>
          <w:sz w:val="24"/>
          <w:szCs w:val="24"/>
          <w:highlight w:val="none"/>
          <w:shd w:val="clear" w:color="auto" w:fill="FFFFFF"/>
          <w:lang w:val="en-US" w:eastAsia="zh-CN"/>
        </w:rPr>
        <w:t>日</w:t>
      </w:r>
      <w:r>
        <w:rPr>
          <w:rFonts w:hint="eastAsia" w:cs="宋体"/>
          <w:b/>
          <w:bCs/>
          <w:i w:val="0"/>
          <w:iCs w:val="0"/>
          <w:caps w:val="0"/>
          <w:color w:val="auto"/>
          <w:spacing w:val="0"/>
          <w:sz w:val="24"/>
          <w:szCs w:val="24"/>
          <w:highlight w:val="none"/>
          <w:shd w:val="clear" w:color="auto" w:fill="FFFFFF"/>
          <w:lang w:val="en-US" w:eastAsia="zh-CN"/>
        </w:rPr>
        <w:t>10</w:t>
      </w:r>
      <w:r>
        <w:rPr>
          <w:rFonts w:hint="eastAsia" w:ascii="宋体" w:hAnsi="宋体" w:cs="宋体"/>
          <w:b/>
          <w:bCs/>
          <w:i w:val="0"/>
          <w:iCs w:val="0"/>
          <w:caps w:val="0"/>
          <w:color w:val="auto"/>
          <w:spacing w:val="0"/>
          <w:sz w:val="24"/>
          <w:szCs w:val="24"/>
          <w:highlight w:val="none"/>
          <w:shd w:val="clear" w:color="auto" w:fill="FFFFFF"/>
          <w:lang w:val="en-US" w:eastAsia="zh-CN"/>
        </w:rPr>
        <w:t>时00分</w:t>
      </w:r>
      <w:r>
        <w:rPr>
          <w:rFonts w:hint="eastAsia" w:ascii="宋体" w:hAnsi="宋体" w:eastAsia="宋体" w:cs="宋体"/>
          <w:i w:val="0"/>
          <w:iCs w:val="0"/>
          <w:caps w:val="0"/>
          <w:color w:val="auto"/>
          <w:spacing w:val="0"/>
          <w:sz w:val="24"/>
          <w:szCs w:val="24"/>
          <w:highlight w:val="none"/>
          <w:shd w:val="clear" w:color="auto" w:fill="FFFFFF"/>
        </w:rPr>
        <w:t>（北京时间）</w:t>
      </w:r>
    </w:p>
    <w:p w14:paraId="745F1E39">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0"/>
        <w:jc w:val="left"/>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color="auto" w:fill="FFFFFF"/>
        </w:rPr>
        <w:t>地点：</w:t>
      </w:r>
      <w:r>
        <w:rPr>
          <w:rFonts w:hint="eastAsia" w:ascii="宋体" w:hAnsi="宋体"/>
          <w:bCs/>
          <w:color w:val="auto"/>
          <w:sz w:val="24"/>
          <w:highlight w:val="none"/>
        </w:rPr>
        <w:t>“苏采云”系统（网址：http://jszfcg.jsczt.cn/）“开标大厅”</w:t>
      </w:r>
      <w:r>
        <w:rPr>
          <w:rFonts w:hint="eastAsia" w:ascii="宋体" w:hAnsi="宋体"/>
          <w:bCs/>
          <w:color w:val="auto"/>
          <w:sz w:val="24"/>
          <w:highlight w:val="none"/>
          <w:lang w:eastAsia="zh-CN"/>
        </w:rPr>
        <w:t>。</w:t>
      </w:r>
      <w:r>
        <w:rPr>
          <w:rFonts w:hint="eastAsia" w:ascii="宋体" w:hAnsi="宋体" w:eastAsia="宋体" w:cs="宋体"/>
          <w:i w:val="0"/>
          <w:iCs w:val="0"/>
          <w:caps w:val="0"/>
          <w:color w:val="auto"/>
          <w:spacing w:val="0"/>
          <w:sz w:val="24"/>
          <w:szCs w:val="24"/>
          <w:highlight w:val="none"/>
          <w:shd w:val="clear" w:color="auto" w:fill="FFFFFF"/>
        </w:rPr>
        <w:t> </w:t>
      </w:r>
    </w:p>
    <w:p w14:paraId="22884C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exact"/>
        <w:ind w:left="0" w:right="0" w:firstLine="482"/>
        <w:jc w:val="left"/>
        <w:rPr>
          <w:rFonts w:hint="eastAsia" w:ascii="宋体" w:hAnsi="宋体" w:eastAsia="宋体" w:cs="宋体"/>
          <w:i w:val="0"/>
          <w:iCs w:val="0"/>
          <w:caps w:val="0"/>
          <w:color w:val="auto"/>
          <w:spacing w:val="0"/>
          <w:sz w:val="24"/>
          <w:szCs w:val="24"/>
          <w:highlight w:val="none"/>
        </w:rPr>
      </w:pPr>
      <w:r>
        <w:rPr>
          <w:rStyle w:val="56"/>
          <w:rFonts w:hint="eastAsia" w:ascii="宋体" w:hAnsi="宋体" w:eastAsia="宋体" w:cs="宋体"/>
          <w:b/>
          <w:bCs/>
          <w:i w:val="0"/>
          <w:iCs w:val="0"/>
          <w:caps w:val="0"/>
          <w:color w:val="auto"/>
          <w:spacing w:val="0"/>
          <w:sz w:val="24"/>
          <w:szCs w:val="24"/>
          <w:highlight w:val="none"/>
          <w:shd w:val="clear" w:color="auto" w:fill="FFFFFF"/>
        </w:rPr>
        <w:t>五、公告期限</w:t>
      </w:r>
    </w:p>
    <w:p w14:paraId="6B0EDAA4">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exact"/>
        <w:ind w:left="0" w:right="0" w:firstLine="480"/>
        <w:jc w:val="left"/>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自本公告发布之日起5个工作日。</w:t>
      </w:r>
    </w:p>
    <w:p w14:paraId="5FB902E4">
      <w:pPr>
        <w:pStyle w:val="19"/>
        <w:keepNext w:val="0"/>
        <w:keepLines w:val="0"/>
        <w:pageBreakBefore w:val="0"/>
        <w:spacing w:line="400" w:lineRule="exact"/>
        <w:ind w:left="0" w:right="0" w:firstLine="482"/>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六、评标办法</w:t>
      </w:r>
    </w:p>
    <w:p w14:paraId="44B9C234">
      <w:pPr>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default" w:asciiTheme="minorEastAsia" w:hAnsiTheme="minorEastAsia" w:eastAsiaTheme="minorEastAsia" w:cstheme="minorEastAsia"/>
          <w:b/>
          <w:bCs/>
          <w:color w:val="auto"/>
          <w:sz w:val="24"/>
          <w:szCs w:val="24"/>
          <w:highlight w:val="none"/>
          <w:lang w:val="en-US" w:eastAsia="zh-CN"/>
        </w:rPr>
        <w:t>本项目</w:t>
      </w:r>
      <w:r>
        <w:rPr>
          <w:rFonts w:hint="eastAsia" w:ascii="宋体" w:hAnsi="宋体" w:cs="宋体"/>
          <w:b/>
          <w:bCs/>
          <w:color w:val="auto"/>
          <w:sz w:val="24"/>
          <w:highlight w:val="none"/>
          <w:lang w:val="en-US" w:eastAsia="zh-CN"/>
        </w:rPr>
        <w:t>分包一和分包三</w:t>
      </w:r>
      <w:r>
        <w:rPr>
          <w:rFonts w:hint="default" w:asciiTheme="minorEastAsia" w:hAnsiTheme="minorEastAsia" w:eastAsiaTheme="minorEastAsia" w:cstheme="minorEastAsia"/>
          <w:b/>
          <w:bCs/>
          <w:color w:val="auto"/>
          <w:sz w:val="24"/>
          <w:szCs w:val="24"/>
          <w:highlight w:val="none"/>
          <w:lang w:val="en-US" w:eastAsia="zh-CN"/>
        </w:rPr>
        <w:t>评标办法为</w:t>
      </w:r>
      <w:r>
        <w:rPr>
          <w:rFonts w:hint="eastAsia" w:asciiTheme="minorEastAsia" w:hAnsiTheme="minorEastAsia" w:eastAsiaTheme="minorEastAsia" w:cstheme="minorEastAsia"/>
          <w:b/>
          <w:bCs/>
          <w:color w:val="auto"/>
          <w:sz w:val="24"/>
          <w:szCs w:val="24"/>
          <w:highlight w:val="none"/>
          <w:lang w:val="en-US" w:eastAsia="zh-CN"/>
        </w:rPr>
        <w:t>综合评分法分，包二为最低评标价法</w:t>
      </w:r>
      <w:r>
        <w:rPr>
          <w:rFonts w:hint="default" w:asciiTheme="minorEastAsia" w:hAnsiTheme="minorEastAsia" w:eastAsiaTheme="minorEastAsia" w:cstheme="minorEastAsia"/>
          <w:b/>
          <w:bCs/>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详见本项目招标文件第</w:t>
      </w:r>
      <w:r>
        <w:rPr>
          <w:rFonts w:hint="eastAsia" w:asciiTheme="minorEastAsia" w:hAnsiTheme="minorEastAsia" w:eastAsiaTheme="minorEastAsia" w:cstheme="minorEastAsia"/>
          <w:color w:val="auto"/>
          <w:sz w:val="24"/>
          <w:szCs w:val="24"/>
          <w:highlight w:val="none"/>
          <w:lang w:val="en-US" w:eastAsia="zh-CN"/>
        </w:rPr>
        <w:t>五</w:t>
      </w:r>
      <w:r>
        <w:rPr>
          <w:rFonts w:hint="default" w:asciiTheme="minorEastAsia" w:hAnsiTheme="minorEastAsia" w:eastAsiaTheme="minorEastAsia" w:cstheme="minorEastAsia"/>
          <w:color w:val="auto"/>
          <w:sz w:val="24"/>
          <w:szCs w:val="24"/>
          <w:highlight w:val="none"/>
          <w:lang w:val="en-US" w:eastAsia="zh-CN"/>
        </w:rPr>
        <w:t>章。</w:t>
      </w:r>
    </w:p>
    <w:p w14:paraId="201931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82"/>
        <w:jc w:val="left"/>
        <w:rPr>
          <w:rFonts w:hint="eastAsia" w:ascii="宋体" w:hAnsi="宋体" w:eastAsia="宋体" w:cs="宋体"/>
          <w:color w:val="auto"/>
          <w:sz w:val="24"/>
          <w:szCs w:val="24"/>
          <w:highlight w:val="none"/>
        </w:rPr>
      </w:pPr>
      <w:r>
        <w:rPr>
          <w:rStyle w:val="56"/>
          <w:rFonts w:hint="eastAsia" w:ascii="宋体" w:hAnsi="宋体" w:eastAsia="宋体" w:cs="宋体"/>
          <w:b/>
          <w:bCs/>
          <w:i w:val="0"/>
          <w:iCs w:val="0"/>
          <w:caps w:val="0"/>
          <w:color w:val="auto"/>
          <w:spacing w:val="0"/>
          <w:sz w:val="24"/>
          <w:szCs w:val="24"/>
          <w:highlight w:val="none"/>
          <w:shd w:val="clear" w:color="auto" w:fill="FFFFFF"/>
          <w:lang w:val="en-US" w:eastAsia="zh-CN"/>
        </w:rPr>
        <w:t>七</w:t>
      </w:r>
      <w:r>
        <w:rPr>
          <w:rStyle w:val="56"/>
          <w:rFonts w:hint="eastAsia" w:ascii="宋体" w:hAnsi="宋体" w:eastAsia="宋体" w:cs="宋体"/>
          <w:b/>
          <w:bCs/>
          <w:i w:val="0"/>
          <w:iCs w:val="0"/>
          <w:caps w:val="0"/>
          <w:color w:val="auto"/>
          <w:spacing w:val="0"/>
          <w:sz w:val="24"/>
          <w:szCs w:val="24"/>
          <w:highlight w:val="none"/>
          <w:shd w:val="clear" w:color="auto" w:fill="FFFFFF"/>
        </w:rPr>
        <w:t>、其他补充事宜</w:t>
      </w:r>
    </w:p>
    <w:p w14:paraId="7B27143A">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exact"/>
        <w:ind w:left="0" w:right="0" w:firstLine="480"/>
        <w:jc w:val="left"/>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1、电子投标文件一份(通过系统提交)；纸质投标文件正本一份，副本</w:t>
      </w:r>
      <w:r>
        <w:rPr>
          <w:rFonts w:hint="eastAsia" w:cs="宋体"/>
          <w:i w:val="0"/>
          <w:iCs w:val="0"/>
          <w:caps w:val="0"/>
          <w:color w:val="auto"/>
          <w:spacing w:val="0"/>
          <w:sz w:val="24"/>
          <w:szCs w:val="24"/>
          <w:highlight w:val="none"/>
          <w:shd w:val="clear" w:color="auto" w:fill="FFFFFF"/>
          <w:lang w:val="en-US" w:eastAsia="zh-CN"/>
        </w:rPr>
        <w:t>四</w:t>
      </w:r>
      <w:r>
        <w:rPr>
          <w:rFonts w:hint="eastAsia" w:ascii="宋体" w:hAnsi="宋体" w:eastAsia="宋体" w:cs="宋体"/>
          <w:i w:val="0"/>
          <w:iCs w:val="0"/>
          <w:caps w:val="0"/>
          <w:color w:val="auto"/>
          <w:spacing w:val="0"/>
          <w:sz w:val="24"/>
          <w:szCs w:val="24"/>
          <w:highlight w:val="none"/>
          <w:shd w:val="clear" w:color="auto" w:fill="FFFFFF"/>
        </w:rPr>
        <w:t>份（评审结束后由中标候选人邮寄至采购人，未中标单位不需要提供）。</w:t>
      </w:r>
    </w:p>
    <w:p w14:paraId="3EA0160D">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exact"/>
        <w:ind w:left="0" w:right="0" w:firstLine="480"/>
        <w:jc w:val="left"/>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2、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投标人通过苏采云系统参与政府采购项目，需要更换CA数字证书和电子签章。具体办理指南和操作手册见</w:t>
      </w:r>
      <w:r>
        <w:rPr>
          <w:rFonts w:hint="eastAsia" w:ascii="宋体" w:hAnsi="宋体" w:cs="宋体"/>
          <w:i w:val="0"/>
          <w:iCs w:val="0"/>
          <w:caps w:val="0"/>
          <w:color w:val="auto"/>
          <w:spacing w:val="0"/>
          <w:sz w:val="24"/>
          <w:szCs w:val="24"/>
          <w:highlight w:val="none"/>
          <w:shd w:val="clear" w:color="auto" w:fill="FFFFFF"/>
          <w:lang w:val="en-US" w:eastAsia="zh-CN"/>
        </w:rPr>
        <w:t>至“盐城市政府采购网”“办事指南”栏目下载</w:t>
      </w:r>
      <w:r>
        <w:rPr>
          <w:rFonts w:hint="eastAsia" w:ascii="宋体" w:hAnsi="宋体" w:eastAsia="宋体" w:cs="宋体"/>
          <w:i w:val="0"/>
          <w:iCs w:val="0"/>
          <w:caps w:val="0"/>
          <w:color w:val="auto"/>
          <w:spacing w:val="0"/>
          <w:sz w:val="24"/>
          <w:szCs w:val="24"/>
          <w:highlight w:val="none"/>
          <w:shd w:val="clear" w:color="auto" w:fill="FFFFFF"/>
        </w:rPr>
        <w:t>。</w:t>
      </w:r>
    </w:p>
    <w:p w14:paraId="21FEF034">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exact"/>
        <w:ind w:left="0" w:right="0" w:firstLine="480"/>
        <w:jc w:val="left"/>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领取CA和办理电子签章(请至盐城市亭湖区政务服务中心二楼226窗口办理（联系电话：15051556883），具体联系方式见《苏采云系统供应商操作手册》（以下简称《操作手册》））、进行注册并按《操作手册》要求制作、上传电子投标文件。供应商操作过程中有问题联系软件公司的联系方式：投标人在使用系统进行投标的过程中如遇到涉及“苏采云”系统使用的任何问题，应在工作日上午9：00-11：30下午13：30-17：30期间致电技术支持热线咨询，联系电话：0519-86722805、0519-86617173。</w:t>
      </w:r>
    </w:p>
    <w:p w14:paraId="294E19BF">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exact"/>
        <w:ind w:left="0" w:right="0" w:firstLine="480"/>
        <w:jc w:val="left"/>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w:t>
      </w:r>
      <w:r>
        <w:rPr>
          <w:rFonts w:hint="eastAsia" w:ascii="宋体" w:hAnsi="宋体" w:eastAsia="宋体" w:cs="宋体"/>
          <w:i w:val="0"/>
          <w:iCs w:val="0"/>
          <w:caps w:val="0"/>
          <w:color w:val="auto"/>
          <w:spacing w:val="0"/>
          <w:sz w:val="24"/>
          <w:szCs w:val="24"/>
          <w:highlight w:val="none"/>
          <w:shd w:val="clear" w:color="auto" w:fill="FFFFFF"/>
          <w:lang w:val="en-US" w:eastAsia="zh-CN"/>
        </w:rPr>
        <w:t>有关本次招标的事项若存在变动或修改，敬请及时关注采购人在“中国政府采购网”“江苏政府采购网”、“盐城市政府采购网”发布的更正公告</w:t>
      </w:r>
      <w:r>
        <w:rPr>
          <w:rFonts w:hint="eastAsia" w:ascii="宋体" w:hAnsi="宋体" w:cs="宋体"/>
          <w:i w:val="0"/>
          <w:iCs w:val="0"/>
          <w:caps w:val="0"/>
          <w:color w:val="auto"/>
          <w:spacing w:val="0"/>
          <w:sz w:val="24"/>
          <w:szCs w:val="24"/>
          <w:highlight w:val="none"/>
          <w:shd w:val="clear" w:color="auto" w:fill="FFFFFF"/>
          <w:lang w:val="en-US" w:eastAsia="zh-CN"/>
        </w:rPr>
        <w:t>。</w:t>
      </w:r>
    </w:p>
    <w:p w14:paraId="2B5B9918">
      <w:pPr>
        <w:pStyle w:val="4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40" w:lineRule="exact"/>
        <w:ind w:left="0" w:right="0" w:firstLine="480"/>
        <w:jc w:val="left"/>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本项目不收取投标保证金</w:t>
      </w:r>
      <w:r>
        <w:rPr>
          <w:rFonts w:hint="eastAsia" w:ascii="宋体" w:hAnsi="宋体" w:cs="宋体"/>
          <w:b w:val="0"/>
          <w:bCs w:val="0"/>
          <w:i w:val="0"/>
          <w:iCs w:val="0"/>
          <w:caps w:val="0"/>
          <w:color w:val="auto"/>
          <w:spacing w:val="0"/>
          <w:sz w:val="24"/>
          <w:szCs w:val="24"/>
          <w:highlight w:val="none"/>
          <w:shd w:val="clear" w:color="auto" w:fill="FFFFFF"/>
          <w:lang w:eastAsia="zh-CN"/>
        </w:rPr>
        <w:t>，不收取质量保证金</w:t>
      </w:r>
      <w:r>
        <w:rPr>
          <w:rFonts w:hint="eastAsia" w:ascii="宋体" w:hAnsi="宋体" w:eastAsia="宋体" w:cs="宋体"/>
          <w:i w:val="0"/>
          <w:iCs w:val="0"/>
          <w:caps w:val="0"/>
          <w:color w:val="auto"/>
          <w:spacing w:val="0"/>
          <w:sz w:val="24"/>
          <w:szCs w:val="24"/>
          <w:highlight w:val="none"/>
          <w:shd w:val="clear" w:color="auto" w:fill="FFFFFF"/>
        </w:rPr>
        <w:t>。</w:t>
      </w:r>
    </w:p>
    <w:p w14:paraId="61902C96">
      <w:pPr>
        <w:keepLines w:val="0"/>
        <w:pageBreakBefore w:val="0"/>
        <w:spacing w:line="500" w:lineRule="exact"/>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八</w:t>
      </w:r>
      <w:r>
        <w:rPr>
          <w:rFonts w:hint="eastAsia" w:ascii="宋体" w:hAnsi="宋体" w:cs="宋体"/>
          <w:b/>
          <w:bCs/>
          <w:color w:val="auto"/>
          <w:sz w:val="24"/>
          <w:szCs w:val="24"/>
          <w:highlight w:val="none"/>
        </w:rPr>
        <w:t>、对本次招标提出询问，请按以下方式联系。</w:t>
      </w:r>
    </w:p>
    <w:p w14:paraId="457D2036">
      <w:pPr>
        <w:keepLines w:val="0"/>
        <w:pageBreakBefore w:val="0"/>
        <w:widowControl/>
        <w:spacing w:line="500" w:lineRule="exact"/>
        <w:ind w:firstLine="480"/>
        <w:jc w:val="left"/>
        <w:rPr>
          <w:rFonts w:hint="eastAsia" w:ascii="宋体" w:hAnsi="宋体"/>
          <w:bCs/>
          <w:color w:val="auto"/>
          <w:sz w:val="24"/>
          <w:highlight w:val="none"/>
        </w:rPr>
      </w:pPr>
      <w:r>
        <w:rPr>
          <w:rFonts w:hint="eastAsia" w:ascii="宋体" w:hAnsi="宋体"/>
          <w:bCs/>
          <w:color w:val="auto"/>
          <w:sz w:val="24"/>
          <w:highlight w:val="none"/>
        </w:rPr>
        <w:t>1.采购人信息</w:t>
      </w:r>
    </w:p>
    <w:p w14:paraId="6064A6CD">
      <w:pPr>
        <w:keepLines w:val="0"/>
        <w:pageBreakBefore w:val="0"/>
        <w:widowControl/>
        <w:spacing w:line="500" w:lineRule="exact"/>
        <w:ind w:firstLine="480"/>
        <w:jc w:val="left"/>
        <w:rPr>
          <w:rFonts w:hint="eastAsia" w:ascii="宋体" w:hAnsi="宋体"/>
          <w:bCs/>
          <w:color w:val="auto"/>
          <w:sz w:val="24"/>
          <w:highlight w:val="none"/>
        </w:rPr>
      </w:pPr>
      <w:r>
        <w:rPr>
          <w:rFonts w:hint="eastAsia" w:ascii="宋体" w:hAnsi="宋体"/>
          <w:bCs/>
          <w:color w:val="auto"/>
          <w:sz w:val="24"/>
          <w:highlight w:val="none"/>
        </w:rPr>
        <w:t>招标人:盐城市大丰区环境卫生管理处</w:t>
      </w:r>
    </w:p>
    <w:p w14:paraId="342F8268">
      <w:pPr>
        <w:keepLines w:val="0"/>
        <w:pageBreakBefore w:val="0"/>
        <w:widowControl/>
        <w:spacing w:line="500" w:lineRule="exact"/>
        <w:ind w:firstLine="480"/>
        <w:jc w:val="left"/>
        <w:rPr>
          <w:rFonts w:hint="eastAsia" w:ascii="宋体" w:hAnsi="宋体"/>
          <w:bCs/>
          <w:color w:val="auto"/>
          <w:sz w:val="24"/>
          <w:highlight w:val="none"/>
        </w:rPr>
      </w:pPr>
      <w:r>
        <w:rPr>
          <w:rFonts w:hint="eastAsia" w:ascii="宋体" w:hAnsi="宋体"/>
          <w:bCs/>
          <w:color w:val="auto"/>
          <w:sz w:val="24"/>
          <w:highlight w:val="none"/>
        </w:rPr>
        <w:t>地址:盐城市大丰区人民南路218号</w:t>
      </w:r>
    </w:p>
    <w:p w14:paraId="71DFF897">
      <w:pPr>
        <w:keepLines w:val="0"/>
        <w:pageBreakBefore w:val="0"/>
        <w:widowControl/>
        <w:spacing w:line="500" w:lineRule="exact"/>
        <w:ind w:firstLine="480"/>
        <w:jc w:val="left"/>
        <w:rPr>
          <w:rFonts w:hint="eastAsia" w:ascii="宋体" w:hAnsi="宋体"/>
          <w:bCs/>
          <w:color w:val="auto"/>
          <w:sz w:val="24"/>
          <w:highlight w:val="none"/>
        </w:rPr>
      </w:pPr>
      <w:r>
        <w:rPr>
          <w:rFonts w:hint="eastAsia" w:ascii="宋体" w:hAnsi="宋体"/>
          <w:bCs/>
          <w:color w:val="auto"/>
          <w:sz w:val="24"/>
          <w:highlight w:val="none"/>
        </w:rPr>
        <w:t>联系人:陈先生</w:t>
      </w:r>
    </w:p>
    <w:p w14:paraId="34F9CE9A">
      <w:pPr>
        <w:keepLines w:val="0"/>
        <w:pageBreakBefore w:val="0"/>
        <w:widowControl/>
        <w:spacing w:line="500" w:lineRule="exact"/>
        <w:ind w:firstLine="480"/>
        <w:jc w:val="left"/>
        <w:rPr>
          <w:rFonts w:hint="eastAsia" w:ascii="宋体" w:hAnsi="宋体"/>
          <w:bCs/>
          <w:color w:val="auto"/>
          <w:sz w:val="24"/>
          <w:highlight w:val="none"/>
        </w:rPr>
      </w:pPr>
      <w:r>
        <w:rPr>
          <w:rFonts w:hint="eastAsia" w:ascii="宋体" w:hAnsi="宋体"/>
          <w:bCs/>
          <w:color w:val="auto"/>
          <w:sz w:val="24"/>
          <w:highlight w:val="none"/>
        </w:rPr>
        <w:t>联系电话:13705112636</w:t>
      </w:r>
    </w:p>
    <w:p w14:paraId="4CB425E3">
      <w:pPr>
        <w:keepLines w:val="0"/>
        <w:pageBreakBefore w:val="0"/>
        <w:widowControl/>
        <w:spacing w:line="500" w:lineRule="exact"/>
        <w:ind w:firstLine="480"/>
        <w:jc w:val="left"/>
        <w:rPr>
          <w:rFonts w:hint="eastAsia" w:ascii="宋体" w:hAnsi="宋体"/>
          <w:bCs/>
          <w:color w:val="auto"/>
          <w:sz w:val="24"/>
          <w:highlight w:val="none"/>
        </w:rPr>
      </w:pPr>
      <w:r>
        <w:rPr>
          <w:rFonts w:hint="eastAsia" w:ascii="宋体" w:hAnsi="宋体"/>
          <w:bCs/>
          <w:color w:val="auto"/>
          <w:sz w:val="24"/>
          <w:highlight w:val="none"/>
        </w:rPr>
        <w:t>2.采购代理机构信息</w:t>
      </w:r>
    </w:p>
    <w:p w14:paraId="08A1CCD3">
      <w:pPr>
        <w:keepLines w:val="0"/>
        <w:pageBreakBefore w:val="0"/>
        <w:widowControl/>
        <w:spacing w:line="500" w:lineRule="exact"/>
        <w:ind w:firstLine="480"/>
        <w:jc w:val="left"/>
        <w:rPr>
          <w:rFonts w:hint="eastAsia" w:ascii="宋体" w:hAnsi="宋体" w:eastAsia="宋体"/>
          <w:bCs/>
          <w:color w:val="auto"/>
          <w:sz w:val="24"/>
          <w:highlight w:val="none"/>
          <w:lang w:eastAsia="zh-CN"/>
        </w:rPr>
      </w:pPr>
      <w:r>
        <w:rPr>
          <w:rFonts w:hint="eastAsia" w:ascii="宋体" w:hAnsi="宋体"/>
          <w:bCs/>
          <w:color w:val="auto"/>
          <w:sz w:val="24"/>
          <w:highlight w:val="none"/>
        </w:rPr>
        <w:t>名    称：</w:t>
      </w:r>
      <w:r>
        <w:rPr>
          <w:rFonts w:hint="eastAsia" w:ascii="宋体" w:hAnsi="宋体"/>
          <w:bCs/>
          <w:color w:val="auto"/>
          <w:sz w:val="24"/>
          <w:highlight w:val="none"/>
          <w:lang w:eastAsia="zh-CN"/>
        </w:rPr>
        <w:t>江苏昱丰华项目管理有限公司</w:t>
      </w:r>
    </w:p>
    <w:p w14:paraId="0EC1BCE7">
      <w:pPr>
        <w:keepLines w:val="0"/>
        <w:pageBreakBefore w:val="0"/>
        <w:widowControl/>
        <w:spacing w:line="500" w:lineRule="exact"/>
        <w:ind w:firstLine="480"/>
        <w:jc w:val="left"/>
        <w:rPr>
          <w:rFonts w:ascii="宋体" w:hAnsi="宋体"/>
          <w:bCs/>
          <w:color w:val="auto"/>
          <w:sz w:val="24"/>
          <w:highlight w:val="none"/>
        </w:rPr>
      </w:pPr>
      <w:r>
        <w:rPr>
          <w:rFonts w:hint="eastAsia" w:ascii="宋体" w:hAnsi="宋体"/>
          <w:bCs/>
          <w:color w:val="auto"/>
          <w:sz w:val="24"/>
          <w:highlight w:val="none"/>
        </w:rPr>
        <w:t>地　　址：</w:t>
      </w:r>
      <w:r>
        <w:rPr>
          <w:rFonts w:hint="eastAsia" w:ascii="宋体" w:hAnsi="宋体"/>
          <w:bCs/>
          <w:color w:val="auto"/>
          <w:sz w:val="24"/>
          <w:highlight w:val="none"/>
          <w:lang w:val="zh-CN"/>
        </w:rPr>
        <w:t>盐城市大丰区丰尚国际17楼</w:t>
      </w:r>
    </w:p>
    <w:p w14:paraId="194E4C4C">
      <w:pPr>
        <w:keepLines w:val="0"/>
        <w:pageBreakBefore w:val="0"/>
        <w:widowControl/>
        <w:spacing w:line="500" w:lineRule="exact"/>
        <w:ind w:firstLine="480"/>
        <w:jc w:val="left"/>
        <w:rPr>
          <w:rFonts w:hint="eastAsia" w:ascii="宋体" w:hAnsi="宋体"/>
          <w:bCs/>
          <w:color w:val="auto"/>
          <w:sz w:val="24"/>
          <w:highlight w:val="none"/>
        </w:rPr>
      </w:pPr>
      <w:r>
        <w:rPr>
          <w:rFonts w:hint="eastAsia" w:ascii="宋体" w:hAnsi="宋体"/>
          <w:bCs/>
          <w:color w:val="auto"/>
          <w:sz w:val="24"/>
          <w:highlight w:val="none"/>
        </w:rPr>
        <w:t>联系人：</w:t>
      </w:r>
      <w:r>
        <w:rPr>
          <w:rFonts w:hint="eastAsia" w:ascii="宋体" w:hAnsi="宋体"/>
          <w:bCs/>
          <w:color w:val="auto"/>
          <w:sz w:val="24"/>
          <w:highlight w:val="none"/>
          <w:lang w:eastAsia="zh-CN"/>
        </w:rPr>
        <w:t>丁先生</w:t>
      </w:r>
      <w:r>
        <w:rPr>
          <w:rFonts w:hint="eastAsia" w:ascii="宋体" w:hAnsi="宋体"/>
          <w:bCs/>
          <w:color w:val="auto"/>
          <w:sz w:val="24"/>
          <w:highlight w:val="none"/>
        </w:rPr>
        <w:t xml:space="preserve">                      </w:t>
      </w:r>
    </w:p>
    <w:p w14:paraId="091A282A">
      <w:pPr>
        <w:keepLines w:val="0"/>
        <w:pageBreakBefore w:val="0"/>
        <w:widowControl/>
        <w:spacing w:line="500" w:lineRule="exact"/>
        <w:ind w:firstLine="480"/>
        <w:jc w:val="left"/>
        <w:rPr>
          <w:rFonts w:hint="eastAsia" w:ascii="宋体" w:hAnsi="宋体"/>
          <w:bCs/>
          <w:color w:val="auto"/>
          <w:sz w:val="24"/>
          <w:highlight w:val="none"/>
        </w:rPr>
      </w:pPr>
      <w:r>
        <w:rPr>
          <w:rFonts w:hint="eastAsia" w:ascii="宋体" w:hAnsi="宋体"/>
          <w:bCs/>
          <w:color w:val="auto"/>
          <w:sz w:val="24"/>
          <w:highlight w:val="none"/>
        </w:rPr>
        <w:t>联系电话：</w:t>
      </w:r>
      <w:r>
        <w:rPr>
          <w:rFonts w:hint="eastAsia" w:ascii="宋体" w:hAnsi="宋体"/>
          <w:bCs/>
          <w:color w:val="auto"/>
          <w:sz w:val="24"/>
          <w:highlight w:val="none"/>
          <w:lang w:eastAsia="zh-CN"/>
        </w:rPr>
        <w:t>15358280315</w:t>
      </w:r>
      <w:r>
        <w:rPr>
          <w:rFonts w:hint="eastAsia" w:ascii="宋体" w:hAnsi="宋体"/>
          <w:bCs/>
          <w:color w:val="auto"/>
          <w:sz w:val="24"/>
          <w:highlight w:val="none"/>
        </w:rPr>
        <w:t xml:space="preserve"> 　 </w:t>
      </w:r>
    </w:p>
    <w:p w14:paraId="03F6D249">
      <w:pPr>
        <w:keepLines w:val="0"/>
        <w:pageBreakBefore w:val="0"/>
        <w:widowControl/>
        <w:spacing w:line="500" w:lineRule="exact"/>
        <w:ind w:firstLine="480"/>
        <w:jc w:val="left"/>
        <w:rPr>
          <w:rFonts w:hint="eastAsia" w:ascii="宋体" w:hAnsi="宋体"/>
          <w:bCs/>
          <w:color w:val="auto"/>
          <w:sz w:val="24"/>
          <w:highlight w:val="none"/>
        </w:rPr>
      </w:pPr>
      <w:r>
        <w:rPr>
          <w:rFonts w:hint="eastAsia" w:ascii="宋体" w:hAnsi="宋体"/>
          <w:bCs/>
          <w:color w:val="auto"/>
          <w:sz w:val="24"/>
          <w:highlight w:val="none"/>
        </w:rPr>
        <w:t>3.项目联系方式</w:t>
      </w:r>
      <w:bookmarkEnd w:id="31"/>
      <w:bookmarkEnd w:id="32"/>
      <w:bookmarkEnd w:id="33"/>
      <w:bookmarkEnd w:id="34"/>
    </w:p>
    <w:p w14:paraId="778EAA00">
      <w:pPr>
        <w:keepLines w:val="0"/>
        <w:pageBreakBefore w:val="0"/>
        <w:widowControl/>
        <w:spacing w:line="500" w:lineRule="exact"/>
        <w:ind w:firstLine="480"/>
        <w:jc w:val="left"/>
        <w:rPr>
          <w:rFonts w:hint="eastAsia" w:ascii="宋体" w:hAnsi="宋体"/>
          <w:bCs/>
          <w:color w:val="auto"/>
          <w:sz w:val="24"/>
          <w:highlight w:val="none"/>
        </w:rPr>
      </w:pPr>
      <w:r>
        <w:rPr>
          <w:rFonts w:hint="eastAsia" w:ascii="宋体" w:hAnsi="宋体"/>
          <w:bCs/>
          <w:color w:val="auto"/>
          <w:sz w:val="24"/>
          <w:highlight w:val="none"/>
        </w:rPr>
        <w:t>项目联系人：陈先生</w:t>
      </w:r>
    </w:p>
    <w:p w14:paraId="3015D756">
      <w:pPr>
        <w:keepLines w:val="0"/>
        <w:pageBreakBefore w:val="0"/>
        <w:widowControl/>
        <w:spacing w:line="500" w:lineRule="exact"/>
        <w:ind w:firstLine="480"/>
        <w:jc w:val="left"/>
        <w:rPr>
          <w:rFonts w:ascii="宋体" w:hAnsi="宋体"/>
          <w:bCs/>
          <w:color w:val="auto"/>
          <w:sz w:val="24"/>
          <w:highlight w:val="none"/>
        </w:rPr>
      </w:pPr>
      <w:r>
        <w:rPr>
          <w:rFonts w:hint="eastAsia" w:ascii="宋体" w:hAnsi="宋体"/>
          <w:bCs/>
          <w:color w:val="auto"/>
          <w:sz w:val="24"/>
          <w:highlight w:val="none"/>
        </w:rPr>
        <w:t>联系电话:13705112636</w:t>
      </w:r>
    </w:p>
    <w:p w14:paraId="5CB3A061">
      <w:pPr>
        <w:keepLines w:val="0"/>
        <w:pageBreakBefore w:val="0"/>
        <w:widowControl/>
        <w:spacing w:line="500" w:lineRule="exact"/>
        <w:ind w:firstLine="480"/>
        <w:jc w:val="left"/>
        <w:rPr>
          <w:rFonts w:ascii="宋体" w:hAnsi="宋体"/>
          <w:bCs/>
          <w:color w:val="auto"/>
          <w:sz w:val="24"/>
          <w:highlight w:val="none"/>
        </w:rPr>
      </w:pPr>
      <w:r>
        <w:rPr>
          <w:rFonts w:hint="eastAsia" w:ascii="宋体" w:hAnsi="宋体"/>
          <w:bCs/>
          <w:color w:val="auto"/>
          <w:sz w:val="24"/>
          <w:highlight w:val="none"/>
        </w:rPr>
        <w:t>4</w:t>
      </w:r>
      <w:r>
        <w:rPr>
          <w:rFonts w:ascii="宋体" w:hAnsi="宋体"/>
          <w:bCs/>
          <w:color w:val="auto"/>
          <w:sz w:val="24"/>
          <w:highlight w:val="none"/>
        </w:rPr>
        <w:t>.</w:t>
      </w:r>
      <w:r>
        <w:rPr>
          <w:rFonts w:hint="eastAsia" w:ascii="宋体" w:hAnsi="宋体"/>
          <w:bCs/>
          <w:color w:val="auto"/>
          <w:sz w:val="24"/>
          <w:highlight w:val="none"/>
        </w:rPr>
        <w:t>软件技术支持：</w:t>
      </w:r>
      <w:r>
        <w:rPr>
          <w:rFonts w:ascii="宋体" w:hAnsi="宋体"/>
          <w:bCs/>
          <w:color w:val="auto"/>
          <w:sz w:val="24"/>
          <w:highlight w:val="none"/>
        </w:rPr>
        <w:t>0519-86722805</w:t>
      </w:r>
    </w:p>
    <w:p w14:paraId="3A1F27AC">
      <w:pPr>
        <w:rPr>
          <w:rFonts w:ascii="宋体" w:hAnsi="宋体" w:cs="宋体"/>
          <w:color w:val="auto"/>
          <w:highlight w:val="none"/>
        </w:rPr>
      </w:pPr>
    </w:p>
    <w:p w14:paraId="429DC3CC">
      <w:pPr>
        <w:pStyle w:val="3"/>
        <w:spacing w:before="0" w:after="0" w:line="360" w:lineRule="auto"/>
        <w:rPr>
          <w:rFonts w:ascii="宋体" w:hAnsi="宋体" w:cs="宋体"/>
          <w:color w:val="auto"/>
          <w:highlight w:val="none"/>
        </w:rPr>
      </w:pPr>
      <w:r>
        <w:rPr>
          <w:rFonts w:hint="eastAsia" w:ascii="宋体" w:hAnsi="宋体" w:cs="宋体"/>
          <w:color w:val="auto"/>
          <w:highlight w:val="none"/>
        </w:rPr>
        <w:br w:type="page" w:clear="all"/>
      </w:r>
      <w:r>
        <w:rPr>
          <w:rFonts w:hint="eastAsia" w:ascii="宋体" w:hAnsi="宋体" w:cs="宋体"/>
          <w:color w:val="auto"/>
          <w:highlight w:val="none"/>
        </w:rPr>
        <w:t>第二章  投标人须知</w:t>
      </w:r>
      <w:bookmarkEnd w:id="17"/>
      <w:bookmarkEnd w:id="18"/>
      <w:bookmarkEnd w:id="19"/>
      <w:bookmarkEnd w:id="20"/>
      <w:bookmarkEnd w:id="21"/>
      <w:bookmarkEnd w:id="22"/>
      <w:bookmarkEnd w:id="23"/>
      <w:bookmarkEnd w:id="24"/>
      <w:bookmarkEnd w:id="25"/>
      <w:bookmarkEnd w:id="26"/>
    </w:p>
    <w:p w14:paraId="39FE1533">
      <w:pPr>
        <w:pStyle w:val="48"/>
        <w:keepNext/>
        <w:keepLines/>
        <w:widowControl w:val="0"/>
        <w:spacing w:before="0" w:beforeAutospacing="0" w:after="0" w:afterAutospacing="0" w:line="400" w:lineRule="exact"/>
        <w:ind w:firstLine="482"/>
        <w:jc w:val="both"/>
        <w:rPr>
          <w:color w:val="auto"/>
          <w:highlight w:val="none"/>
        </w:rPr>
      </w:pPr>
      <w:bookmarkStart w:id="38" w:name="_Toc120614214"/>
      <w:bookmarkStart w:id="39" w:name="_Toc20823275"/>
      <w:bookmarkStart w:id="40" w:name="_Toc513029203"/>
      <w:bookmarkStart w:id="41" w:name="_Toc16938519"/>
      <w:bookmarkStart w:id="42" w:name="_Toc397928548"/>
      <w:bookmarkStart w:id="43" w:name="_Toc369077559"/>
      <w:bookmarkStart w:id="44" w:name="_Toc387526374"/>
      <w:bookmarkStart w:id="45" w:name="_Toc387526178"/>
      <w:bookmarkStart w:id="46" w:name="_Toc508216879"/>
      <w:bookmarkStart w:id="47" w:name="_Toc16205"/>
      <w:bookmarkStart w:id="48" w:name="_Toc387526282"/>
      <w:r>
        <w:rPr>
          <w:rFonts w:hint="eastAsia"/>
          <w:b/>
          <w:color w:val="auto"/>
          <w:highlight w:val="none"/>
        </w:rPr>
        <w:t>一、总则</w:t>
      </w:r>
      <w:bookmarkEnd w:id="38"/>
      <w:bookmarkEnd w:id="39"/>
      <w:bookmarkEnd w:id="40"/>
      <w:bookmarkEnd w:id="41"/>
    </w:p>
    <w:p w14:paraId="645C687F">
      <w:pPr>
        <w:pStyle w:val="48"/>
        <w:keepNext/>
        <w:keepLines/>
        <w:widowControl w:val="0"/>
        <w:spacing w:before="0" w:beforeAutospacing="0" w:after="0" w:afterAutospacing="0" w:line="400" w:lineRule="exact"/>
        <w:ind w:firstLine="480"/>
        <w:jc w:val="both"/>
        <w:rPr>
          <w:color w:val="auto"/>
          <w:highlight w:val="none"/>
        </w:rPr>
      </w:pPr>
      <w:bookmarkStart w:id="49" w:name="_Toc16938520"/>
      <w:bookmarkStart w:id="50" w:name="_Toc458694821"/>
      <w:bookmarkStart w:id="51" w:name="_Toc513029204"/>
      <w:bookmarkStart w:id="52" w:name="_Toc20823276"/>
      <w:r>
        <w:rPr>
          <w:rFonts w:hint="eastAsia"/>
          <w:color w:val="auto"/>
          <w:highlight w:val="none"/>
        </w:rPr>
        <w:t>1</w:t>
      </w:r>
      <w:bookmarkEnd w:id="49"/>
      <w:r>
        <w:rPr>
          <w:rFonts w:hint="eastAsia"/>
          <w:color w:val="auto"/>
          <w:highlight w:val="none"/>
        </w:rPr>
        <w:t>、招标方式</w:t>
      </w:r>
      <w:bookmarkEnd w:id="50"/>
      <w:bookmarkEnd w:id="51"/>
      <w:bookmarkEnd w:id="52"/>
    </w:p>
    <w:p w14:paraId="774EED5B">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1.1本次招标采取公开招标方式，本招标文件仅适用于招标公告中所述项目。</w:t>
      </w:r>
    </w:p>
    <w:p w14:paraId="6314B8EF">
      <w:pPr>
        <w:pStyle w:val="48"/>
        <w:keepNext/>
        <w:keepLines/>
        <w:widowControl w:val="0"/>
        <w:spacing w:before="0" w:beforeAutospacing="0" w:after="0" w:afterAutospacing="0" w:line="400" w:lineRule="exact"/>
        <w:ind w:firstLine="480"/>
        <w:jc w:val="both"/>
        <w:rPr>
          <w:color w:val="auto"/>
          <w:highlight w:val="none"/>
        </w:rPr>
      </w:pPr>
      <w:bookmarkStart w:id="53" w:name="_Toc20823277"/>
      <w:bookmarkStart w:id="54" w:name="_Toc16938521"/>
      <w:bookmarkStart w:id="55" w:name="_Toc513029205"/>
      <w:r>
        <w:rPr>
          <w:rFonts w:hint="eastAsia"/>
          <w:color w:val="auto"/>
          <w:highlight w:val="none"/>
        </w:rPr>
        <w:t>2、合格的投标人</w:t>
      </w:r>
      <w:bookmarkEnd w:id="53"/>
      <w:bookmarkEnd w:id="54"/>
      <w:bookmarkEnd w:id="55"/>
    </w:p>
    <w:p w14:paraId="4BEA43A5">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2.1满足招标公告中供应商的资格要求的规定。</w:t>
      </w:r>
    </w:p>
    <w:p w14:paraId="2AA15F2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2.2满足本文件实质性要求和条件的规定。</w:t>
      </w:r>
    </w:p>
    <w:p w14:paraId="64E88FDA">
      <w:pPr>
        <w:pStyle w:val="48"/>
        <w:keepNext/>
        <w:keepLines/>
        <w:widowControl w:val="0"/>
        <w:spacing w:before="0" w:beforeAutospacing="0" w:after="0" w:afterAutospacing="0" w:line="400" w:lineRule="exact"/>
        <w:ind w:firstLine="480"/>
        <w:jc w:val="both"/>
        <w:rPr>
          <w:color w:val="auto"/>
          <w:highlight w:val="none"/>
        </w:rPr>
      </w:pPr>
      <w:bookmarkStart w:id="56" w:name="_Toc16938522"/>
      <w:bookmarkStart w:id="57" w:name="_Toc20823278"/>
      <w:bookmarkStart w:id="58" w:name="_Toc513029206"/>
      <w:r>
        <w:rPr>
          <w:rFonts w:hint="eastAsia"/>
          <w:color w:val="auto"/>
          <w:highlight w:val="none"/>
        </w:rPr>
        <w:t>3、适用法律</w:t>
      </w:r>
      <w:bookmarkEnd w:id="56"/>
      <w:bookmarkEnd w:id="57"/>
      <w:bookmarkEnd w:id="58"/>
    </w:p>
    <w:p w14:paraId="105FAFE8">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3.1本次招标及由此产生的合同受中华人民共和国有关的法律法规制约和保护。</w:t>
      </w:r>
    </w:p>
    <w:p w14:paraId="23280AED">
      <w:pPr>
        <w:pStyle w:val="48"/>
        <w:keepNext/>
        <w:keepLines/>
        <w:widowControl w:val="0"/>
        <w:spacing w:before="0" w:beforeAutospacing="0" w:after="0" w:afterAutospacing="0" w:line="400" w:lineRule="exact"/>
        <w:ind w:firstLine="480"/>
        <w:jc w:val="both"/>
        <w:rPr>
          <w:color w:val="auto"/>
          <w:highlight w:val="none"/>
        </w:rPr>
      </w:pPr>
      <w:bookmarkStart w:id="59" w:name="_Toc462564067"/>
      <w:bookmarkStart w:id="60" w:name="_Toc16938523"/>
      <w:bookmarkStart w:id="61" w:name="_Toc20823279"/>
      <w:bookmarkStart w:id="62" w:name="_Toc513029207"/>
      <w:r>
        <w:rPr>
          <w:rFonts w:hint="eastAsia"/>
          <w:color w:val="auto"/>
          <w:highlight w:val="none"/>
        </w:rPr>
        <w:t>4、投标费用</w:t>
      </w:r>
      <w:bookmarkEnd w:id="59"/>
      <w:bookmarkEnd w:id="60"/>
      <w:bookmarkEnd w:id="61"/>
      <w:bookmarkEnd w:id="62"/>
    </w:p>
    <w:p w14:paraId="2A5085A1">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4.1投标人应自行承担所有与参加投标有关的费用，无论投标过程中的做法和结果如何，</w:t>
      </w:r>
      <w:r>
        <w:rPr>
          <w:rFonts w:hint="eastAsia"/>
          <w:color w:val="auto"/>
          <w:highlight w:val="none"/>
          <w:lang w:eastAsia="zh-CN"/>
        </w:rPr>
        <w:t>盐城市大丰区环境卫生管理处</w:t>
      </w:r>
      <w:r>
        <w:rPr>
          <w:rFonts w:hint="eastAsia"/>
          <w:color w:val="auto"/>
          <w:highlight w:val="none"/>
        </w:rPr>
        <w:t>（以下简称采购人）在任何情况下均无义务和责任承担这些费用。</w:t>
      </w:r>
    </w:p>
    <w:p w14:paraId="054EB8B4">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4.</w:t>
      </w:r>
      <w:r>
        <w:rPr>
          <w:color w:val="auto"/>
          <w:highlight w:val="none"/>
        </w:rPr>
        <w:t>2</w:t>
      </w:r>
      <w:r>
        <w:rPr>
          <w:rFonts w:hint="eastAsia"/>
          <w:color w:val="auto"/>
          <w:highlight w:val="none"/>
        </w:rPr>
        <w:t>本项目的招标代理费按苏招协【2022】002号文件</w:t>
      </w:r>
      <w:r>
        <w:rPr>
          <w:rFonts w:hint="eastAsia"/>
          <w:color w:val="auto"/>
          <w:highlight w:val="none"/>
          <w:lang w:val="en-US" w:eastAsia="zh-CN"/>
        </w:rPr>
        <w:t>相关标准</w:t>
      </w:r>
      <w:r>
        <w:rPr>
          <w:rFonts w:hint="eastAsia"/>
          <w:color w:val="auto"/>
          <w:highlight w:val="none"/>
        </w:rPr>
        <w:t>收取。</w:t>
      </w:r>
    </w:p>
    <w:p w14:paraId="3AD01FB5">
      <w:pPr>
        <w:pStyle w:val="48"/>
        <w:keepNext/>
        <w:keepLines/>
        <w:widowControl w:val="0"/>
        <w:spacing w:before="0" w:beforeAutospacing="0" w:after="0" w:afterAutospacing="0" w:line="400" w:lineRule="exact"/>
        <w:ind w:firstLine="480"/>
        <w:jc w:val="both"/>
        <w:rPr>
          <w:color w:val="auto"/>
          <w:highlight w:val="none"/>
        </w:rPr>
      </w:pPr>
      <w:r>
        <w:rPr>
          <w:rFonts w:hint="eastAsia"/>
          <w:bCs/>
          <w:color w:val="auto"/>
          <w:highlight w:val="none"/>
        </w:rPr>
        <w:t>5、</w:t>
      </w:r>
      <w:r>
        <w:rPr>
          <w:rFonts w:hint="eastAsia"/>
          <w:color w:val="auto"/>
          <w:highlight w:val="none"/>
        </w:rPr>
        <w:t>招标文件的约束力</w:t>
      </w:r>
    </w:p>
    <w:p w14:paraId="4482172E">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5.1投标人一旦参加本项目采购活动，即被认为接受了本招标文件的规定和约束。</w:t>
      </w:r>
    </w:p>
    <w:p w14:paraId="641C951A">
      <w:pPr>
        <w:pStyle w:val="48"/>
        <w:keepNext/>
        <w:keepLines/>
        <w:widowControl w:val="0"/>
        <w:spacing w:before="0" w:beforeAutospacing="0" w:after="0" w:afterAutospacing="0" w:line="400" w:lineRule="exact"/>
        <w:ind w:firstLine="482"/>
        <w:jc w:val="both"/>
        <w:rPr>
          <w:color w:val="auto"/>
          <w:highlight w:val="none"/>
        </w:rPr>
      </w:pPr>
      <w:bookmarkStart w:id="63" w:name="_Toc513029209"/>
      <w:bookmarkStart w:id="64" w:name="_Toc16938525"/>
      <w:bookmarkStart w:id="65" w:name="_Toc120614215"/>
      <w:bookmarkStart w:id="66" w:name="_Toc20823281"/>
      <w:r>
        <w:rPr>
          <w:rFonts w:hint="eastAsia"/>
          <w:b/>
          <w:color w:val="auto"/>
          <w:highlight w:val="none"/>
        </w:rPr>
        <w:t>二、招标文件</w:t>
      </w:r>
      <w:bookmarkEnd w:id="63"/>
      <w:bookmarkEnd w:id="64"/>
      <w:bookmarkEnd w:id="65"/>
      <w:bookmarkEnd w:id="66"/>
    </w:p>
    <w:p w14:paraId="74A9ED2D">
      <w:pPr>
        <w:pStyle w:val="48"/>
        <w:keepNext/>
        <w:keepLines/>
        <w:widowControl w:val="0"/>
        <w:spacing w:before="0" w:beforeAutospacing="0" w:after="0" w:afterAutospacing="0" w:line="400" w:lineRule="exact"/>
        <w:ind w:firstLine="480"/>
        <w:jc w:val="both"/>
        <w:rPr>
          <w:color w:val="auto"/>
          <w:highlight w:val="none"/>
        </w:rPr>
      </w:pPr>
      <w:bookmarkStart w:id="67" w:name="_Toc16938526"/>
      <w:bookmarkStart w:id="68" w:name="_Toc20823282"/>
      <w:bookmarkStart w:id="69" w:name="_Toc513029210"/>
      <w:r>
        <w:rPr>
          <w:rFonts w:hint="eastAsia"/>
          <w:color w:val="auto"/>
          <w:highlight w:val="none"/>
        </w:rPr>
        <w:t>6、招标文件构成</w:t>
      </w:r>
      <w:bookmarkEnd w:id="67"/>
      <w:bookmarkEnd w:id="68"/>
      <w:bookmarkEnd w:id="69"/>
    </w:p>
    <w:p w14:paraId="2D384641">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6.1 招标文件由以下部分组成：</w:t>
      </w:r>
    </w:p>
    <w:p w14:paraId="018CF4F1">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（1）招标公告</w:t>
      </w:r>
    </w:p>
    <w:p w14:paraId="1092C871">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（2）投标人须知</w:t>
      </w:r>
    </w:p>
    <w:p w14:paraId="34168A3F">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（3）合同文本</w:t>
      </w:r>
    </w:p>
    <w:p w14:paraId="00EB6BCA">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（4）采购需求</w:t>
      </w:r>
    </w:p>
    <w:p w14:paraId="1ED5E724">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（5）评标方法与评标标准</w:t>
      </w:r>
    </w:p>
    <w:p w14:paraId="512FD314">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（6）投标文件格式</w:t>
      </w:r>
    </w:p>
    <w:p w14:paraId="7D32C8A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请仔细检查招标文件是否齐全，如有缺漏请立即与采购人联系解决。</w:t>
      </w:r>
    </w:p>
    <w:p w14:paraId="46C608FA">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6.2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EDF49E3">
      <w:pPr>
        <w:pStyle w:val="48"/>
        <w:keepNext/>
        <w:keepLines/>
        <w:widowControl w:val="0"/>
        <w:spacing w:before="0" w:beforeAutospacing="0" w:after="0" w:afterAutospacing="0" w:line="400" w:lineRule="exact"/>
        <w:ind w:firstLine="480"/>
        <w:jc w:val="both"/>
        <w:rPr>
          <w:color w:val="auto"/>
          <w:highlight w:val="none"/>
        </w:rPr>
      </w:pPr>
      <w:bookmarkStart w:id="70" w:name="_Toc16938527"/>
      <w:bookmarkStart w:id="71" w:name="_Toc462564070"/>
      <w:bookmarkStart w:id="72" w:name="_Toc513029211"/>
      <w:bookmarkStart w:id="73" w:name="_Toc20823283"/>
      <w:r>
        <w:rPr>
          <w:rFonts w:hint="eastAsia"/>
          <w:color w:val="auto"/>
          <w:highlight w:val="none"/>
        </w:rPr>
        <w:t>7、招标文件的澄清</w:t>
      </w:r>
      <w:bookmarkEnd w:id="70"/>
      <w:bookmarkEnd w:id="71"/>
      <w:bookmarkEnd w:id="72"/>
      <w:bookmarkEnd w:id="73"/>
    </w:p>
    <w:p w14:paraId="0E146179">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7.1任何要求对招标文件进行澄清的投标人，应在投标截止期</w:t>
      </w:r>
      <w:r>
        <w:rPr>
          <w:rFonts w:hint="eastAsia"/>
          <w:b/>
          <w:color w:val="auto"/>
          <w:highlight w:val="none"/>
        </w:rPr>
        <w:t>十日</w:t>
      </w:r>
      <w:r>
        <w:rPr>
          <w:rFonts w:hint="eastAsia"/>
          <w:color w:val="auto"/>
          <w:highlight w:val="none"/>
        </w:rPr>
        <w:t>前按招标公告中的通讯地址，以书面形式通知采购人。</w:t>
      </w:r>
    </w:p>
    <w:p w14:paraId="64AD2F0E">
      <w:pPr>
        <w:pStyle w:val="48"/>
        <w:keepNext/>
        <w:keepLines/>
        <w:widowControl w:val="0"/>
        <w:spacing w:before="0" w:beforeAutospacing="0" w:after="0" w:afterAutospacing="0" w:line="400" w:lineRule="exact"/>
        <w:ind w:firstLine="480"/>
        <w:jc w:val="both"/>
        <w:rPr>
          <w:color w:val="auto"/>
          <w:highlight w:val="none"/>
        </w:rPr>
      </w:pPr>
      <w:bookmarkStart w:id="74" w:name="_Toc513029212"/>
      <w:bookmarkStart w:id="75" w:name="_Toc16938528"/>
      <w:bookmarkStart w:id="76" w:name="_Toc462564071"/>
      <w:bookmarkStart w:id="77" w:name="_Toc20823284"/>
      <w:r>
        <w:rPr>
          <w:rFonts w:hint="eastAsia"/>
          <w:color w:val="auto"/>
          <w:highlight w:val="none"/>
        </w:rPr>
        <w:t>8、招标文件的修改</w:t>
      </w:r>
      <w:bookmarkEnd w:id="74"/>
      <w:bookmarkEnd w:id="75"/>
      <w:bookmarkEnd w:id="76"/>
      <w:bookmarkEnd w:id="77"/>
    </w:p>
    <w:p w14:paraId="73197531">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8.1在投标截止时间前，采购人可以对招标文件进行修改。</w:t>
      </w:r>
    </w:p>
    <w:p w14:paraId="77D5A0C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8.2采购人有权按照法定的要求推迟投标截止日期和开标日期。</w:t>
      </w:r>
    </w:p>
    <w:p w14:paraId="3D6DDFE6">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8.3招标文件的修改将在中国政府采购网</w:t>
      </w:r>
      <w:r>
        <w:rPr>
          <w:rFonts w:hint="eastAsia"/>
          <w:color w:val="auto"/>
          <w:highlight w:val="none"/>
          <w:shd w:val="clear" w:color="auto" w:fill="FFFFFF"/>
        </w:rPr>
        <w:t>、</w:t>
      </w:r>
      <w:r>
        <w:rPr>
          <w:rFonts w:hint="eastAsia"/>
          <w:color w:val="auto"/>
          <w:highlight w:val="none"/>
        </w:rPr>
        <w:t>江苏政府采购网、盐城市政府采购网公布，补充文件将作为招标文件的组成部分，并对投标人具有约束力。</w:t>
      </w:r>
    </w:p>
    <w:p w14:paraId="7064AB6F">
      <w:pPr>
        <w:pStyle w:val="48"/>
        <w:keepNext/>
        <w:keepLines/>
        <w:widowControl w:val="0"/>
        <w:spacing w:before="0" w:beforeAutospacing="0" w:after="0" w:afterAutospacing="0" w:line="400" w:lineRule="exact"/>
        <w:ind w:firstLine="482"/>
        <w:jc w:val="both"/>
        <w:rPr>
          <w:color w:val="auto"/>
          <w:highlight w:val="none"/>
        </w:rPr>
      </w:pPr>
      <w:bookmarkStart w:id="78" w:name="_Toc16938529"/>
      <w:bookmarkStart w:id="79" w:name="_Toc462564072"/>
      <w:bookmarkStart w:id="80" w:name="_Toc513029213"/>
      <w:bookmarkStart w:id="81" w:name="_Toc20823285"/>
      <w:bookmarkStart w:id="82" w:name="_Toc120614216"/>
      <w:r>
        <w:rPr>
          <w:rFonts w:hint="eastAsia"/>
          <w:b/>
          <w:color w:val="auto"/>
          <w:highlight w:val="none"/>
        </w:rPr>
        <w:t>三、投标文件的编制</w:t>
      </w:r>
      <w:bookmarkEnd w:id="78"/>
      <w:bookmarkEnd w:id="79"/>
      <w:bookmarkEnd w:id="80"/>
      <w:bookmarkEnd w:id="81"/>
      <w:bookmarkEnd w:id="82"/>
    </w:p>
    <w:p w14:paraId="5DBE3C4F">
      <w:pPr>
        <w:pStyle w:val="48"/>
        <w:keepNext/>
        <w:keepLines/>
        <w:widowControl w:val="0"/>
        <w:spacing w:before="0" w:beforeAutospacing="0" w:after="0" w:afterAutospacing="0" w:line="400" w:lineRule="exact"/>
        <w:ind w:firstLine="480"/>
        <w:jc w:val="both"/>
        <w:rPr>
          <w:color w:val="auto"/>
          <w:highlight w:val="none"/>
        </w:rPr>
      </w:pPr>
      <w:bookmarkStart w:id="83" w:name="_Toc513029214"/>
      <w:bookmarkStart w:id="84" w:name="_Toc16938530"/>
      <w:bookmarkStart w:id="85" w:name="_Toc20823286"/>
      <w:bookmarkStart w:id="86" w:name="_Toc462564073"/>
      <w:r>
        <w:rPr>
          <w:rFonts w:hint="eastAsia"/>
          <w:color w:val="auto"/>
          <w:highlight w:val="none"/>
        </w:rPr>
        <w:t>9、投标文件的语言及度量衡单位</w:t>
      </w:r>
      <w:bookmarkEnd w:id="83"/>
      <w:bookmarkEnd w:id="84"/>
      <w:bookmarkEnd w:id="85"/>
      <w:bookmarkEnd w:id="86"/>
    </w:p>
    <w:p w14:paraId="4BBF645F">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9.1投标人提交的投标文件以及投标人与采购人就有关投标的所有来往通知、函件和文件均应使用</w:t>
      </w:r>
      <w:r>
        <w:rPr>
          <w:rFonts w:hint="eastAsia"/>
          <w:b/>
          <w:color w:val="auto"/>
          <w:highlight w:val="none"/>
        </w:rPr>
        <w:t>简体中文</w:t>
      </w:r>
      <w:r>
        <w:rPr>
          <w:rFonts w:hint="eastAsia"/>
          <w:color w:val="auto"/>
          <w:highlight w:val="none"/>
        </w:rPr>
        <w:t>。</w:t>
      </w:r>
    </w:p>
    <w:p w14:paraId="6F8F7E1B">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9.2除技术性能另有规定外，投标文件所使用的度量衡单位，均须采用国家法定计量单位。</w:t>
      </w:r>
    </w:p>
    <w:p w14:paraId="7D7035D0">
      <w:pPr>
        <w:pStyle w:val="48"/>
        <w:keepNext/>
        <w:keepLines/>
        <w:widowControl w:val="0"/>
        <w:spacing w:before="0" w:beforeAutospacing="0" w:after="0" w:afterAutospacing="0" w:line="400" w:lineRule="exact"/>
        <w:ind w:firstLine="480"/>
        <w:jc w:val="both"/>
        <w:rPr>
          <w:color w:val="auto"/>
          <w:highlight w:val="none"/>
        </w:rPr>
      </w:pPr>
      <w:bookmarkStart w:id="87" w:name="_Toc462564074"/>
      <w:bookmarkStart w:id="88" w:name="_Toc20823287"/>
      <w:bookmarkStart w:id="89" w:name="_Toc16938531"/>
      <w:bookmarkStart w:id="90" w:name="_Toc513029215"/>
      <w:r>
        <w:rPr>
          <w:rFonts w:hint="eastAsia"/>
          <w:color w:val="auto"/>
          <w:highlight w:val="none"/>
        </w:rPr>
        <w:t>10、投标文件构成</w:t>
      </w:r>
      <w:bookmarkEnd w:id="87"/>
      <w:bookmarkEnd w:id="88"/>
      <w:bookmarkEnd w:id="89"/>
      <w:bookmarkEnd w:id="90"/>
    </w:p>
    <w:p w14:paraId="119889A9">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10.1投标人编写的投标文件应包括资格证明文件、符合性证明文件、投标分项报价表、技术要求响应及偏离表、商务要求响应及偏离表、其他证明文件、投标函、开标一览表等部分。</w:t>
      </w:r>
    </w:p>
    <w:p w14:paraId="2DE6A02E">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10.2如标书制作工具中格式和内容与</w:t>
      </w:r>
      <w:r>
        <w:rPr>
          <w:rFonts w:hint="eastAsia"/>
          <w:color w:val="auto"/>
          <w:highlight w:val="none"/>
          <w:shd w:val="clear" w:color="auto" w:fill="FFFFFF"/>
        </w:rPr>
        <w:t>“</w:t>
      </w:r>
      <w:r>
        <w:rPr>
          <w:rFonts w:hint="eastAsia"/>
          <w:color w:val="auto"/>
          <w:highlight w:val="none"/>
        </w:rPr>
        <w:t>中国政府采购网</w:t>
      </w:r>
      <w:r>
        <w:rPr>
          <w:rFonts w:hint="eastAsia"/>
          <w:color w:val="auto"/>
          <w:highlight w:val="none"/>
          <w:shd w:val="clear" w:color="auto" w:fill="FFFFFF"/>
        </w:rPr>
        <w:t>”、</w:t>
      </w:r>
      <w:r>
        <w:rPr>
          <w:rFonts w:hint="eastAsia"/>
          <w:color w:val="auto"/>
          <w:highlight w:val="none"/>
        </w:rPr>
        <w:t>“江苏政府采购网”、“盐城市政府采购网”发布的招标文件不一致，请以</w:t>
      </w:r>
      <w:r>
        <w:rPr>
          <w:rFonts w:hint="eastAsia"/>
          <w:color w:val="auto"/>
          <w:highlight w:val="none"/>
          <w:shd w:val="clear" w:color="auto" w:fill="FFFFFF"/>
        </w:rPr>
        <w:t>“</w:t>
      </w:r>
      <w:r>
        <w:rPr>
          <w:rFonts w:hint="eastAsia"/>
          <w:color w:val="auto"/>
          <w:highlight w:val="none"/>
        </w:rPr>
        <w:t>中国政府采购网</w:t>
      </w:r>
      <w:r>
        <w:rPr>
          <w:rFonts w:hint="eastAsia"/>
          <w:color w:val="auto"/>
          <w:highlight w:val="none"/>
          <w:shd w:val="clear" w:color="auto" w:fill="FFFFFF"/>
        </w:rPr>
        <w:t>”、</w:t>
      </w:r>
      <w:r>
        <w:rPr>
          <w:rFonts w:hint="eastAsia"/>
          <w:color w:val="auto"/>
          <w:highlight w:val="none"/>
        </w:rPr>
        <w:t>“江苏政府采购网”、“盐城市政府采购网”发布的招标文件为准。</w:t>
      </w:r>
    </w:p>
    <w:p w14:paraId="1AD77083">
      <w:pPr>
        <w:pStyle w:val="48"/>
        <w:keepNext/>
        <w:keepLines/>
        <w:widowControl w:val="0"/>
        <w:spacing w:before="0" w:beforeAutospacing="0" w:after="0" w:afterAutospacing="0" w:line="400" w:lineRule="exact"/>
        <w:ind w:firstLine="480"/>
        <w:jc w:val="both"/>
        <w:rPr>
          <w:color w:val="auto"/>
          <w:highlight w:val="none"/>
        </w:rPr>
      </w:pPr>
      <w:bookmarkStart w:id="91" w:name="_Toc513029219"/>
      <w:bookmarkStart w:id="92" w:name="_Toc513029216"/>
      <w:bookmarkStart w:id="93" w:name="_Toc49090507"/>
      <w:bookmarkStart w:id="94" w:name="_Toc14577354"/>
      <w:bookmarkStart w:id="95" w:name="_Toc14577357"/>
      <w:bookmarkStart w:id="96" w:name="_Toc49090509"/>
      <w:r>
        <w:rPr>
          <w:rFonts w:hint="eastAsia"/>
          <w:color w:val="auto"/>
          <w:highlight w:val="none"/>
        </w:rPr>
        <w:t>11、证明投标人及投标标的符合招标文件规定的文件</w:t>
      </w:r>
      <w:bookmarkEnd w:id="91"/>
      <w:bookmarkEnd w:id="92"/>
      <w:bookmarkEnd w:id="93"/>
      <w:bookmarkEnd w:id="94"/>
      <w:bookmarkEnd w:id="95"/>
      <w:bookmarkEnd w:id="96"/>
    </w:p>
    <w:p w14:paraId="406BD4DF">
      <w:pPr>
        <w:pStyle w:val="48"/>
        <w:widowControl w:val="0"/>
        <w:spacing w:before="0" w:beforeAutospacing="0" w:after="0" w:afterAutospacing="0" w:line="400" w:lineRule="exact"/>
        <w:ind w:firstLine="480"/>
        <w:jc w:val="both"/>
        <w:rPr>
          <w:color w:val="auto"/>
          <w:highlight w:val="none"/>
        </w:rPr>
      </w:pPr>
      <w:bookmarkStart w:id="97" w:name="_Toc49090508"/>
      <w:bookmarkStart w:id="98" w:name="_Toc14577355"/>
      <w:r>
        <w:rPr>
          <w:rFonts w:hint="eastAsia"/>
          <w:color w:val="auto"/>
          <w:highlight w:val="none"/>
        </w:rPr>
        <w:t>11.1投标人应按照法律、法规、规章和规范性文件以及招标文件要求提交证明文件，证明其及投标标的符合招标文件规定。</w:t>
      </w:r>
      <w:bookmarkEnd w:id="97"/>
      <w:bookmarkEnd w:id="98"/>
    </w:p>
    <w:p w14:paraId="7127FC7F">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11.2招标文件对证明文件无明确形式要求的，证明文件可以以文字资料、图纸和数据等形式提交。</w:t>
      </w:r>
    </w:p>
    <w:p w14:paraId="68BD605F">
      <w:pPr>
        <w:pStyle w:val="48"/>
        <w:keepNext/>
        <w:keepLines/>
        <w:widowControl w:val="0"/>
        <w:spacing w:before="0" w:beforeAutospacing="0" w:after="0" w:afterAutospacing="0" w:line="400" w:lineRule="exact"/>
        <w:ind w:firstLine="480"/>
        <w:jc w:val="both"/>
        <w:rPr>
          <w:color w:val="auto"/>
          <w:highlight w:val="none"/>
        </w:rPr>
      </w:pPr>
      <w:r>
        <w:rPr>
          <w:rFonts w:hint="eastAsia"/>
          <w:color w:val="auto"/>
          <w:highlight w:val="none"/>
        </w:rPr>
        <w:t>12、投标分项报价表</w:t>
      </w:r>
    </w:p>
    <w:p w14:paraId="0BD58BB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12.1投标人应按照招标文件规定格式填报投标分项报价表。</w:t>
      </w:r>
    </w:p>
    <w:p w14:paraId="201D38BD">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12.2投标货币。投标文件中的单价和总价无特殊规定的采用人民币报价，以元为单位标注。招标文件中另有规定的按规定执行。</w:t>
      </w:r>
    </w:p>
    <w:p w14:paraId="22865FF1">
      <w:pPr>
        <w:pStyle w:val="48"/>
        <w:keepNext/>
        <w:keepLines/>
        <w:widowControl w:val="0"/>
        <w:spacing w:before="0" w:beforeAutospacing="0" w:after="0" w:afterAutospacing="0" w:line="400" w:lineRule="exact"/>
        <w:ind w:firstLine="480"/>
        <w:jc w:val="both"/>
        <w:rPr>
          <w:color w:val="auto"/>
          <w:highlight w:val="none"/>
        </w:rPr>
      </w:pPr>
      <w:r>
        <w:rPr>
          <w:rFonts w:hint="eastAsia"/>
          <w:color w:val="auto"/>
          <w:highlight w:val="none"/>
        </w:rPr>
        <w:t>13、技术要求响应及偏离表、商务要求响应及偏离表</w:t>
      </w:r>
    </w:p>
    <w:p w14:paraId="4B5E6922">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13.1投标人需对招标文件中的技术要求与商务要求逐项作出响应或偏离，并说明原因。</w:t>
      </w:r>
    </w:p>
    <w:p w14:paraId="15C114E2">
      <w:pPr>
        <w:pStyle w:val="48"/>
        <w:widowControl w:val="0"/>
        <w:tabs>
          <w:tab w:val="left" w:pos="1036"/>
        </w:tabs>
        <w:spacing w:before="0" w:beforeAutospacing="0" w:after="0" w:afterAutospacing="0" w:line="400" w:lineRule="exact"/>
        <w:ind w:firstLine="480"/>
        <w:jc w:val="both"/>
        <w:rPr>
          <w:color w:val="auto"/>
          <w:highlight w:val="none"/>
        </w:rPr>
      </w:pPr>
      <w:r>
        <w:rPr>
          <w:rFonts w:hint="eastAsia"/>
          <w:color w:val="auto"/>
          <w:highlight w:val="none"/>
        </w:rPr>
        <w:t>13.2投标人可在投标文件中提供认为需要的其他技术文件或说明。</w:t>
      </w:r>
    </w:p>
    <w:p w14:paraId="2F0BC0C1">
      <w:pPr>
        <w:pStyle w:val="48"/>
        <w:keepNext/>
        <w:keepLines/>
        <w:widowControl w:val="0"/>
        <w:spacing w:before="0" w:beforeAutospacing="0" w:after="0" w:afterAutospacing="0" w:line="400" w:lineRule="exact"/>
        <w:ind w:firstLine="480"/>
        <w:jc w:val="both"/>
        <w:rPr>
          <w:color w:val="auto"/>
          <w:highlight w:val="none"/>
        </w:rPr>
      </w:pPr>
      <w:bookmarkStart w:id="99" w:name="_Toc49090510"/>
      <w:bookmarkStart w:id="100" w:name="_Toc14577359"/>
      <w:r>
        <w:rPr>
          <w:rFonts w:hint="eastAsia"/>
          <w:color w:val="auto"/>
          <w:highlight w:val="none"/>
        </w:rPr>
        <w:t>14、投标函和开标一览表</w:t>
      </w:r>
      <w:bookmarkEnd w:id="99"/>
      <w:bookmarkEnd w:id="100"/>
    </w:p>
    <w:p w14:paraId="366874EA">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14.1投标人应按照招标文件中提供的格式完整、正确填写投标函、开标一览表。</w:t>
      </w:r>
    </w:p>
    <w:p w14:paraId="17A47BF3">
      <w:pPr>
        <w:pStyle w:val="48"/>
        <w:widowControl w:val="0"/>
        <w:spacing w:before="0" w:beforeAutospacing="0" w:after="0" w:afterAutospacing="0" w:line="400" w:lineRule="exact"/>
        <w:ind w:firstLine="480"/>
        <w:jc w:val="both"/>
        <w:rPr>
          <w:bCs/>
          <w:color w:val="auto"/>
          <w:highlight w:val="none"/>
        </w:rPr>
      </w:pPr>
      <w:r>
        <w:rPr>
          <w:rFonts w:hint="eastAsia"/>
          <w:color w:val="auto"/>
          <w:highlight w:val="none"/>
        </w:rPr>
        <w:t>14.2对于采用货币报价的项目，开标一览表中的投标总报价应与投标分项报价表中的投标总报价一致，如不一致，不作为无效投标处理，但评标时按开标一览表中价格为准</w:t>
      </w:r>
      <w:r>
        <w:rPr>
          <w:rFonts w:hint="eastAsia"/>
          <w:bCs/>
          <w:color w:val="auto"/>
          <w:highlight w:val="none"/>
        </w:rPr>
        <w:t>。</w:t>
      </w:r>
    </w:p>
    <w:p w14:paraId="1B8ED7FC">
      <w:pPr>
        <w:pStyle w:val="48"/>
        <w:widowControl w:val="0"/>
        <w:spacing w:before="0" w:beforeAutospacing="0" w:after="0" w:afterAutospacing="0" w:line="400" w:lineRule="exact"/>
        <w:ind w:firstLine="480"/>
        <w:jc w:val="both"/>
        <w:rPr>
          <w:color w:val="auto"/>
          <w:highlight w:val="none"/>
        </w:rPr>
      </w:pPr>
      <w:bookmarkStart w:id="101" w:name="_Toc14577360"/>
      <w:bookmarkStart w:id="102" w:name="_Toc49090511"/>
      <w:r>
        <w:rPr>
          <w:rFonts w:hint="eastAsia"/>
          <w:color w:val="auto"/>
          <w:highlight w:val="none"/>
        </w:rPr>
        <w:t>15、投标函和开标一览表</w:t>
      </w:r>
    </w:p>
    <w:p w14:paraId="4231A801">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15.1 投标人应按照招标文件中提供的格式完整、正确填写投标函、开标一览表。</w:t>
      </w:r>
    </w:p>
    <w:p w14:paraId="5CA6A1B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15.2 对于采用货币报价的项目，开标一览表中的投标总报价应与投标分项报价表中的投标总报价一致，如不一致，不作为无效投标处理，但评标时按开标一览表中价格为准。</w:t>
      </w:r>
    </w:p>
    <w:p w14:paraId="30C45C74">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16、投标有效期</w:t>
      </w:r>
      <w:bookmarkEnd w:id="101"/>
      <w:bookmarkEnd w:id="102"/>
    </w:p>
    <w:p w14:paraId="3ED1DC41">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16.1投标有效期为采购人规定的开标之日后</w:t>
      </w:r>
      <w:r>
        <w:rPr>
          <w:rFonts w:hint="eastAsia"/>
          <w:b/>
          <w:color w:val="auto"/>
          <w:highlight w:val="none"/>
          <w:u w:val="single"/>
        </w:rPr>
        <w:t>六十（60）天</w:t>
      </w:r>
      <w:r>
        <w:rPr>
          <w:rFonts w:hint="eastAsia"/>
          <w:color w:val="auto"/>
          <w:highlight w:val="none"/>
        </w:rPr>
        <w:t>。投标有效期比规定短的将被视为未实质性响应招标文件而予以拒绝。</w:t>
      </w:r>
    </w:p>
    <w:p w14:paraId="4C86C224">
      <w:pPr>
        <w:pStyle w:val="48"/>
        <w:keepNext/>
        <w:keepLines/>
        <w:widowControl w:val="0"/>
        <w:spacing w:before="0" w:beforeAutospacing="0" w:after="0" w:afterAutospacing="0" w:line="400" w:lineRule="exact"/>
        <w:ind w:firstLine="480"/>
        <w:jc w:val="both"/>
        <w:rPr>
          <w:color w:val="auto"/>
          <w:highlight w:val="none"/>
        </w:rPr>
      </w:pPr>
      <w:r>
        <w:rPr>
          <w:rFonts w:hint="eastAsia"/>
          <w:color w:val="auto"/>
          <w:highlight w:val="none"/>
        </w:rPr>
        <w:t>17、投标有效期的延长</w:t>
      </w:r>
    </w:p>
    <w:p w14:paraId="1392AC42">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17.1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同时受投标有效期约束的所有权利与义务均延长至新的有效期。</w:t>
      </w:r>
    </w:p>
    <w:p w14:paraId="62A80714">
      <w:pPr>
        <w:pStyle w:val="48"/>
        <w:keepNext/>
        <w:keepLines/>
        <w:widowControl w:val="0"/>
        <w:spacing w:before="0" w:beforeAutospacing="0" w:after="0" w:afterAutospacing="0" w:line="400" w:lineRule="exact"/>
        <w:ind w:firstLine="482"/>
        <w:jc w:val="both"/>
        <w:rPr>
          <w:color w:val="auto"/>
          <w:highlight w:val="none"/>
        </w:rPr>
      </w:pPr>
      <w:bookmarkStart w:id="103" w:name="_Toc120614217"/>
      <w:bookmarkStart w:id="104" w:name="_Toc20823296"/>
      <w:bookmarkStart w:id="105" w:name="_Toc16938540"/>
      <w:bookmarkStart w:id="106" w:name="_Toc513029224"/>
      <w:r>
        <w:rPr>
          <w:rFonts w:hint="eastAsia"/>
          <w:b/>
          <w:color w:val="auto"/>
          <w:highlight w:val="none"/>
        </w:rPr>
        <w:t>四、投标文件的递交</w:t>
      </w:r>
      <w:bookmarkEnd w:id="103"/>
      <w:bookmarkEnd w:id="104"/>
      <w:bookmarkEnd w:id="105"/>
      <w:bookmarkEnd w:id="106"/>
    </w:p>
    <w:p w14:paraId="3ED51E3B">
      <w:pPr>
        <w:pStyle w:val="48"/>
        <w:keepNext/>
        <w:keepLines/>
        <w:widowControl w:val="0"/>
        <w:spacing w:before="0" w:beforeAutospacing="0" w:after="0" w:afterAutospacing="0" w:line="400" w:lineRule="exact"/>
        <w:ind w:firstLine="480"/>
        <w:jc w:val="both"/>
        <w:rPr>
          <w:color w:val="auto"/>
          <w:highlight w:val="none"/>
        </w:rPr>
      </w:pPr>
      <w:bookmarkStart w:id="107" w:name="_Toc462564084"/>
      <w:bookmarkStart w:id="108" w:name="_Toc20823297"/>
      <w:bookmarkStart w:id="109" w:name="_Toc513029225"/>
      <w:bookmarkStart w:id="110" w:name="_Toc16938541"/>
      <w:r>
        <w:rPr>
          <w:rFonts w:hint="eastAsia"/>
          <w:color w:val="auto"/>
          <w:highlight w:val="none"/>
        </w:rPr>
        <w:t>18、投标文件</w:t>
      </w:r>
      <w:bookmarkEnd w:id="107"/>
      <w:bookmarkEnd w:id="108"/>
      <w:bookmarkEnd w:id="109"/>
      <w:bookmarkEnd w:id="110"/>
      <w:r>
        <w:rPr>
          <w:rFonts w:hint="eastAsia"/>
          <w:color w:val="auto"/>
          <w:highlight w:val="none"/>
        </w:rPr>
        <w:t>的递交</w:t>
      </w:r>
    </w:p>
    <w:p w14:paraId="4609E538">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18.1 电子投标文件的递交</w:t>
      </w:r>
    </w:p>
    <w:p w14:paraId="7E9DA952">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投标人应当按照《操作手册》规定，在投标截止时间前制作并上传电子投标文件。</w:t>
      </w:r>
      <w:bookmarkStart w:id="111" w:name="_Toc20823298"/>
      <w:bookmarkEnd w:id="111"/>
      <w:bookmarkStart w:id="112" w:name="_Toc16938542"/>
      <w:bookmarkEnd w:id="112"/>
    </w:p>
    <w:p w14:paraId="067BC9E9">
      <w:pPr>
        <w:pStyle w:val="48"/>
        <w:keepNext/>
        <w:keepLines/>
        <w:widowControl w:val="0"/>
        <w:spacing w:before="0" w:beforeAutospacing="0" w:after="0" w:afterAutospacing="0" w:line="400" w:lineRule="exact"/>
        <w:ind w:firstLine="480"/>
        <w:jc w:val="both"/>
        <w:rPr>
          <w:color w:val="auto"/>
          <w:highlight w:val="none"/>
        </w:rPr>
      </w:pPr>
      <w:r>
        <w:rPr>
          <w:rFonts w:hint="eastAsia"/>
          <w:color w:val="auto"/>
          <w:highlight w:val="none"/>
        </w:rPr>
        <w:t>19、投标截止时间</w:t>
      </w:r>
    </w:p>
    <w:p w14:paraId="4EFF1C29">
      <w:pPr>
        <w:pStyle w:val="48"/>
        <w:keepNext/>
        <w:keepLines/>
        <w:widowControl w:val="0"/>
        <w:spacing w:before="0" w:beforeAutospacing="0" w:after="0" w:afterAutospacing="0" w:line="400" w:lineRule="exact"/>
        <w:ind w:firstLine="480"/>
        <w:jc w:val="both"/>
        <w:rPr>
          <w:color w:val="auto"/>
          <w:highlight w:val="none"/>
        </w:rPr>
      </w:pPr>
      <w:r>
        <w:rPr>
          <w:rFonts w:hint="eastAsia"/>
          <w:color w:val="auto"/>
          <w:highlight w:val="none"/>
        </w:rPr>
        <w:t>19.1投标人上传电子投标文件的时间不得迟于招标公告中规定的投标截止时间。</w:t>
      </w:r>
    </w:p>
    <w:p w14:paraId="0B530006">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投标人应充分考虑到网络环境、网络带宽等风险因素，如因投标人自身原因造成的电子投标文件上传不成功的按照本招标文件第二章第26.1.2条 规定做无效投标处理。</w:t>
      </w:r>
    </w:p>
    <w:p w14:paraId="5AE5AED0">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19.2采购人可以按照规定，通过修改招标文件酌情延长投标截止时间，在此情况下，投标人的所有权利和义务以及投标人受制的截止时间均应以延长后新的截止时间为准。</w:t>
      </w:r>
    </w:p>
    <w:p w14:paraId="4BA965A0">
      <w:pPr>
        <w:pStyle w:val="48"/>
        <w:keepNext/>
        <w:keepLines/>
        <w:widowControl w:val="0"/>
        <w:spacing w:before="0" w:beforeAutospacing="0" w:after="0" w:afterAutospacing="0" w:line="400" w:lineRule="exact"/>
        <w:ind w:firstLine="480"/>
        <w:jc w:val="both"/>
        <w:rPr>
          <w:color w:val="auto"/>
          <w:highlight w:val="none"/>
        </w:rPr>
      </w:pPr>
      <w:bookmarkStart w:id="113" w:name="_Toc20823299"/>
      <w:bookmarkStart w:id="114" w:name="_Toc16938543"/>
      <w:bookmarkStart w:id="115" w:name="_Toc513029227"/>
      <w:r>
        <w:rPr>
          <w:rFonts w:hint="eastAsia"/>
          <w:color w:val="auto"/>
          <w:highlight w:val="none"/>
        </w:rPr>
        <w:t>20、投标文件</w:t>
      </w:r>
      <w:bookmarkEnd w:id="113"/>
      <w:bookmarkEnd w:id="114"/>
      <w:bookmarkEnd w:id="115"/>
      <w:r>
        <w:rPr>
          <w:rFonts w:hint="eastAsia"/>
          <w:color w:val="auto"/>
          <w:highlight w:val="none"/>
        </w:rPr>
        <w:t>的拒收</w:t>
      </w:r>
    </w:p>
    <w:p w14:paraId="704F5B25">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20.1采购人拒绝接收在其规定的投标截止时间后上传的任何投标文件。</w:t>
      </w:r>
    </w:p>
    <w:p w14:paraId="2212675C">
      <w:pPr>
        <w:pStyle w:val="48"/>
        <w:keepNext/>
        <w:keepLines/>
        <w:widowControl w:val="0"/>
        <w:spacing w:before="0" w:beforeAutospacing="0" w:after="0" w:afterAutospacing="0" w:line="400" w:lineRule="exact"/>
        <w:ind w:firstLine="480"/>
        <w:jc w:val="both"/>
        <w:rPr>
          <w:color w:val="auto"/>
          <w:highlight w:val="none"/>
        </w:rPr>
      </w:pPr>
      <w:bookmarkStart w:id="116" w:name="_Toc16938544"/>
      <w:bookmarkStart w:id="117" w:name="_Toc513029228"/>
      <w:bookmarkStart w:id="118" w:name="_Toc20823300"/>
      <w:r>
        <w:rPr>
          <w:rFonts w:hint="eastAsia"/>
          <w:color w:val="auto"/>
          <w:highlight w:val="none"/>
        </w:rPr>
        <w:t>21、投标文件的撤回和修改</w:t>
      </w:r>
      <w:bookmarkEnd w:id="116"/>
      <w:bookmarkEnd w:id="117"/>
      <w:bookmarkEnd w:id="118"/>
    </w:p>
    <w:p w14:paraId="457140C8">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21.1投标文件的撤回</w:t>
      </w:r>
    </w:p>
    <w:p w14:paraId="0328171E">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21.1.1电子投标文件的撤回</w:t>
      </w:r>
    </w:p>
    <w:p w14:paraId="30D8B72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投标人可在投标截止时间前，撤回其电子投标文件，具体操作方法见《操作手册》。</w:t>
      </w:r>
    </w:p>
    <w:p w14:paraId="6AB501FA">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21.1.2投标人撤回电子投标文件，则认为其不再参与本项目投标活动。</w:t>
      </w:r>
    </w:p>
    <w:p w14:paraId="7ABF78BD">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21.2 投标文件的修改</w:t>
      </w:r>
    </w:p>
    <w:p w14:paraId="26E012E2">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21.2.1投标人可在投标截止时间前，对其电子投标文件进行修改，具体操作方法见《操作手册》。</w:t>
      </w:r>
    </w:p>
    <w:p w14:paraId="514C8701">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21.2.2在投标截止时间之后，投标人不得对其电子投标文件作任何修改。</w:t>
      </w:r>
    </w:p>
    <w:p w14:paraId="02354CA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21.3在投标截止时间至招标文件中规定的投标有效期满之间的这段时间内，投标人不得撤回其投标。</w:t>
      </w:r>
    </w:p>
    <w:p w14:paraId="45B0988D">
      <w:pPr>
        <w:pStyle w:val="48"/>
        <w:keepNext/>
        <w:keepLines/>
        <w:widowControl w:val="0"/>
        <w:spacing w:before="0" w:beforeAutospacing="0" w:after="0" w:afterAutospacing="0" w:line="400" w:lineRule="exact"/>
        <w:ind w:firstLine="482"/>
        <w:jc w:val="both"/>
        <w:rPr>
          <w:color w:val="auto"/>
          <w:highlight w:val="none"/>
        </w:rPr>
      </w:pPr>
      <w:bookmarkStart w:id="119" w:name="_Toc20823301"/>
      <w:bookmarkStart w:id="120" w:name="_Toc16938545"/>
      <w:bookmarkStart w:id="121" w:name="_Toc513029229"/>
      <w:bookmarkStart w:id="122" w:name="_Toc120614218"/>
      <w:r>
        <w:rPr>
          <w:rFonts w:hint="eastAsia"/>
          <w:b/>
          <w:color w:val="auto"/>
          <w:highlight w:val="none"/>
        </w:rPr>
        <w:t>五、开标与评标</w:t>
      </w:r>
      <w:bookmarkEnd w:id="119"/>
      <w:bookmarkEnd w:id="120"/>
      <w:bookmarkEnd w:id="121"/>
      <w:bookmarkEnd w:id="122"/>
    </w:p>
    <w:p w14:paraId="69AB2057">
      <w:pPr>
        <w:pStyle w:val="48"/>
        <w:keepNext/>
        <w:keepLines/>
        <w:widowControl w:val="0"/>
        <w:spacing w:before="0" w:beforeAutospacing="0" w:after="0" w:afterAutospacing="0" w:line="400" w:lineRule="exact"/>
        <w:ind w:firstLine="480"/>
        <w:jc w:val="both"/>
        <w:rPr>
          <w:color w:val="auto"/>
          <w:highlight w:val="none"/>
        </w:rPr>
      </w:pPr>
      <w:bookmarkStart w:id="123" w:name="_Toc16938546"/>
      <w:bookmarkStart w:id="124" w:name="_Toc20823302"/>
      <w:bookmarkStart w:id="125" w:name="_Toc513029230"/>
      <w:r>
        <w:rPr>
          <w:rFonts w:hint="eastAsia"/>
          <w:color w:val="auto"/>
          <w:highlight w:val="none"/>
        </w:rPr>
        <w:t>22、开标</w:t>
      </w:r>
      <w:bookmarkEnd w:id="123"/>
      <w:bookmarkEnd w:id="124"/>
      <w:bookmarkEnd w:id="125"/>
    </w:p>
    <w:p w14:paraId="607B0EB5">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22.1采购人委托代理机构将在招标公告中规定的时间和地点组织公开开标。投标人应当按照《操作手册》规定，参加开标活动和在苏采云系统规定的时间内对投标文件进行解密。</w:t>
      </w:r>
    </w:p>
    <w:p w14:paraId="26CB36F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22.2开标仪式由采购人委托代理机构组织。苏采云系统将自动对项目进行开标，并宣布各投标人名称和投标价格。</w:t>
      </w:r>
    </w:p>
    <w:p w14:paraId="48BF1F74">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22.3投标人在开标过程中涉及到的投标文件解密、开标结果确认等工作，应按照《操作手册》规定执行。</w:t>
      </w:r>
    </w:p>
    <w:p w14:paraId="6AD7B307">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22.4投标人如果对开标过程和开标记录有疑义，应当根据《操作手册》规定提出，如苏采云系统中《开标记录表》宣布后5分钟内未提出的，视同认可开标结果。</w:t>
      </w:r>
    </w:p>
    <w:p w14:paraId="46F069DF">
      <w:pPr>
        <w:pStyle w:val="48"/>
        <w:keepNext/>
        <w:keepLines/>
        <w:widowControl w:val="0"/>
        <w:spacing w:before="0" w:beforeAutospacing="0" w:after="0" w:afterAutospacing="0" w:line="400" w:lineRule="exact"/>
        <w:ind w:firstLine="480"/>
        <w:jc w:val="both"/>
        <w:rPr>
          <w:color w:val="auto"/>
          <w:highlight w:val="none"/>
        </w:rPr>
      </w:pPr>
      <w:bookmarkStart w:id="126" w:name="_Toc513029231"/>
      <w:bookmarkStart w:id="127" w:name="_Toc16938547"/>
      <w:bookmarkStart w:id="128" w:name="_Toc20823303"/>
      <w:r>
        <w:rPr>
          <w:rFonts w:hint="eastAsia"/>
          <w:color w:val="auto"/>
          <w:highlight w:val="none"/>
        </w:rPr>
        <w:t>23、评标委员会</w:t>
      </w:r>
      <w:bookmarkEnd w:id="126"/>
      <w:bookmarkEnd w:id="127"/>
      <w:bookmarkEnd w:id="128"/>
    </w:p>
    <w:p w14:paraId="0887E592">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23.1开标后，采购人将立即组织评标委员会（以下简称评委会）进行评标。</w:t>
      </w:r>
    </w:p>
    <w:p w14:paraId="7C4A7FD2">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23.2评委会由采购人代表和有关技术、经济等方面的专家组成，且人员构成符合政府采购有关规定。</w:t>
      </w:r>
    </w:p>
    <w:p w14:paraId="3E6C5F6A">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23.3评委会独立工作，负责评审所有投标文件并确定中标侯选人。</w:t>
      </w:r>
    </w:p>
    <w:p w14:paraId="3EA6B5FA">
      <w:pPr>
        <w:pStyle w:val="48"/>
        <w:keepNext/>
        <w:keepLines/>
        <w:widowControl w:val="0"/>
        <w:spacing w:before="0" w:beforeAutospacing="0" w:after="0" w:afterAutospacing="0" w:line="400" w:lineRule="exact"/>
        <w:ind w:firstLine="480"/>
        <w:jc w:val="both"/>
        <w:rPr>
          <w:color w:val="auto"/>
          <w:highlight w:val="none"/>
        </w:rPr>
      </w:pPr>
      <w:r>
        <w:rPr>
          <w:rFonts w:hint="eastAsia"/>
          <w:color w:val="auto"/>
          <w:highlight w:val="none"/>
        </w:rPr>
        <w:t>23、评标过程的保密与公正</w:t>
      </w:r>
    </w:p>
    <w:p w14:paraId="21D40A29">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24.1凡是与审查、澄清、评价和比较投标的有关资料以及授标建议等，采购人、评委、采购人均不得向投标人或与评标无关的其他人员透露。</w:t>
      </w:r>
    </w:p>
    <w:p w14:paraId="748CC398">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24.2在评标过程中，投标人不得以任何行为影响评标过程，否则其投标文件将被作为无效投标文件。</w:t>
      </w:r>
    </w:p>
    <w:p w14:paraId="0BEF1725">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24.3采购人和评标委员会不向未中标的投标人解释未中标原因，也不公布评标过程中的相关细节。</w:t>
      </w:r>
    </w:p>
    <w:p w14:paraId="2174BF21">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24.4采用综合评分法的项目，未中标的投标人可于中标结果公告期限届满之日起通过苏采云系统查看自己的评审得分及排序情况。</w:t>
      </w:r>
    </w:p>
    <w:p w14:paraId="5F45E674">
      <w:pPr>
        <w:pStyle w:val="48"/>
        <w:keepNext/>
        <w:keepLines/>
        <w:widowControl w:val="0"/>
        <w:spacing w:before="0" w:beforeAutospacing="0" w:after="0" w:afterAutospacing="0" w:line="400" w:lineRule="exact"/>
        <w:ind w:firstLine="480"/>
        <w:jc w:val="both"/>
        <w:rPr>
          <w:color w:val="auto"/>
          <w:highlight w:val="none"/>
        </w:rPr>
      </w:pPr>
      <w:bookmarkStart w:id="129" w:name="_Toc16938548"/>
      <w:bookmarkStart w:id="130" w:name="_Toc513029232"/>
      <w:bookmarkStart w:id="131" w:name="_Toc20823304"/>
      <w:r>
        <w:rPr>
          <w:rFonts w:hint="eastAsia"/>
          <w:color w:val="auto"/>
          <w:highlight w:val="none"/>
        </w:rPr>
        <w:t>25、投标文件的澄清</w:t>
      </w:r>
      <w:bookmarkEnd w:id="129"/>
      <w:bookmarkEnd w:id="130"/>
      <w:bookmarkEnd w:id="131"/>
    </w:p>
    <w:p w14:paraId="56C650B9">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25.1评标期间，评委会对投标文件中含义不明确、同类问题表述不一致或者有明显文字和计算错误的内容 ，有权要求投标人作出必要的澄清、说明或者补正。</w:t>
      </w:r>
    </w:p>
    <w:p w14:paraId="645E0720">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投标人的澄清、说明或者补正不得超出投标文件的范围或者改变投标文件的实质性内容。</w:t>
      </w:r>
    </w:p>
    <w:p w14:paraId="3264174A">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评标委员会并非对每个投标人都做澄清要求。</w:t>
      </w:r>
    </w:p>
    <w:p w14:paraId="5C67E08D">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25.2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5C0CDEA9">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25.3接到评委会澄清、说明和补正要求的投标人如未按规定做出澄清、说明和补正，其风险由投标人自行承担。</w:t>
      </w:r>
    </w:p>
    <w:p w14:paraId="37C536E6">
      <w:pPr>
        <w:pStyle w:val="48"/>
        <w:keepNext/>
        <w:keepLines/>
        <w:widowControl w:val="0"/>
        <w:spacing w:before="0" w:beforeAutospacing="0" w:after="0" w:afterAutospacing="0" w:line="400" w:lineRule="exact"/>
        <w:ind w:firstLine="480"/>
        <w:jc w:val="both"/>
        <w:rPr>
          <w:color w:val="auto"/>
          <w:highlight w:val="none"/>
        </w:rPr>
      </w:pPr>
      <w:bookmarkStart w:id="132" w:name="_Toc16938549"/>
      <w:bookmarkStart w:id="133" w:name="_Toc20823305"/>
      <w:bookmarkStart w:id="134" w:name="_Toc513029233"/>
      <w:r>
        <w:rPr>
          <w:rFonts w:hint="eastAsia"/>
          <w:color w:val="auto"/>
          <w:highlight w:val="none"/>
        </w:rPr>
        <w:t>26、对投标文件的初审</w:t>
      </w:r>
      <w:bookmarkEnd w:id="132"/>
      <w:bookmarkEnd w:id="133"/>
      <w:bookmarkEnd w:id="134"/>
    </w:p>
    <w:p w14:paraId="603DE65E">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26.1投标文件初审分为资格审查和符合性审查。</w:t>
      </w:r>
    </w:p>
    <w:p w14:paraId="70D65E5E">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26.1.1资格审查：依据法律法规和招标文件的规定，由采购人对投标文件中的资格证明文件进行审查。资格审查的结论，采购人以书面形式向评委会进行反馈。</w:t>
      </w:r>
    </w:p>
    <w:p w14:paraId="2B8BD85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采购人在进行资格性审查的同时，将在“信用中国”网站（www.creditchina.gov.cn）查询投标人的信用记录，以确定投标人是否具备投标资格,查询结果留存并归档。</w:t>
      </w:r>
    </w:p>
    <w:p w14:paraId="459CACE6">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26.1.2符合性审查：依据招标文件的规定，由评委会从投标文件的有效性、完整性和对招标文件的响应程度进行审查，以确定是否对招标文件的实质性要求作出响应。</w:t>
      </w:r>
    </w:p>
    <w:p w14:paraId="5B5DF77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26.1.3未通过资格审查或符合性审查的投标人，采购人将在苏采云系统中告知未通过资格审查或符合性审查的原因，评标结束后，采购人将不再告知未通过资格审查和符合性审查的原因。</w:t>
      </w:r>
    </w:p>
    <w:p w14:paraId="365964C9">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26.2在详细评标之前，评委会将首先审查每份投标文件是否实质性响应了招标文件的要求。实质性响应的投标应该是与招标文件要求的全部条款、条件和规格相符，没有重大偏离或保留的投标。</w:t>
      </w:r>
    </w:p>
    <w:p w14:paraId="1E1F25D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所谓重大偏离或保留是指与招标文件规定的实质性要求存在负偏离，或者在实质上与招标文件不一致，而且限制了合同中买方和采购人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674001C4">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26.3如果投标文件实质上没有响应招标文件的要求，评委会将予以拒绝，投标人不得通过修改或撤销不合要求的偏离或保留而使其投标成为实质性响应的投标。</w:t>
      </w:r>
    </w:p>
    <w:p w14:paraId="280B8E0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26.4评委会将对确定为实质性响应的投标进行进一步审核，确定其是否有计算上或累加上的算术错误，修正错误的原则如下：</w:t>
      </w:r>
    </w:p>
    <w:p w14:paraId="6F79E64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（1）投标文件中开标一览表内容与投标文件中相应内容不一致的，以开标一览表为准。</w:t>
      </w:r>
    </w:p>
    <w:p w14:paraId="65D023D2">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（2）大写金额和小写金额不一致的，以大写金额为准。</w:t>
      </w:r>
    </w:p>
    <w:p w14:paraId="2277A820">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（3）单价金额小数点或者百分比有明显错位的，以开标一览表的总价为准，并修改单价。</w:t>
      </w:r>
    </w:p>
    <w:p w14:paraId="5385DE48">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（4）总价金额与按单价汇总金额不一致的，以单价金额计算结果为准。</w:t>
      </w:r>
    </w:p>
    <w:p w14:paraId="2ECEB27D">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同时出现两种以上错误的，按照前款规定的顺序修正。</w:t>
      </w:r>
    </w:p>
    <w:p w14:paraId="2F4AB90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26.5评委会将按上述修正错误的方法调整投标文件中的投标报价，并通过苏采云系统告知投标人，调整后的价格应对投标人具有约束力。如果投标人不接受修正后的价格，则其投标将被拒绝。</w:t>
      </w:r>
    </w:p>
    <w:p w14:paraId="52DE44BE">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26.6采用最低评标价法的采购项目，提供相同品牌产品的不同投标人参加同一合同项下投标的，以其中通过资格审查、符合性审查且报价最低的参加评标；报价相同的，由评标委员会按照招标文件规定的方式（招标文件未规定的通过随机抽取的方式）确定一个参加评标的投标人，其他投标无效。</w:t>
      </w:r>
    </w:p>
    <w:p w14:paraId="01CD2DD8">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招标文件未规定的采取随机抽取的方式）确定一个中标候选人，其他同品牌投标人不作为中标候选人。</w:t>
      </w:r>
    </w:p>
    <w:p w14:paraId="794BEBBE">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非单一产品采购项目，招标文件中将载明其中的核心产品。多家投标人提供的核心产品品牌相同的，按前两款规定处理。</w:t>
      </w:r>
    </w:p>
    <w:p w14:paraId="5D03A74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26.7投标人在开、评标全过程中应保持通讯畅通，及时登录苏采云系统查阅、答复相关信息，并安排专人与采购中心及评标委员会联系。</w:t>
      </w:r>
    </w:p>
    <w:p w14:paraId="08F2EFBC">
      <w:pPr>
        <w:pStyle w:val="48"/>
        <w:keepNext/>
        <w:keepLines/>
        <w:widowControl w:val="0"/>
        <w:spacing w:before="0" w:beforeAutospacing="0" w:after="0" w:afterAutospacing="0" w:line="400" w:lineRule="exact"/>
        <w:ind w:firstLine="480"/>
        <w:jc w:val="both"/>
        <w:rPr>
          <w:color w:val="auto"/>
          <w:highlight w:val="none"/>
        </w:rPr>
      </w:pPr>
      <w:r>
        <w:rPr>
          <w:rFonts w:hint="eastAsia"/>
          <w:color w:val="auto"/>
          <w:highlight w:val="none"/>
        </w:rPr>
        <w:t>27、无效投标条款和废标条款</w:t>
      </w:r>
    </w:p>
    <w:p w14:paraId="15CF77DD">
      <w:pPr>
        <w:pStyle w:val="48"/>
        <w:widowControl w:val="0"/>
        <w:spacing w:before="0" w:beforeAutospacing="0" w:after="0" w:afterAutospacing="0" w:line="400" w:lineRule="exact"/>
        <w:ind w:firstLine="480"/>
        <w:jc w:val="both"/>
        <w:rPr>
          <w:color w:val="auto"/>
          <w:highlight w:val="none"/>
        </w:rPr>
      </w:pPr>
      <w:bookmarkStart w:id="135" w:name="_Toc513029235"/>
      <w:bookmarkStart w:id="136" w:name="_Toc20823307"/>
      <w:bookmarkStart w:id="137" w:name="_Toc16938551"/>
      <w:r>
        <w:rPr>
          <w:rFonts w:hint="eastAsia"/>
          <w:color w:val="auto"/>
          <w:highlight w:val="none"/>
        </w:rPr>
        <w:t>27.1无效投标条款</w:t>
      </w:r>
      <w:bookmarkEnd w:id="135"/>
      <w:bookmarkEnd w:id="136"/>
      <w:bookmarkEnd w:id="137"/>
    </w:p>
    <w:p w14:paraId="1F3B203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27.1.1投标人在苏采云系统规定的时间内未成功解密电子投标文件的。</w:t>
      </w:r>
    </w:p>
    <w:p w14:paraId="3070480B">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27.1.2投标人未按照招标文件要求上传电子投标文件的。</w:t>
      </w:r>
    </w:p>
    <w:p w14:paraId="176D9366">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27.1.3同一投标人提交两个（含两个）以上不同的投标报价的。</w:t>
      </w:r>
    </w:p>
    <w:p w14:paraId="6BF7FD52">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27.1.4投标人不具备招标文件中规定资格要求的。</w:t>
      </w:r>
    </w:p>
    <w:p w14:paraId="5A619795">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27.1.5投标人的报价超过了采购预算或最高限价的。</w:t>
      </w:r>
    </w:p>
    <w:p w14:paraId="75F324BB">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27.1.6未通过符合性审查的。</w:t>
      </w:r>
    </w:p>
    <w:p w14:paraId="3DFA4F4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27.1.7不符合招标文件中规定的实质性要求和条件的</w:t>
      </w:r>
      <w:r>
        <w:rPr>
          <w:rFonts w:hint="eastAsia"/>
          <w:i/>
          <w:color w:val="auto"/>
          <w:highlight w:val="none"/>
        </w:rPr>
        <w:t>。</w:t>
      </w:r>
    </w:p>
    <w:p w14:paraId="263C71C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27.1.8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5BD8FF6">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27.1.9投标文件含有采购人不能接受的附加条件的。</w:t>
      </w:r>
    </w:p>
    <w:p w14:paraId="57CAA21A">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27.1.10评标委员会认为投标人的报价明显低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14:paraId="1DB764E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27.1.11投标文件未按照招标文件要求加盖CA电子公章的。</w:t>
      </w:r>
    </w:p>
    <w:p w14:paraId="501F7995">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27.1.12其他法律、法规及本招标文件规定的属无效投标的情形。</w:t>
      </w:r>
    </w:p>
    <w:p w14:paraId="0A1123D2">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27.2废标条款</w:t>
      </w:r>
    </w:p>
    <w:p w14:paraId="5F4C1CD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27.2.1符合专业条件的供应商或者对招标文件作实质响应的供应商不足三家的。</w:t>
      </w:r>
    </w:p>
    <w:p w14:paraId="3002781A">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27.2.2出现影响采购公正的违法、违规行为的。</w:t>
      </w:r>
    </w:p>
    <w:p w14:paraId="7680E8BB">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27.2.3因重大变故，采购任务取消的。</w:t>
      </w:r>
    </w:p>
    <w:p w14:paraId="39E0EA5A">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27.2.4评标委员会认定招标文件存在歧义、重大缺陷导致评审工作无法进行。</w:t>
      </w:r>
    </w:p>
    <w:p w14:paraId="66972A97">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27.2.5因苏采云系统系统故障原因造成开标不成功的。</w:t>
      </w:r>
    </w:p>
    <w:p w14:paraId="61C0FD9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27.3 投标截止时间结束后参加投标的供应商不足三家的处理：</w:t>
      </w:r>
    </w:p>
    <w:p w14:paraId="194063DD">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27.3.1如出现投标截止时间结束后参加投标的供应商或者在评标期间对招标文件做出实质响应的供应商不足三家情况，按政府采购相关规定执行。</w:t>
      </w:r>
    </w:p>
    <w:p w14:paraId="79D6F7C0">
      <w:pPr>
        <w:pStyle w:val="48"/>
        <w:keepNext/>
        <w:keepLines/>
        <w:widowControl w:val="0"/>
        <w:spacing w:before="0" w:beforeAutospacing="0" w:after="0" w:afterAutospacing="0" w:line="400" w:lineRule="exact"/>
        <w:ind w:firstLine="482"/>
        <w:jc w:val="both"/>
        <w:rPr>
          <w:color w:val="auto"/>
          <w:highlight w:val="none"/>
        </w:rPr>
      </w:pPr>
      <w:bookmarkStart w:id="138" w:name="_Toc120614219"/>
      <w:r>
        <w:rPr>
          <w:rFonts w:hint="eastAsia"/>
          <w:b/>
          <w:color w:val="auto"/>
          <w:highlight w:val="none"/>
        </w:rPr>
        <w:t>六、定标</w:t>
      </w:r>
      <w:bookmarkEnd w:id="138"/>
    </w:p>
    <w:p w14:paraId="4E64646D">
      <w:pPr>
        <w:pStyle w:val="48"/>
        <w:keepNext/>
        <w:keepLines/>
        <w:widowControl w:val="0"/>
        <w:spacing w:before="0" w:beforeAutospacing="0" w:after="0" w:afterAutospacing="0" w:line="400" w:lineRule="exact"/>
        <w:ind w:firstLine="480"/>
        <w:jc w:val="both"/>
        <w:rPr>
          <w:color w:val="auto"/>
          <w:highlight w:val="none"/>
        </w:rPr>
      </w:pPr>
      <w:bookmarkStart w:id="139" w:name="_Toc20823310"/>
      <w:bookmarkStart w:id="140" w:name="_Toc16938554"/>
      <w:bookmarkStart w:id="141" w:name="_Toc513029238"/>
      <w:r>
        <w:rPr>
          <w:rFonts w:hint="eastAsia"/>
          <w:color w:val="auto"/>
          <w:highlight w:val="none"/>
        </w:rPr>
        <w:t>28、</w:t>
      </w:r>
      <w:bookmarkEnd w:id="139"/>
      <w:r>
        <w:rPr>
          <w:rFonts w:hint="eastAsia"/>
          <w:color w:val="auto"/>
          <w:highlight w:val="none"/>
        </w:rPr>
        <w:t>确定</w:t>
      </w:r>
      <w:bookmarkEnd w:id="140"/>
      <w:bookmarkEnd w:id="141"/>
      <w:r>
        <w:rPr>
          <w:rFonts w:hint="eastAsia"/>
          <w:color w:val="auto"/>
          <w:highlight w:val="none"/>
        </w:rPr>
        <w:t>中标单位</w:t>
      </w:r>
    </w:p>
    <w:p w14:paraId="3CDB9DA6">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 xml:space="preserve">28.1中标候选人的选取原则和数量见招标文件第五章规定。 </w:t>
      </w:r>
    </w:p>
    <w:p w14:paraId="602E3DC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28.2采购人应根据评委会推荐的中标候选人确定中标人。</w:t>
      </w:r>
    </w:p>
    <w:p w14:paraId="6319A5F2">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28.3采购人将在“中国政府采购网”、“江苏政府采购网”、“盐城市政府采购网”发布中标公告，公告期限为1个工作日。</w:t>
      </w:r>
    </w:p>
    <w:p w14:paraId="2A368EB9">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28.4若有充分证据证明，中标人出现下列情况之一的，一经查实，将被取消中标资格：</w:t>
      </w:r>
    </w:p>
    <w:p w14:paraId="2EC937B5">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28.4.1提供虚假材料谋取中标的。</w:t>
      </w:r>
    </w:p>
    <w:p w14:paraId="57275044">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28.4.2向采购人、采购人行贿或者提供其他不正当利益的。</w:t>
      </w:r>
    </w:p>
    <w:p w14:paraId="4C6001C8">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28.4.3属于本文件规定的无效条件，但在评标过程中又未被评委会发现的。</w:t>
      </w:r>
    </w:p>
    <w:p w14:paraId="1C0CD24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28.4.4与采购人或者其他供应商恶意串通的。</w:t>
      </w:r>
    </w:p>
    <w:p w14:paraId="492EE9FA">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28.4.5采取不正当手段诋毁、排挤其他供应商的。</w:t>
      </w:r>
    </w:p>
    <w:p w14:paraId="14F98615">
      <w:pPr>
        <w:pStyle w:val="48"/>
        <w:widowControl w:val="0"/>
        <w:spacing w:before="0" w:beforeAutospacing="0" w:after="0" w:afterAutospacing="0" w:line="400" w:lineRule="exact"/>
        <w:ind w:firstLine="480"/>
        <w:jc w:val="both"/>
        <w:rPr>
          <w:color w:val="auto"/>
          <w:highlight w:val="none"/>
        </w:rPr>
      </w:pPr>
      <w:bookmarkStart w:id="142" w:name="_Toc200451960"/>
      <w:r>
        <w:rPr>
          <w:rFonts w:hint="eastAsia"/>
          <w:color w:val="auto"/>
          <w:highlight w:val="none"/>
        </w:rPr>
        <w:t>28.5 有下列情形之一的，视为投标人串通投标，投标无效：</w:t>
      </w:r>
      <w:bookmarkEnd w:id="142"/>
    </w:p>
    <w:p w14:paraId="260EEF8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28.5.1不同投标人的投标文件由同一单位或者个人编制。</w:t>
      </w:r>
    </w:p>
    <w:p w14:paraId="014BE4C9">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28.5.2不同投标人委托同一单位或者个人办理投标事宜。</w:t>
      </w:r>
    </w:p>
    <w:p w14:paraId="77F01397">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28.5.3不同投标人的投标文件载明的项目管理成员或者联系人员为同一人。</w:t>
      </w:r>
    </w:p>
    <w:p w14:paraId="0534EC49">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28.5.4不同投标人的投标文件异常一致或者投标报价呈规律性差异。</w:t>
      </w:r>
    </w:p>
    <w:p w14:paraId="2F4F001D">
      <w:pPr>
        <w:pStyle w:val="48"/>
        <w:keepNext/>
        <w:keepLines/>
        <w:widowControl w:val="0"/>
        <w:spacing w:before="0" w:beforeAutospacing="0" w:after="0" w:afterAutospacing="0" w:line="400" w:lineRule="exact"/>
        <w:ind w:firstLine="480"/>
        <w:jc w:val="both"/>
        <w:rPr>
          <w:color w:val="auto"/>
          <w:highlight w:val="none"/>
        </w:rPr>
      </w:pPr>
      <w:r>
        <w:rPr>
          <w:rFonts w:hint="eastAsia"/>
          <w:color w:val="auto"/>
          <w:highlight w:val="none"/>
        </w:rPr>
        <w:t>29、质疑处理</w:t>
      </w:r>
    </w:p>
    <w:p w14:paraId="2C08403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29.1提出质疑的供应商应当是参与所质疑项目采购活动的供应商。潜在供应商依法获取其可质疑的采购文件的，可以对采购文件提出质疑。</w:t>
      </w:r>
    </w:p>
    <w:p w14:paraId="658C4DEA">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29.2供应商认为采购文件、采购过程和采购结果使自己的权益受到损害的，可以在知道或应知其权益受到损害之日起七个工作日内，以书面形式根据下述28.4条款的规定向采购人或采购人提出质疑。上述应知其权益受到损害之日，是指：</w:t>
      </w:r>
    </w:p>
    <w:p w14:paraId="073AC5C2">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29.2.1对可以质疑的采购文件提出质疑的，为收到采购文件之日或者采购文件公告期限届满之日；</w:t>
      </w:r>
    </w:p>
    <w:p w14:paraId="22EF012D">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29.2.2对采购过程提出质疑的，为各采购程序环节结束之日；</w:t>
      </w:r>
    </w:p>
    <w:p w14:paraId="04AEC54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29.2.3对中标或者成交结果提出质疑的，为中标或者成交结果公告期限届满之日。</w:t>
      </w:r>
    </w:p>
    <w:p w14:paraId="3F9AAA65">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供应商应当在法定质疑期内一次性提出针对同一采购程序环节的质疑。供应商如在法定期限内对同一采购程序环节提出多次质疑的，采购人、采购人将只对供应商第一次质疑作出答复。</w:t>
      </w:r>
    </w:p>
    <w:p w14:paraId="0BA4A5BE">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29.3质疑函必须按照本招标文件中《质疑函范本》要求的格式和内容进行填写。</w:t>
      </w:r>
    </w:p>
    <w:p w14:paraId="132F733B">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29.4供应商（含潜在供应商）对采购方式、采购需求、供应商资格条件及审查结果、评标方法和评标标准、合同文本的询问、质疑请向采购人提出，由采购人负责答复。供应商对除上述事项以外其他事项的询问、质疑请向采购人提出，由采购人负责答复。</w:t>
      </w:r>
    </w:p>
    <w:p w14:paraId="0ABFBA88">
      <w:pPr>
        <w:tabs>
          <w:tab w:val="left" w:pos="1331"/>
        </w:tabs>
        <w:spacing w:line="400" w:lineRule="exact"/>
        <w:ind w:firstLine="480"/>
        <w:jc w:val="left"/>
        <w:rPr>
          <w:rFonts w:ascii="宋体" w:hAnsi="宋体" w:cs="宋体"/>
          <w:color w:val="auto"/>
          <w:sz w:val="24"/>
          <w:highlight w:val="none"/>
        </w:rPr>
      </w:pPr>
      <w:r>
        <w:rPr>
          <w:rFonts w:hint="eastAsia" w:ascii="宋体" w:hAnsi="宋体" w:cs="宋体"/>
          <w:color w:val="auto"/>
          <w:sz w:val="24"/>
          <w:highlight w:val="none"/>
        </w:rPr>
        <w:t>采购人只接收以纸质原件形式送达的质疑,采购人不接受未填写快递运单的快件。</w:t>
      </w:r>
    </w:p>
    <w:p w14:paraId="29D68F52">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29.5 以下情形的质疑不予受理</w:t>
      </w:r>
    </w:p>
    <w:p w14:paraId="774FF44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29.5.1内容不符合《政府采购质疑和投诉办法》第十二条规定的质疑。</w:t>
      </w:r>
    </w:p>
    <w:p w14:paraId="4BD4D277">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29.5.2超出政府采购法定期限的质疑。</w:t>
      </w:r>
    </w:p>
    <w:p w14:paraId="47093A81">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29.5.3以传真、电子邮件等方式递交的非原件形式的质疑。</w:t>
      </w:r>
    </w:p>
    <w:p w14:paraId="3E7AED57">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29.5.4未参加投标活动的供应商或在投标活动中自身权益未受到损害的供应商所提出的质疑。</w:t>
      </w:r>
    </w:p>
    <w:p w14:paraId="3EB81CDB">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29.6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2CE3ED45">
      <w:pPr>
        <w:pStyle w:val="48"/>
        <w:keepNext/>
        <w:keepLines/>
        <w:widowControl w:val="0"/>
        <w:spacing w:before="0" w:beforeAutospacing="0" w:after="0" w:afterAutospacing="0" w:line="400" w:lineRule="exact"/>
        <w:ind w:firstLine="480"/>
        <w:jc w:val="both"/>
        <w:rPr>
          <w:color w:val="auto"/>
          <w:highlight w:val="none"/>
        </w:rPr>
      </w:pPr>
      <w:r>
        <w:rPr>
          <w:rFonts w:hint="eastAsia"/>
          <w:color w:val="auto"/>
          <w:highlight w:val="none"/>
        </w:rPr>
        <w:t>30、中标通知书</w:t>
      </w:r>
    </w:p>
    <w:p w14:paraId="6F699AF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30.l中标结果确定后，采购人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093F6375">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30.2中标通知书将是合同的一个组成部分。对采购人和中标人均具有法律效力。中标通知书发出后，采购人改变中标结果的，或者中标人放弃中标项目的，应当依法承担法律责任。</w:t>
      </w:r>
    </w:p>
    <w:p w14:paraId="234A5F71">
      <w:pPr>
        <w:pStyle w:val="48"/>
        <w:keepNext/>
        <w:keepLines/>
        <w:widowControl w:val="0"/>
        <w:spacing w:before="0" w:beforeAutospacing="0" w:after="0" w:afterAutospacing="0" w:line="400" w:lineRule="exact"/>
        <w:ind w:firstLine="482"/>
        <w:jc w:val="both"/>
        <w:rPr>
          <w:color w:val="auto"/>
          <w:highlight w:val="none"/>
        </w:rPr>
      </w:pPr>
      <w:bookmarkStart w:id="143" w:name="_Toc20823308"/>
      <w:bookmarkStart w:id="144" w:name="_Toc120614220"/>
      <w:bookmarkStart w:id="145" w:name="_Toc16938552"/>
      <w:bookmarkStart w:id="146" w:name="_Toc513029236"/>
      <w:r>
        <w:rPr>
          <w:rFonts w:hint="eastAsia"/>
          <w:b/>
          <w:color w:val="auto"/>
          <w:highlight w:val="none"/>
        </w:rPr>
        <w:t>七、授予合同</w:t>
      </w:r>
      <w:bookmarkEnd w:id="143"/>
      <w:bookmarkEnd w:id="144"/>
      <w:bookmarkEnd w:id="145"/>
      <w:bookmarkEnd w:id="146"/>
    </w:p>
    <w:p w14:paraId="12B730C9">
      <w:pPr>
        <w:pStyle w:val="48"/>
        <w:keepNext/>
        <w:keepLines/>
        <w:widowControl w:val="0"/>
        <w:spacing w:before="0" w:beforeAutospacing="0" w:after="0" w:afterAutospacing="0" w:line="400" w:lineRule="exact"/>
        <w:ind w:firstLine="480"/>
        <w:jc w:val="both"/>
        <w:rPr>
          <w:color w:val="auto"/>
          <w:highlight w:val="none"/>
        </w:rPr>
      </w:pPr>
      <w:bookmarkStart w:id="147" w:name="_Toc20823309"/>
      <w:bookmarkStart w:id="148" w:name="_Toc16938553"/>
      <w:bookmarkStart w:id="149" w:name="_Toc513029237"/>
      <w:r>
        <w:rPr>
          <w:rFonts w:hint="eastAsia"/>
          <w:color w:val="auto"/>
          <w:highlight w:val="none"/>
        </w:rPr>
        <w:t>31.签订合同</w:t>
      </w:r>
      <w:bookmarkEnd w:id="147"/>
      <w:bookmarkEnd w:id="148"/>
      <w:bookmarkEnd w:id="149"/>
    </w:p>
    <w:p w14:paraId="4FB1097F">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31.l中标人应当在中标通知书发出之日起十五日内，按照招标文件确定的事项与采购人签订政府采购合同。</w:t>
      </w:r>
    </w:p>
    <w:p w14:paraId="72412DA7">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31.2招标文件、中标人的投标文件及招标过程中有关澄清、承诺文件均应作为合同附件。</w:t>
      </w:r>
    </w:p>
    <w:p w14:paraId="078573E4">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31.3签订合同后，</w:t>
      </w:r>
      <w:r>
        <w:rPr>
          <w:rFonts w:hint="eastAsia"/>
          <w:iCs/>
          <w:color w:val="auto"/>
          <w:highlight w:val="none"/>
        </w:rPr>
        <w:t>中标人不得将合同标的进行转包</w:t>
      </w:r>
      <w:r>
        <w:rPr>
          <w:rFonts w:hint="eastAsia"/>
          <w:color w:val="auto"/>
          <w:highlight w:val="none"/>
        </w:rPr>
        <w:t>。未经采购人同意，中标人也不得采用分包的形式履行合同，否则采购人有权终止合同。转包或分包造成采购人损失的，中标人应承担相应赔偿责任。</w:t>
      </w:r>
    </w:p>
    <w:p w14:paraId="1B22BA63">
      <w:pPr>
        <w:pStyle w:val="48"/>
        <w:keepNext/>
        <w:keepLines/>
        <w:widowControl w:val="0"/>
        <w:spacing w:before="0" w:beforeAutospacing="0" w:after="0" w:afterAutospacing="0" w:line="400" w:lineRule="exact"/>
        <w:ind w:firstLine="480"/>
        <w:jc w:val="both"/>
        <w:rPr>
          <w:color w:val="auto"/>
          <w:highlight w:val="none"/>
        </w:rPr>
      </w:pPr>
      <w:r>
        <w:rPr>
          <w:rFonts w:hint="eastAsia"/>
          <w:color w:val="auto"/>
          <w:highlight w:val="none"/>
        </w:rPr>
        <w:t>32、服务（包含与服务相关的货物）的追加</w:t>
      </w:r>
    </w:p>
    <w:p w14:paraId="56147F37">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32.1政府采购合同履行中，采购人需追加与合同标的相同的服务（包含与服务相关的货物），在不改变合同其他条款的前提下，可以与中标人协商签订补充合同，但所有补充合同的采购金额不超过原合同金额10% 。</w:t>
      </w:r>
    </w:p>
    <w:p w14:paraId="3E6B0644">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33、政府采购线上合同信用融资政策</w:t>
      </w:r>
    </w:p>
    <w:p w14:paraId="3F84DE45">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根据《转发江苏省财政厅 中国人民银行南京分行&lt;关于深入推进政府采购线上合同信用融资工作的通知&gt;的通知》（盐财购〔2021〕20号）规定，中标供应商如有融资需求，可持政府采购合同在线向相关金融机构（具体信息详见盐城市政府采购网“政采贷”栏目）申请贷款，相关金融机构按照双方自愿的原则提供便捷、优惠的贷款服务；具体操作流程请参考苏采云系统中供应商操作手册。</w:t>
      </w:r>
    </w:p>
    <w:p w14:paraId="43EBEDA7">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34、其他</w:t>
      </w:r>
    </w:p>
    <w:p w14:paraId="78109F1E">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34.1供应商对于投标产品的商品包装、快递包装应按照《关于印发《商品包装政府采购需求标准（试行）》、《快递包装政府采购需求标准（试行）》的通知》（财办库〔2020〕123号）执行。</w:t>
      </w:r>
    </w:p>
    <w:p w14:paraId="3B3EAAF8">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34.2本文件中若涉及到数据中心采购，应按照《&lt;绿色数据中心政府采购需求标准（试行）&gt;的通知》（财库〔2023〕7号）执行。</w:t>
      </w:r>
    </w:p>
    <w:p w14:paraId="643EC017">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34.3本项目落实预付款制度，预付款比例为30%。在签订合同时，中标、成交供应商明确书面表示无需预付款或者主动要求降低预付款比例的，采购人可就预付款比例作相应调整。</w:t>
      </w:r>
    </w:p>
    <w:p w14:paraId="3A54C23C">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34.4 确需收取履约保证金的，履约保证金的缴纳形式：</w:t>
      </w:r>
    </w:p>
    <w:p w14:paraId="17EBE4EE">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供应商应当以支票、汇票、本票或者金融机构、担保机构出具的保函等非现金形式提交履约保证金。依据《关于在全省政府采购领域推行电子履约保函（保险）的通知》，鼓励供应商自愿使用电子履约保函（保险）代替缴纳履约保证金。</w:t>
      </w:r>
    </w:p>
    <w:p w14:paraId="71D6039F">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如以履约保函（保险）形式缴纳履约保证金，供应商可通过政府采购电子履约保函（保险）平台（www.jsdzbh.com）在线申请履约保函（保险）。</w:t>
      </w:r>
    </w:p>
    <w:p w14:paraId="1B8A6E53">
      <w:pPr>
        <w:pStyle w:val="48"/>
        <w:widowControl w:val="0"/>
        <w:spacing w:before="0" w:beforeAutospacing="0" w:after="0" w:afterAutospacing="0" w:line="400" w:lineRule="exact"/>
        <w:ind w:firstLine="480"/>
        <w:jc w:val="both"/>
        <w:rPr>
          <w:color w:val="auto"/>
          <w:highlight w:val="none"/>
        </w:rPr>
      </w:pPr>
      <w:r>
        <w:rPr>
          <w:rFonts w:hint="eastAsia"/>
          <w:color w:val="auto"/>
          <w:highlight w:val="none"/>
        </w:rPr>
        <w:t>履约保证金金额：合同金额的10%，采购人对第三方信用服务机构依据标准规范评定为 AA 级及以上的政府采购供应商（需在签订采购合同前提供信用管理部门备案的第三方信用报告，且信用报告通过“信用盐城网”可查实），免收履约保证金或降低履约保证金缴纳比例。</w:t>
      </w:r>
      <w:bookmarkEnd w:id="42"/>
      <w:bookmarkEnd w:id="43"/>
      <w:bookmarkEnd w:id="44"/>
      <w:bookmarkEnd w:id="45"/>
      <w:bookmarkEnd w:id="46"/>
      <w:bookmarkEnd w:id="47"/>
      <w:bookmarkEnd w:id="48"/>
      <w:bookmarkStart w:id="150" w:name="_Toc397928599"/>
      <w:bookmarkStart w:id="151" w:name="_Toc508216932"/>
    </w:p>
    <w:p w14:paraId="3419C560">
      <w:pPr>
        <w:pStyle w:val="19"/>
        <w:rPr>
          <w:rFonts w:ascii="宋体" w:hAnsi="宋体" w:cs="宋体"/>
          <w:color w:val="auto"/>
          <w:szCs w:val="21"/>
          <w:highlight w:val="none"/>
        </w:rPr>
      </w:pPr>
    </w:p>
    <w:p w14:paraId="73078E6B">
      <w:pPr>
        <w:rPr>
          <w:rFonts w:ascii="宋体" w:hAnsi="宋体" w:cs="宋体"/>
          <w:color w:val="auto"/>
          <w:szCs w:val="21"/>
          <w:highlight w:val="none"/>
        </w:rPr>
      </w:pPr>
    </w:p>
    <w:p w14:paraId="15F33845">
      <w:pPr>
        <w:pStyle w:val="19"/>
        <w:rPr>
          <w:rFonts w:ascii="宋体" w:hAnsi="宋体" w:cs="宋体"/>
          <w:color w:val="auto"/>
          <w:szCs w:val="21"/>
          <w:highlight w:val="none"/>
        </w:rPr>
      </w:pPr>
    </w:p>
    <w:p w14:paraId="6200BF1F">
      <w:pPr>
        <w:rPr>
          <w:rFonts w:ascii="宋体" w:hAnsi="宋体" w:cs="宋体"/>
          <w:color w:val="auto"/>
          <w:szCs w:val="21"/>
          <w:highlight w:val="none"/>
        </w:rPr>
      </w:pPr>
    </w:p>
    <w:p w14:paraId="27076131">
      <w:pPr>
        <w:pStyle w:val="19"/>
        <w:rPr>
          <w:rFonts w:ascii="宋体" w:hAnsi="宋体" w:cs="宋体"/>
          <w:color w:val="auto"/>
          <w:highlight w:val="none"/>
        </w:rPr>
      </w:pPr>
    </w:p>
    <w:p w14:paraId="49D034B1">
      <w:pPr>
        <w:pStyle w:val="3"/>
        <w:spacing w:before="0" w:after="0" w:line="360" w:lineRule="auto"/>
        <w:rPr>
          <w:rFonts w:ascii="宋体" w:hAnsi="宋体" w:cs="宋体"/>
          <w:color w:val="auto"/>
          <w:highlight w:val="none"/>
        </w:rPr>
      </w:pPr>
      <w:r>
        <w:rPr>
          <w:rFonts w:hint="eastAsia" w:ascii="宋体" w:hAnsi="宋体" w:cs="宋体"/>
          <w:color w:val="auto"/>
          <w:highlight w:val="none"/>
        </w:rPr>
        <w:t xml:space="preserve">第三章 合同文本 </w:t>
      </w:r>
    </w:p>
    <w:p w14:paraId="585F3235">
      <w:pPr>
        <w:keepNext w:val="0"/>
        <w:keepLines w:val="0"/>
        <w:pageBreakBefore w:val="0"/>
        <w:widowControl w:val="0"/>
        <w:spacing w:line="440" w:lineRule="exact"/>
        <w:ind w:firstLine="48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项目名称：</w:t>
      </w:r>
      <w:r>
        <w:rPr>
          <w:rFonts w:hint="eastAsia" w:ascii="宋体" w:hAnsi="宋体" w:cs="宋体"/>
          <w:color w:val="auto"/>
          <w:sz w:val="24"/>
          <w:szCs w:val="24"/>
          <w:highlight w:val="none"/>
          <w:u w:val="single"/>
          <w:lang w:val="en-US" w:eastAsia="zh-CN"/>
        </w:rPr>
        <w:t xml:space="preserve">                       </w:t>
      </w:r>
    </w:p>
    <w:p w14:paraId="3FC99917">
      <w:pPr>
        <w:keepNext w:val="0"/>
        <w:keepLines w:val="0"/>
        <w:pageBreakBefore w:val="0"/>
        <w:widowControl w:val="0"/>
        <w:spacing w:line="440" w:lineRule="exact"/>
        <w:ind w:firstLine="480"/>
        <w:jc w:val="left"/>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lang w:val="en-US" w:eastAsia="zh-CN"/>
        </w:rPr>
        <w:t>项目编号：</w:t>
      </w:r>
      <w:r>
        <w:rPr>
          <w:rFonts w:hint="eastAsia" w:ascii="宋体" w:hAnsi="宋体" w:cs="宋体"/>
          <w:color w:val="auto"/>
          <w:sz w:val="24"/>
          <w:szCs w:val="24"/>
          <w:highlight w:val="none"/>
          <w:u w:val="single"/>
          <w:lang w:val="en-US" w:eastAsia="zh-CN"/>
        </w:rPr>
        <w:t xml:space="preserve">                        </w:t>
      </w:r>
    </w:p>
    <w:p w14:paraId="5568BA7E">
      <w:pPr>
        <w:keepNext w:val="0"/>
        <w:keepLines w:val="0"/>
        <w:pageBreakBefore w:val="0"/>
        <w:widowControl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（以下简称“甲方”）</w:t>
      </w:r>
    </w:p>
    <w:p w14:paraId="6141ADEB">
      <w:pPr>
        <w:keepNext w:val="0"/>
        <w:keepLines w:val="0"/>
        <w:pageBreakBefore w:val="0"/>
        <w:widowControl w:val="0"/>
        <w:spacing w:line="44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受托单位：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（以下简称“乙方”）</w:t>
      </w:r>
    </w:p>
    <w:p w14:paraId="1D675A65">
      <w:pPr>
        <w:keepNext w:val="0"/>
        <w:keepLines w:val="0"/>
        <w:pageBreakBefore w:val="0"/>
        <w:widowControl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甲、乙双方根据公开招标的中标结果及中标通知书，签署本合同。</w:t>
      </w:r>
    </w:p>
    <w:p w14:paraId="61875861">
      <w:pPr>
        <w:keepNext w:val="0"/>
        <w:keepLines w:val="0"/>
        <w:pageBreakBefore w:val="0"/>
        <w:widowControl w:val="0"/>
        <w:spacing w:line="440" w:lineRule="exact"/>
        <w:ind w:firstLine="482"/>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一、</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内容</w:t>
      </w:r>
    </w:p>
    <w:p w14:paraId="4AE6D72C">
      <w:pPr>
        <w:keepNext w:val="0"/>
        <w:keepLines w:val="0"/>
        <w:pageBreakBefore w:val="0"/>
        <w:widowControl w:val="0"/>
        <w:spacing w:line="440" w:lineRule="exact"/>
        <w:ind w:firstLine="482"/>
        <w:rPr>
          <w:rFonts w:hint="eastAsia" w:ascii="宋体" w:hAnsi="宋体" w:eastAsia="宋体" w:cs="宋体"/>
          <w:b/>
          <w:color w:val="auto"/>
          <w:sz w:val="24"/>
          <w:szCs w:val="24"/>
          <w:highlight w:val="none"/>
        </w:rPr>
      </w:pPr>
    </w:p>
    <w:p w14:paraId="50C6A070">
      <w:pPr>
        <w:keepNext w:val="0"/>
        <w:keepLines w:val="0"/>
        <w:pageBreakBefore w:val="0"/>
        <w:widowControl w:val="0"/>
        <w:spacing w:line="440" w:lineRule="exact"/>
        <w:ind w:firstLine="482"/>
        <w:rPr>
          <w:rFonts w:hint="eastAsia" w:ascii="宋体" w:hAnsi="宋体" w:eastAsia="宋体" w:cs="宋体"/>
          <w:b/>
          <w:color w:val="auto"/>
          <w:sz w:val="24"/>
          <w:szCs w:val="24"/>
          <w:highlight w:val="none"/>
        </w:rPr>
      </w:pPr>
    </w:p>
    <w:p w14:paraId="5EF092A6">
      <w:pPr>
        <w:keepNext w:val="0"/>
        <w:keepLines w:val="0"/>
        <w:pageBreakBefore w:val="0"/>
        <w:widowControl w:val="0"/>
        <w:spacing w:line="440" w:lineRule="exact"/>
        <w:ind w:firstLine="48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二、合同金额</w:t>
      </w:r>
    </w:p>
    <w:p w14:paraId="57FB5882">
      <w:pPr>
        <w:keepNext w:val="0"/>
        <w:keepLines w:val="0"/>
        <w:pageBreakBefore w:val="0"/>
        <w:widowControl w:val="0"/>
        <w:spacing w:line="440" w:lineRule="exact"/>
        <w:ind w:firstLine="48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本合同含税价总额为：</w:t>
      </w:r>
      <w:r>
        <w:rPr>
          <w:rFonts w:hint="eastAsia" w:ascii="宋体" w:hAnsi="宋体" w:eastAsia="宋体" w:cs="宋体"/>
          <w:b w:val="0"/>
          <w:bCs/>
          <w:color w:val="auto"/>
          <w:sz w:val="24"/>
          <w:szCs w:val="24"/>
          <w:highlight w:val="none"/>
          <w:u w:val="single"/>
        </w:rPr>
        <w:t>（大写）            (小写：            )。</w:t>
      </w:r>
    </w:p>
    <w:p w14:paraId="79492809">
      <w:pPr>
        <w:keepNext w:val="0"/>
        <w:keepLines w:val="0"/>
        <w:pageBreakBefore w:val="0"/>
        <w:widowControl w:val="0"/>
        <w:spacing w:line="440" w:lineRule="exact"/>
        <w:ind w:firstLine="482"/>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三</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质量要求</w:t>
      </w:r>
    </w:p>
    <w:p w14:paraId="093D3613">
      <w:pPr>
        <w:keepNext w:val="0"/>
        <w:keepLines w:val="0"/>
        <w:pageBreakBefore w:val="0"/>
        <w:widowControl w:val="0"/>
        <w:spacing w:line="440" w:lineRule="exact"/>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质量要求：通过验收合格标准。</w:t>
      </w:r>
    </w:p>
    <w:p w14:paraId="07F2BB55">
      <w:pPr>
        <w:keepNext w:val="0"/>
        <w:keepLines w:val="0"/>
        <w:pageBreakBefore w:val="0"/>
        <w:widowControl w:val="0"/>
        <w:spacing w:line="440" w:lineRule="exact"/>
        <w:ind w:firstLine="482"/>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四、合同文件构成：</w:t>
      </w:r>
    </w:p>
    <w:p w14:paraId="08613C9A">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本协议书与下列文件一起构成合同文件：</w:t>
      </w:r>
    </w:p>
    <w:p w14:paraId="4DF61525">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（1）招标文件；</w:t>
      </w:r>
    </w:p>
    <w:p w14:paraId="34516952">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（2）中标通知书；</w:t>
      </w:r>
    </w:p>
    <w:p w14:paraId="64427518">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（3）投标文件； </w:t>
      </w:r>
    </w:p>
    <w:p w14:paraId="6F71A64F">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（4）技术标准和要求；</w:t>
      </w:r>
    </w:p>
    <w:p w14:paraId="5C9E3DC8">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（5）已标价工程量清单；</w:t>
      </w:r>
    </w:p>
    <w:p w14:paraId="05D42FC0">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（6）图纸（如有）；</w:t>
      </w:r>
    </w:p>
    <w:p w14:paraId="696A5212">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（7）其他文件。</w:t>
      </w:r>
    </w:p>
    <w:p w14:paraId="73FA302E">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在合同订立及履行过程中形成的与合同有关的文件均构成合同文件组成部分。上述各项合同文件包括合同当事人就该项合同文件所作出的补充和修改，属于同一类内容的文件，应以最新签署的为准。</w:t>
      </w:r>
    </w:p>
    <w:p w14:paraId="698409E5">
      <w:pPr>
        <w:keepNext w:val="0"/>
        <w:keepLines w:val="0"/>
        <w:pageBreakBefore w:val="0"/>
        <w:widowControl w:val="0"/>
        <w:spacing w:line="440" w:lineRule="exact"/>
        <w:ind w:firstLine="482"/>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五、技术资料</w:t>
      </w:r>
    </w:p>
    <w:p w14:paraId="47EBA10F">
      <w:pPr>
        <w:keepNext w:val="0"/>
        <w:keepLines w:val="0"/>
        <w:pageBreakBefore w:val="0"/>
        <w:widowControl w:val="0"/>
        <w:spacing w:line="440" w:lineRule="exac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乙方应按采购文件规定的时间向甲方提供使用项目的有关技术资料。</w:t>
      </w:r>
    </w:p>
    <w:p w14:paraId="22FDADB9">
      <w:pPr>
        <w:keepNext w:val="0"/>
        <w:keepLines w:val="0"/>
        <w:pageBreakBefore w:val="0"/>
        <w:widowControl w:val="0"/>
        <w:spacing w:line="440" w:lineRule="exact"/>
        <w:ind w:firstLine="48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2</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996761">
      <w:pPr>
        <w:keepNext w:val="0"/>
        <w:keepLines w:val="0"/>
        <w:pageBreakBefore w:val="0"/>
        <w:widowControl w:val="0"/>
        <w:spacing w:line="440" w:lineRule="exact"/>
        <w:ind w:firstLine="482"/>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六、知识产权</w:t>
      </w:r>
    </w:p>
    <w:p w14:paraId="1F57892C">
      <w:pPr>
        <w:keepNext w:val="0"/>
        <w:keepLines w:val="0"/>
        <w:pageBreakBefore w:val="0"/>
        <w:widowControl w:val="0"/>
        <w:spacing w:line="440" w:lineRule="exact"/>
        <w:ind w:firstLine="48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乙方应保证所提供的货物或其任何一部分均不会侵犯任何第三方的知识产权。</w:t>
      </w:r>
    </w:p>
    <w:p w14:paraId="72DA2D40">
      <w:pPr>
        <w:keepNext w:val="0"/>
        <w:keepLines w:val="0"/>
        <w:pageBreakBefore w:val="0"/>
        <w:widowControl w:val="0"/>
        <w:spacing w:line="440" w:lineRule="exact"/>
        <w:ind w:firstLine="48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若发生侵害第三方权利的情况，由乙方独立负责与第三方交涉并承担由此产生的全部法律和经济责任；如果甲方因使用该货物而导致被第三方追诉，有权向乙方主张权利以及要求其承担由此造成的损失。</w:t>
      </w:r>
    </w:p>
    <w:p w14:paraId="66B39DF8">
      <w:pPr>
        <w:keepNext w:val="0"/>
        <w:keepLines w:val="0"/>
        <w:pageBreakBefore w:val="0"/>
        <w:widowControl w:val="0"/>
        <w:spacing w:line="440" w:lineRule="exact"/>
        <w:ind w:firstLine="48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七、产权担保</w:t>
      </w:r>
    </w:p>
    <w:p w14:paraId="737E2F6B">
      <w:pPr>
        <w:keepNext w:val="0"/>
        <w:keepLines w:val="0"/>
        <w:pageBreakBefore w:val="0"/>
        <w:widowControl w:val="0"/>
        <w:spacing w:line="440" w:lineRule="exact"/>
        <w:ind w:firstLine="48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乙方保证所交付的货物的所有权完全属于供应商且无任何抵押、查封等产权瑕疵。</w:t>
      </w:r>
    </w:p>
    <w:p w14:paraId="7E528803">
      <w:pPr>
        <w:keepNext w:val="0"/>
        <w:keepLines w:val="0"/>
        <w:pageBreakBefore w:val="0"/>
        <w:widowControl w:val="0"/>
        <w:spacing w:line="440" w:lineRule="exact"/>
        <w:ind w:firstLine="48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八、合同履行期限、交货地点</w:t>
      </w:r>
    </w:p>
    <w:p w14:paraId="32328398">
      <w:pPr>
        <w:keepNext w:val="0"/>
        <w:keepLines w:val="0"/>
        <w:pageBreakBefore w:val="0"/>
        <w:widowControl w:val="0"/>
        <w:spacing w:line="440" w:lineRule="exact"/>
        <w:ind w:firstLine="48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Cs/>
          <w:color w:val="auto"/>
          <w:sz w:val="24"/>
          <w:szCs w:val="24"/>
          <w:highlight w:val="none"/>
          <w:u w:val="none"/>
          <w:lang w:eastAsia="zh-CN"/>
        </w:rPr>
        <w:t>服务期要求：一年</w:t>
      </w:r>
      <w:r>
        <w:rPr>
          <w:rFonts w:hint="eastAsia" w:ascii="宋体" w:hAnsi="宋体" w:eastAsia="宋体" w:cs="宋体"/>
          <w:bCs/>
          <w:color w:val="auto"/>
          <w:sz w:val="24"/>
          <w:szCs w:val="24"/>
          <w:highlight w:val="none"/>
          <w:u w:val="none"/>
        </w:rPr>
        <w:t>。（合同期满后，经双方协商同意后，可以续签服务合同，续签不超过两年）</w:t>
      </w:r>
      <w:r>
        <w:rPr>
          <w:rFonts w:hint="eastAsia" w:ascii="宋体" w:hAnsi="宋体" w:eastAsia="宋体" w:cs="宋体"/>
          <w:b w:val="0"/>
          <w:bCs/>
          <w:color w:val="auto"/>
          <w:sz w:val="24"/>
          <w:szCs w:val="24"/>
          <w:highlight w:val="none"/>
          <w:lang w:val="en-US" w:eastAsia="zh-CN"/>
        </w:rPr>
        <w:t>。</w:t>
      </w:r>
    </w:p>
    <w:p w14:paraId="62837114">
      <w:pPr>
        <w:keepNext w:val="0"/>
        <w:keepLines w:val="0"/>
        <w:pageBreakBefore w:val="0"/>
        <w:widowControl w:val="0"/>
        <w:spacing w:line="440" w:lineRule="exact"/>
        <w:ind w:firstLine="480"/>
        <w:rPr>
          <w:rFonts w:hint="eastAsia" w:ascii="宋体" w:hAnsi="宋体" w:eastAsia="宋体" w:cs="宋体"/>
          <w:b/>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2、交货地点：甲方指定地点。</w:t>
      </w:r>
    </w:p>
    <w:p w14:paraId="6345A46A">
      <w:pPr>
        <w:keepNext w:val="0"/>
        <w:keepLines w:val="0"/>
        <w:pageBreakBefore w:val="0"/>
        <w:widowControl w:val="0"/>
        <w:spacing w:line="440" w:lineRule="exact"/>
        <w:ind w:firstLine="482"/>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九</w:t>
      </w:r>
      <w:r>
        <w:rPr>
          <w:rFonts w:hint="eastAsia" w:ascii="宋体" w:hAnsi="宋体" w:eastAsia="宋体" w:cs="宋体"/>
          <w:b/>
          <w:color w:val="auto"/>
          <w:sz w:val="24"/>
          <w:szCs w:val="24"/>
          <w:highlight w:val="none"/>
        </w:rPr>
        <w:t>、付款方式及结算方式</w:t>
      </w:r>
    </w:p>
    <w:p w14:paraId="696756D4">
      <w:pPr>
        <w:keepNext w:val="0"/>
        <w:keepLines w:val="0"/>
        <w:pageBreakBefore w:val="0"/>
        <w:widowControl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1、合同签订后，支付合同总价的30%</w:t>
      </w:r>
      <w:r>
        <w:rPr>
          <w:rFonts w:hint="eastAsia" w:ascii="宋体" w:hAnsi="宋体" w:cs="宋体"/>
          <w:color w:val="auto"/>
          <w:sz w:val="24"/>
          <w:szCs w:val="24"/>
          <w:highlight w:val="none"/>
          <w:lang w:val="en-US" w:eastAsia="zh-CN"/>
        </w:rPr>
        <w:t>作为</w:t>
      </w:r>
      <w:r>
        <w:rPr>
          <w:rFonts w:hint="eastAsia" w:ascii="宋体" w:hAnsi="宋体" w:eastAsia="宋体" w:cs="宋体"/>
          <w:color w:val="auto"/>
          <w:sz w:val="24"/>
          <w:szCs w:val="24"/>
          <w:highlight w:val="none"/>
        </w:rPr>
        <w:t>预付款。</w:t>
      </w:r>
    </w:p>
    <w:p w14:paraId="73F82E0A">
      <w:pPr>
        <w:pStyle w:val="48"/>
        <w:widowControl w:val="0"/>
        <w:spacing w:before="0" w:beforeAutospacing="0" w:after="0" w:afterAutospacing="0" w:line="400" w:lineRule="exact"/>
        <w:ind w:firstLine="480"/>
        <w:jc w:val="both"/>
        <w:rPr>
          <w:rFonts w:hint="eastAsia" w:eastAsia="宋体"/>
          <w:b w:val="0"/>
          <w:bCs w:val="0"/>
          <w:color w:val="auto"/>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b w:val="0"/>
          <w:bCs w:val="0"/>
          <w:color w:val="auto"/>
          <w:highlight w:val="none"/>
          <w:lang w:val="en-US" w:eastAsia="zh-CN"/>
        </w:rPr>
        <w:t>余款</w:t>
      </w:r>
      <w:r>
        <w:rPr>
          <w:rFonts w:hint="eastAsia" w:cs="宋体"/>
          <w:b w:val="0"/>
          <w:bCs w:val="0"/>
          <w:color w:val="auto"/>
          <w:highlight w:val="none"/>
          <w:lang w:eastAsia="zh-CN"/>
        </w:rPr>
        <w:t>根据分包约定执行</w:t>
      </w:r>
      <w:r>
        <w:rPr>
          <w:rFonts w:hint="eastAsia" w:ascii="宋体" w:hAnsi="宋体" w:eastAsia="宋体" w:cs="宋体"/>
          <w:b w:val="0"/>
          <w:bCs w:val="0"/>
          <w:color w:val="auto"/>
          <w:highlight w:val="none"/>
        </w:rPr>
        <w:t>。</w:t>
      </w:r>
    </w:p>
    <w:p w14:paraId="1042F917">
      <w:pPr>
        <w:keepNext w:val="0"/>
        <w:keepLines w:val="0"/>
        <w:pageBreakBefore w:val="0"/>
        <w:widowControl w:val="0"/>
        <w:spacing w:line="440" w:lineRule="exact"/>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注：以上付款均不计任何利息和相关费用，付款一律通过银行结转。付款前，乙方需提交符合甲方要求的增值税发票，否则甲方</w:t>
      </w:r>
      <w:r>
        <w:rPr>
          <w:rFonts w:hint="eastAsia" w:ascii="宋体" w:hAnsi="宋体" w:cs="宋体"/>
          <w:color w:val="auto"/>
          <w:sz w:val="24"/>
          <w:szCs w:val="24"/>
          <w:highlight w:val="none"/>
          <w:lang w:eastAsia="zh-CN"/>
        </w:rPr>
        <w:t>有权拒绝</w:t>
      </w:r>
      <w:r>
        <w:rPr>
          <w:rFonts w:hint="eastAsia" w:ascii="宋体" w:hAnsi="宋体" w:eastAsia="宋体" w:cs="宋体"/>
          <w:color w:val="auto"/>
          <w:sz w:val="24"/>
          <w:szCs w:val="24"/>
          <w:highlight w:val="none"/>
        </w:rPr>
        <w:t>付款且不被视为违约</w:t>
      </w:r>
      <w:r>
        <w:rPr>
          <w:rFonts w:hint="eastAsia" w:ascii="宋体" w:hAnsi="宋体" w:cs="宋体"/>
          <w:color w:val="auto"/>
          <w:sz w:val="24"/>
          <w:szCs w:val="24"/>
          <w:highlight w:val="none"/>
          <w:lang w:eastAsia="zh-CN"/>
        </w:rPr>
        <w:t>。</w:t>
      </w:r>
    </w:p>
    <w:p w14:paraId="61AC74F4">
      <w:pPr>
        <w:keepNext w:val="0"/>
        <w:keepLines w:val="0"/>
        <w:pageBreakBefore w:val="0"/>
        <w:widowControl w:val="0"/>
        <w:spacing w:line="440" w:lineRule="exact"/>
        <w:ind w:firstLine="482"/>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val="en-US" w:eastAsia="zh-CN"/>
        </w:rPr>
        <w:t>十</w:t>
      </w:r>
      <w:r>
        <w:rPr>
          <w:rFonts w:hint="eastAsia" w:ascii="宋体" w:hAnsi="宋体" w:eastAsia="宋体" w:cs="宋体"/>
          <w:b/>
          <w:color w:val="auto"/>
          <w:sz w:val="24"/>
          <w:szCs w:val="24"/>
          <w:highlight w:val="none"/>
        </w:rPr>
        <w:t>、质量保证</w:t>
      </w:r>
    </w:p>
    <w:p w14:paraId="4BFF34FD">
      <w:pPr>
        <w:keepNext w:val="0"/>
        <w:keepLines w:val="0"/>
        <w:pageBreakBefore w:val="0"/>
        <w:widowControl w:val="0"/>
        <w:spacing w:line="440" w:lineRule="exact"/>
        <w:ind w:firstLine="48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1、乙方应按招标文件规定的货物性能、技术要求、质量标准（如乙方投标标准高于招标标准的按乙方标准执行）向甲方提供未经使用的全新产品。</w:t>
      </w:r>
    </w:p>
    <w:p w14:paraId="73855CA5">
      <w:pPr>
        <w:keepNext w:val="0"/>
        <w:keepLines w:val="0"/>
        <w:pageBreakBefore w:val="0"/>
        <w:widowControl w:val="0"/>
        <w:spacing w:line="440" w:lineRule="exact"/>
        <w:ind w:firstLine="48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2、乙方提供的货物因货物本身的质量问题发生故障，乙方应负责免费更换。对达不到技术要求者，根据实际情况，经双方协商，可按以下办法处理：</w:t>
      </w:r>
    </w:p>
    <w:p w14:paraId="64DDE8BA">
      <w:pPr>
        <w:keepNext w:val="0"/>
        <w:keepLines w:val="0"/>
        <w:pageBreakBefore w:val="0"/>
        <w:widowControl w:val="0"/>
        <w:spacing w:line="440" w:lineRule="exact"/>
        <w:ind w:firstLine="48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⑴更    换：由乙方承担所发生的全部费用。</w:t>
      </w:r>
    </w:p>
    <w:p w14:paraId="1C3E1E83">
      <w:pPr>
        <w:keepNext w:val="0"/>
        <w:keepLines w:val="0"/>
        <w:pageBreakBefore w:val="0"/>
        <w:widowControl w:val="0"/>
        <w:spacing w:line="440" w:lineRule="exact"/>
        <w:ind w:firstLine="48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⑵贬值处理：由甲乙双方合议定价。</w:t>
      </w:r>
    </w:p>
    <w:p w14:paraId="5FA917C4">
      <w:pPr>
        <w:keepNext w:val="0"/>
        <w:keepLines w:val="0"/>
        <w:pageBreakBefore w:val="0"/>
        <w:widowControl w:val="0"/>
        <w:spacing w:line="440" w:lineRule="exact"/>
        <w:ind w:firstLine="480"/>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⑶退货处理：乙方应退还采购人支付的合同款，同时应承担该货物的直接费用（运输、保险、检验、货款利息及银行手续费等）。</w:t>
      </w:r>
    </w:p>
    <w:p w14:paraId="741EB6AF">
      <w:pPr>
        <w:keepNext w:val="0"/>
        <w:keepLines w:val="0"/>
        <w:pageBreakBefore w:val="0"/>
        <w:widowControl w:val="0"/>
        <w:spacing w:line="440" w:lineRule="exact"/>
        <w:ind w:firstLine="482"/>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十一、履约保证金</w:t>
      </w:r>
    </w:p>
    <w:p w14:paraId="07FBB1AA">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乙方交纳人民币_________元作为本合同的履约保证金。【备注：合同金额的10%，甲方应当对AA评级及以上政府采购供应商（需提供信用管理部门备案的第三方信用报告，且信用报告通过“信用盐城网”可查实）免收履约保证金或降低履约保证金缴纳比例。</w:t>
      </w:r>
    </w:p>
    <w:p w14:paraId="60EB0A64">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2、确需收取履约保证金的，履约保证金的缴纳形式：</w:t>
      </w:r>
    </w:p>
    <w:p w14:paraId="68B2652D">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2.1乙方应当以支票、汇票、本票或者金融机构、担保机构出具的保函等非现金形式提交履约保证金。依据《关于在全省政府采购领域推行电子履约保函（保险）的通知》，鼓励乙方自愿使用电子履约保函（保险）代替缴纳履约保证金。</w:t>
      </w:r>
    </w:p>
    <w:p w14:paraId="392133AA">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2.2 如以履约保函（保险）形式缴纳履约保证金，乙方可通过政府采购电子履约保函（保险）平台（www.jsdzbh.com）在线申请履约保函（保险）。</w:t>
      </w:r>
    </w:p>
    <w:p w14:paraId="145D78C2">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3、合同履行结束后，甲方应及时退还交纳的履约保证金。</w:t>
      </w:r>
    </w:p>
    <w:p w14:paraId="4920F93A">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4、履约保证金的退还：</w:t>
      </w:r>
    </w:p>
    <w:p w14:paraId="0D5927BE">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4.1方式：无息退还至乙方缴纳履约保证金的账户。如为保函，在到期时自行失效。</w:t>
      </w:r>
    </w:p>
    <w:p w14:paraId="3DA3D9DF">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4.2时间：验收合格且甲方收到发票后30日内。</w:t>
      </w:r>
    </w:p>
    <w:p w14:paraId="4B8F5C60">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4.3条件：按合同要求全部履约完成并经甲方验收合格，且甲方收到乙方出具的发票。</w:t>
      </w:r>
    </w:p>
    <w:p w14:paraId="149D852A">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4.4不予退还情形：</w:t>
      </w:r>
    </w:p>
    <w:p w14:paraId="1BAB1456">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除不可抗力情况外，乙方出现下列情形之一的，其履约保证金，甲方将视情节决定不予退还或部分不予退还。</w:t>
      </w:r>
    </w:p>
    <w:p w14:paraId="59850C25">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（1）乙方无正当理由拒绝签订合同的，或者在签订合同时向甲方提出附加条件或者更改合同实质性内容要求的；</w:t>
      </w:r>
    </w:p>
    <w:p w14:paraId="4E2B0D82">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（2）乙方不履行与甲方订立的合同的；</w:t>
      </w:r>
    </w:p>
    <w:p w14:paraId="390D54CC">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（3）乙方服务不符合招标文件规定要求的；</w:t>
      </w:r>
    </w:p>
    <w:p w14:paraId="3567C457">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（4）乙方采取欺骗、弄虚作假方式投标的或与其它供应商串通投标的；</w:t>
      </w:r>
    </w:p>
    <w:p w14:paraId="6E77D3D9">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（5）乙方将合同内容转包、违法分包的；</w:t>
      </w:r>
    </w:p>
    <w:p w14:paraId="5946790C">
      <w:pPr>
        <w:keepNext w:val="0"/>
        <w:keepLines w:val="0"/>
        <w:pageBreakBefore w:val="0"/>
        <w:widowControl w:val="0"/>
        <w:spacing w:line="440" w:lineRule="exact"/>
        <w:ind w:firstLine="480"/>
        <w:rPr>
          <w:rFonts w:hint="eastAsia" w:ascii="宋体" w:hAnsi="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（6）乙方故意捏造事实或伪造证明材料，进行虚假恶意投诉或反映的。</w:t>
      </w:r>
    </w:p>
    <w:p w14:paraId="7156A29A">
      <w:pPr>
        <w:keepNext w:val="0"/>
        <w:keepLines w:val="0"/>
        <w:pageBreakBefore w:val="0"/>
        <w:widowControl w:val="0"/>
        <w:spacing w:line="440" w:lineRule="exact"/>
        <w:ind w:firstLine="482"/>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十二、转包或分包</w:t>
      </w:r>
    </w:p>
    <w:p w14:paraId="0198282E">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1、本合同范围的货物，应由乙方直接供应，不得转让他人供应；</w:t>
      </w:r>
    </w:p>
    <w:p w14:paraId="578F99A0">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2、除非得到甲方的书面同意，乙方不得将本合同范围的货物全部或部分分包给他人供应；</w:t>
      </w:r>
    </w:p>
    <w:p w14:paraId="79F3093F">
      <w:pPr>
        <w:keepNext w:val="0"/>
        <w:keepLines w:val="0"/>
        <w:pageBreakBefore w:val="0"/>
        <w:widowControl w:val="0"/>
        <w:spacing w:line="440" w:lineRule="exact"/>
        <w:ind w:firstLine="480"/>
        <w:rPr>
          <w:rFonts w:hint="eastAsia" w:ascii="宋体" w:hAnsi="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3、如有转让和未经甲方同意的分包行为，甲方有权解除合同，不返还履约保证金并追究乙方的违约责任。</w:t>
      </w:r>
    </w:p>
    <w:p w14:paraId="5788BEEC">
      <w:pPr>
        <w:spacing w:line="480" w:lineRule="exact"/>
        <w:ind w:firstLine="482"/>
        <w:rPr>
          <w:rFonts w:hint="default" w:ascii="宋体" w:hAnsi="宋体" w:eastAsia="宋体" w:cs="Courier New"/>
          <w:b/>
          <w:color w:val="auto"/>
          <w:sz w:val="24"/>
          <w:szCs w:val="24"/>
          <w:highlight w:val="none"/>
          <w:lang w:val="en-US" w:eastAsia="zh-CN" w:bidi="ar-SA"/>
        </w:rPr>
      </w:pPr>
      <w:r>
        <w:rPr>
          <w:rFonts w:hint="default" w:ascii="宋体" w:hAnsi="宋体" w:eastAsia="宋体" w:cs="Courier New"/>
          <w:b/>
          <w:color w:val="auto"/>
          <w:sz w:val="24"/>
          <w:szCs w:val="24"/>
          <w:highlight w:val="none"/>
          <w:lang w:val="en-US" w:eastAsia="zh-CN" w:bidi="ar-SA"/>
        </w:rPr>
        <w:t>十三、调试和验收</w:t>
      </w:r>
    </w:p>
    <w:p w14:paraId="0C1F95EF">
      <w:pPr>
        <w:spacing w:line="480" w:lineRule="exact"/>
        <w:ind w:firstLine="480"/>
        <w:rPr>
          <w:rFonts w:hint="default" w:ascii="宋体" w:hAnsi="宋体" w:eastAsia="宋体" w:cs="Courier New"/>
          <w:color w:val="auto"/>
          <w:sz w:val="24"/>
          <w:szCs w:val="24"/>
          <w:highlight w:val="none"/>
          <w:lang w:val="en-US" w:eastAsia="zh-CN" w:bidi="ar-SA"/>
        </w:rPr>
      </w:pPr>
      <w:r>
        <w:rPr>
          <w:rFonts w:hint="eastAsia" w:ascii="宋体" w:hAnsi="宋体" w:eastAsia="宋体" w:cs="Courier New"/>
          <w:color w:val="auto"/>
          <w:sz w:val="24"/>
          <w:szCs w:val="24"/>
          <w:highlight w:val="none"/>
          <w:lang w:val="en-US" w:eastAsia="zh-CN" w:bidi="ar-SA"/>
        </w:rPr>
        <w:t>1、</w:t>
      </w:r>
      <w:r>
        <w:rPr>
          <w:rFonts w:hint="default" w:ascii="宋体" w:hAnsi="宋体" w:eastAsia="宋体" w:cs="Courier New"/>
          <w:color w:val="auto"/>
          <w:sz w:val="24"/>
          <w:szCs w:val="24"/>
          <w:highlight w:val="none"/>
          <w:lang w:val="en-US" w:eastAsia="zh-CN" w:bidi="ar-SA"/>
        </w:rPr>
        <w:t>甲方对乙方提交的货物依据招标文件上的技术规格要求和国家有关质量标准进行现场初步验收，外观、说明书符合招标文件技术要求的，给予签收，初步验收不合格的不予</w:t>
      </w:r>
      <w:r>
        <w:rPr>
          <w:rFonts w:hint="eastAsia" w:ascii="宋体" w:hAnsi="宋体" w:eastAsia="宋体" w:cs="Courier New"/>
          <w:color w:val="auto"/>
          <w:sz w:val="24"/>
          <w:szCs w:val="24"/>
          <w:highlight w:val="none"/>
          <w:lang w:val="en-US" w:eastAsia="zh-CN" w:bidi="ar-SA"/>
        </w:rPr>
        <w:t>签收。</w:t>
      </w:r>
    </w:p>
    <w:p w14:paraId="0AA25C26">
      <w:pPr>
        <w:spacing w:line="480" w:lineRule="exact"/>
        <w:ind w:firstLine="480"/>
        <w:rPr>
          <w:rFonts w:hint="default" w:ascii="宋体" w:hAnsi="宋体" w:eastAsia="宋体" w:cs="Courier New"/>
          <w:color w:val="auto"/>
          <w:sz w:val="24"/>
          <w:szCs w:val="24"/>
          <w:highlight w:val="none"/>
          <w:lang w:val="en-US" w:eastAsia="zh-CN" w:bidi="ar-SA"/>
        </w:rPr>
      </w:pPr>
      <w:r>
        <w:rPr>
          <w:rFonts w:hint="eastAsia" w:ascii="宋体" w:hAnsi="宋体" w:eastAsia="宋体" w:cs="Courier New"/>
          <w:color w:val="auto"/>
          <w:sz w:val="24"/>
          <w:szCs w:val="24"/>
          <w:highlight w:val="none"/>
          <w:lang w:val="en-US" w:eastAsia="zh-CN" w:bidi="ar-SA"/>
        </w:rPr>
        <w:t>2、</w:t>
      </w:r>
      <w:r>
        <w:rPr>
          <w:rFonts w:hint="default" w:ascii="宋体" w:hAnsi="宋体" w:eastAsia="宋体" w:cs="Courier New"/>
          <w:color w:val="auto"/>
          <w:sz w:val="24"/>
          <w:szCs w:val="24"/>
          <w:highlight w:val="none"/>
          <w:lang w:val="en-US" w:eastAsia="zh-CN" w:bidi="ar-SA"/>
        </w:rPr>
        <w:t>乙方交货前应对产品作出全面检查和对验收文件进行整理，并列出清单，作为甲方收货验收和使用的技术条件依据，检验的结果应随货物交甲方。</w:t>
      </w:r>
    </w:p>
    <w:p w14:paraId="4666AF7B">
      <w:pPr>
        <w:spacing w:line="480" w:lineRule="exact"/>
        <w:ind w:firstLine="480"/>
        <w:rPr>
          <w:rFonts w:hint="default" w:ascii="宋体" w:hAnsi="宋体" w:eastAsia="宋体" w:cs="Courier New"/>
          <w:color w:val="auto"/>
          <w:sz w:val="24"/>
          <w:szCs w:val="24"/>
          <w:highlight w:val="none"/>
          <w:u w:val="single"/>
          <w:lang w:val="en-US" w:eastAsia="zh-CN" w:bidi="ar-SA"/>
        </w:rPr>
      </w:pPr>
      <w:r>
        <w:rPr>
          <w:rFonts w:hint="eastAsia" w:ascii="宋体" w:hAnsi="宋体" w:eastAsia="宋体" w:cs="Courier New"/>
          <w:color w:val="auto"/>
          <w:sz w:val="24"/>
          <w:szCs w:val="24"/>
          <w:highlight w:val="none"/>
          <w:lang w:val="en-US" w:eastAsia="zh-CN" w:bidi="ar-SA"/>
        </w:rPr>
        <w:t>3、</w:t>
      </w:r>
      <w:r>
        <w:rPr>
          <w:rFonts w:hint="default" w:ascii="宋体" w:hAnsi="宋体" w:eastAsia="宋体" w:cs="Courier New"/>
          <w:color w:val="auto"/>
          <w:sz w:val="24"/>
          <w:szCs w:val="24"/>
          <w:highlight w:val="none"/>
          <w:lang w:val="en-US" w:eastAsia="zh-CN" w:bidi="ar-SA"/>
        </w:rPr>
        <w:t>甲方对乙方提供的货物在使用前进行调试时，乙方需负责安装并培训甲方的使用操作人员，并协助甲方一起调试，直到符合技术要求，甲方才做最终验收。</w:t>
      </w:r>
    </w:p>
    <w:p w14:paraId="44CC0BC0">
      <w:pPr>
        <w:spacing w:line="480" w:lineRule="exact"/>
        <w:ind w:firstLine="480"/>
        <w:rPr>
          <w:rFonts w:hint="default" w:ascii="宋体" w:hAnsi="宋体" w:eastAsia="宋体" w:cs="Courier New"/>
          <w:color w:val="auto"/>
          <w:sz w:val="24"/>
          <w:szCs w:val="24"/>
          <w:highlight w:val="none"/>
          <w:lang w:val="en-US" w:eastAsia="zh-CN" w:bidi="ar-SA"/>
        </w:rPr>
      </w:pPr>
      <w:r>
        <w:rPr>
          <w:rFonts w:hint="eastAsia" w:ascii="宋体" w:hAnsi="宋体" w:eastAsia="宋体" w:cs="Courier New"/>
          <w:color w:val="auto"/>
          <w:sz w:val="24"/>
          <w:szCs w:val="24"/>
          <w:highlight w:val="none"/>
          <w:lang w:val="en-US" w:eastAsia="zh-CN" w:bidi="ar-SA"/>
        </w:rPr>
        <w:t>4、</w:t>
      </w:r>
      <w:r>
        <w:rPr>
          <w:rFonts w:hint="default" w:ascii="宋体" w:hAnsi="宋体" w:eastAsia="宋体" w:cs="Courier New"/>
          <w:color w:val="auto"/>
          <w:sz w:val="24"/>
          <w:szCs w:val="24"/>
          <w:highlight w:val="none"/>
          <w:lang w:val="en-US" w:eastAsia="zh-CN" w:bidi="ar-SA"/>
        </w:rPr>
        <w:t>对技术复杂的货物，甲方</w:t>
      </w:r>
      <w:r>
        <w:rPr>
          <w:rFonts w:hint="eastAsia" w:ascii="宋体" w:hAnsi="宋体" w:eastAsia="宋体" w:cs="Courier New"/>
          <w:color w:val="auto"/>
          <w:sz w:val="24"/>
          <w:szCs w:val="24"/>
          <w:highlight w:val="none"/>
          <w:lang w:val="en-US" w:eastAsia="zh-CN" w:bidi="ar-SA"/>
        </w:rPr>
        <w:t>可</w:t>
      </w:r>
      <w:r>
        <w:rPr>
          <w:rFonts w:hint="default" w:ascii="宋体" w:hAnsi="宋体" w:eastAsia="宋体" w:cs="Courier New"/>
          <w:color w:val="auto"/>
          <w:sz w:val="24"/>
          <w:szCs w:val="24"/>
          <w:highlight w:val="none"/>
          <w:lang w:val="en-US" w:eastAsia="zh-CN" w:bidi="ar-SA"/>
        </w:rPr>
        <w:t>请国家认可的专业检测机构参与初步验收及最终验收，并由其出具质量检测报告。</w:t>
      </w:r>
    </w:p>
    <w:p w14:paraId="1AE86583">
      <w:pPr>
        <w:keepNext w:val="0"/>
        <w:keepLines w:val="0"/>
        <w:pageBreakBefore w:val="0"/>
        <w:widowControl w:val="0"/>
        <w:spacing w:line="440" w:lineRule="exact"/>
        <w:ind w:firstLine="480"/>
        <w:rPr>
          <w:rFonts w:hint="eastAsia" w:ascii="宋体" w:hAnsi="宋体" w:cs="宋体"/>
          <w:b/>
          <w:color w:val="auto"/>
          <w:sz w:val="24"/>
          <w:szCs w:val="24"/>
          <w:highlight w:val="none"/>
          <w:lang w:val="en-US" w:eastAsia="zh-CN"/>
        </w:rPr>
      </w:pPr>
      <w:r>
        <w:rPr>
          <w:rFonts w:hint="eastAsia" w:ascii="宋体" w:hAnsi="宋体" w:eastAsia="宋体" w:cs="Courier New"/>
          <w:color w:val="auto"/>
          <w:sz w:val="24"/>
          <w:szCs w:val="24"/>
          <w:highlight w:val="none"/>
          <w:lang w:val="en-US" w:eastAsia="zh-CN" w:bidi="ar-SA"/>
        </w:rPr>
        <w:t>5、</w:t>
      </w:r>
      <w:r>
        <w:rPr>
          <w:rFonts w:hint="default" w:ascii="宋体" w:hAnsi="宋体" w:eastAsia="宋体" w:cs="Courier New"/>
          <w:color w:val="auto"/>
          <w:sz w:val="24"/>
          <w:szCs w:val="24"/>
          <w:highlight w:val="none"/>
          <w:lang w:val="en-US" w:eastAsia="zh-CN" w:bidi="ar-SA"/>
        </w:rPr>
        <w:t>验收时乙方必须在现场，验收完毕后作出验收结果报告</w:t>
      </w:r>
      <w:r>
        <w:rPr>
          <w:rFonts w:hint="eastAsia" w:ascii="宋体" w:hAnsi="宋体" w:eastAsia="宋体" w:cs="Courier New"/>
          <w:color w:val="auto"/>
          <w:sz w:val="24"/>
          <w:szCs w:val="24"/>
          <w:highlight w:val="none"/>
          <w:lang w:val="en-US" w:eastAsia="zh-CN" w:bidi="ar-SA"/>
        </w:rPr>
        <w:t>，</w:t>
      </w:r>
      <w:r>
        <w:rPr>
          <w:rFonts w:hint="default" w:ascii="宋体" w:hAnsi="宋体" w:eastAsia="宋体" w:cs="Courier New"/>
          <w:color w:val="auto"/>
          <w:sz w:val="24"/>
          <w:szCs w:val="24"/>
          <w:highlight w:val="none"/>
          <w:lang w:val="en-US" w:eastAsia="zh-CN" w:bidi="ar-SA"/>
        </w:rPr>
        <w:t>验收费用由乙方</w:t>
      </w:r>
      <w:r>
        <w:rPr>
          <w:rFonts w:hint="eastAsia" w:ascii="宋体" w:hAnsi="宋体" w:eastAsia="宋体" w:cs="Courier New"/>
          <w:color w:val="auto"/>
          <w:sz w:val="24"/>
          <w:szCs w:val="24"/>
          <w:highlight w:val="none"/>
          <w:lang w:val="en-US" w:eastAsia="zh-CN" w:bidi="ar-SA"/>
        </w:rPr>
        <w:t>承担</w:t>
      </w:r>
      <w:r>
        <w:rPr>
          <w:rFonts w:hint="default" w:ascii="宋体" w:hAnsi="宋体" w:eastAsia="宋体" w:cs="Courier New"/>
          <w:color w:val="auto"/>
          <w:sz w:val="24"/>
          <w:szCs w:val="24"/>
          <w:highlight w:val="none"/>
          <w:lang w:val="en-US" w:eastAsia="zh-CN" w:bidi="ar-SA"/>
        </w:rPr>
        <w:t>。</w:t>
      </w:r>
    </w:p>
    <w:p w14:paraId="780CCDEE">
      <w:pPr>
        <w:keepNext w:val="0"/>
        <w:keepLines w:val="0"/>
        <w:pageBreakBefore w:val="0"/>
        <w:widowControl w:val="0"/>
        <w:spacing w:line="440" w:lineRule="exact"/>
        <w:ind w:firstLine="482"/>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十四、货物包装、发运及运输</w:t>
      </w:r>
    </w:p>
    <w:p w14:paraId="6E69A4D2">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1、乙方应在货物发运前对其进行满足运输距离、防潮、防震、防锈和防破损装卸等要求包装，以保证货物安全运达甲方指定地点。</w:t>
      </w:r>
    </w:p>
    <w:p w14:paraId="3A783B1A">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2、使用说明书、质量检验证明书、随配附件和工具以及清单一并附于货物内。</w:t>
      </w:r>
    </w:p>
    <w:p w14:paraId="670276F1">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3、乙方在货物发运手续办理完毕后24小时内或货到48小时前通知甲方，以准备核验货物。</w:t>
      </w:r>
    </w:p>
    <w:p w14:paraId="34F78757">
      <w:pPr>
        <w:keepNext w:val="0"/>
        <w:keepLines w:val="0"/>
        <w:pageBreakBefore w:val="0"/>
        <w:widowControl w:val="0"/>
        <w:spacing w:line="440" w:lineRule="exact"/>
        <w:ind w:firstLine="480"/>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4、货物在交付甲方前发生的风险均由乙方负责。</w:t>
      </w:r>
    </w:p>
    <w:p w14:paraId="560D327F">
      <w:pPr>
        <w:keepNext w:val="0"/>
        <w:keepLines w:val="0"/>
        <w:pageBreakBefore w:val="0"/>
        <w:widowControl w:val="0"/>
        <w:spacing w:line="440" w:lineRule="exact"/>
        <w:ind w:firstLine="480"/>
        <w:rPr>
          <w:rFonts w:hint="eastAsia" w:ascii="宋体" w:hAnsi="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5、货物在规定的交付期限内由乙方送达甲方指定的地点视为交付，乙方同时需通知甲方货物已送达。</w:t>
      </w:r>
    </w:p>
    <w:p w14:paraId="75037EC4">
      <w:pPr>
        <w:spacing w:line="480" w:lineRule="exact"/>
        <w:ind w:firstLine="482"/>
        <w:rPr>
          <w:rFonts w:hint="default" w:ascii="宋体" w:hAnsi="宋体" w:eastAsia="宋体" w:cs="Courier New"/>
          <w:b/>
          <w:color w:val="auto"/>
          <w:sz w:val="24"/>
          <w:szCs w:val="24"/>
          <w:highlight w:val="none"/>
          <w:lang w:val="en-US" w:eastAsia="zh-CN" w:bidi="ar-SA"/>
        </w:rPr>
      </w:pPr>
      <w:r>
        <w:rPr>
          <w:rFonts w:hint="default" w:ascii="宋体" w:hAnsi="宋体" w:eastAsia="宋体" w:cs="Courier New"/>
          <w:b/>
          <w:color w:val="auto"/>
          <w:sz w:val="24"/>
          <w:szCs w:val="24"/>
          <w:highlight w:val="none"/>
          <w:lang w:val="en-US" w:eastAsia="zh-CN" w:bidi="ar-SA"/>
        </w:rPr>
        <w:t>十五、违约责任</w:t>
      </w:r>
    </w:p>
    <w:p w14:paraId="53D6D8BE">
      <w:pPr>
        <w:spacing w:line="480" w:lineRule="exact"/>
        <w:ind w:firstLine="480"/>
        <w:rPr>
          <w:rFonts w:hint="default" w:ascii="宋体" w:hAnsi="宋体" w:eastAsia="宋体" w:cs="Courier New"/>
          <w:color w:val="auto"/>
          <w:sz w:val="24"/>
          <w:szCs w:val="24"/>
          <w:highlight w:val="none"/>
          <w:lang w:val="en-US" w:eastAsia="zh-CN" w:bidi="ar-SA"/>
        </w:rPr>
      </w:pPr>
      <w:r>
        <w:rPr>
          <w:rFonts w:hint="eastAsia" w:ascii="宋体" w:hAnsi="宋体" w:eastAsia="宋体" w:cs="Courier New"/>
          <w:color w:val="auto"/>
          <w:sz w:val="24"/>
          <w:szCs w:val="24"/>
          <w:highlight w:val="none"/>
          <w:lang w:val="en-US" w:eastAsia="zh-CN" w:bidi="ar-SA"/>
        </w:rPr>
        <w:t>1、</w:t>
      </w:r>
      <w:r>
        <w:rPr>
          <w:rFonts w:hint="default" w:ascii="宋体" w:hAnsi="宋体" w:eastAsia="宋体" w:cs="Courier New"/>
          <w:color w:val="auto"/>
          <w:sz w:val="24"/>
          <w:szCs w:val="24"/>
          <w:highlight w:val="none"/>
          <w:lang w:val="en-US" w:eastAsia="zh-CN" w:bidi="ar-SA"/>
        </w:rPr>
        <w:t>甲方无正当理由拒收货物的，甲方向乙方偿付拒收货款总值的百分之五违约金。</w:t>
      </w:r>
    </w:p>
    <w:p w14:paraId="1CBCA6D1">
      <w:pPr>
        <w:spacing w:line="480" w:lineRule="exact"/>
        <w:ind w:firstLine="480"/>
        <w:rPr>
          <w:rFonts w:hint="default" w:ascii="宋体" w:hAnsi="宋体" w:eastAsia="宋体" w:cs="Courier New"/>
          <w:color w:val="auto"/>
          <w:sz w:val="24"/>
          <w:szCs w:val="24"/>
          <w:highlight w:val="none"/>
          <w:lang w:val="en-US" w:eastAsia="zh-CN" w:bidi="ar-SA"/>
        </w:rPr>
      </w:pPr>
      <w:r>
        <w:rPr>
          <w:rFonts w:hint="eastAsia" w:ascii="宋体" w:hAnsi="宋体" w:eastAsia="宋体" w:cs="Courier New"/>
          <w:color w:val="auto"/>
          <w:sz w:val="24"/>
          <w:szCs w:val="24"/>
          <w:highlight w:val="none"/>
          <w:lang w:val="en-US" w:eastAsia="zh-CN" w:bidi="ar-SA"/>
        </w:rPr>
        <w:t>2、</w:t>
      </w:r>
      <w:r>
        <w:rPr>
          <w:rFonts w:hint="default" w:ascii="宋体" w:hAnsi="宋体" w:eastAsia="宋体" w:cs="Courier New"/>
          <w:color w:val="auto"/>
          <w:sz w:val="24"/>
          <w:szCs w:val="24"/>
          <w:highlight w:val="none"/>
          <w:lang w:val="en-US" w:eastAsia="zh-CN" w:bidi="ar-SA"/>
        </w:rPr>
        <w:t>甲方无故逾期验收和办理货款支付手续的</w:t>
      </w:r>
      <w:r>
        <w:rPr>
          <w:rFonts w:hint="eastAsia" w:ascii="宋体" w:hAnsi="宋体" w:eastAsia="宋体" w:cs="Courier New"/>
          <w:color w:val="auto"/>
          <w:sz w:val="24"/>
          <w:szCs w:val="24"/>
          <w:highlight w:val="none"/>
          <w:lang w:val="en-US" w:eastAsia="zh-CN" w:bidi="ar-SA"/>
        </w:rPr>
        <w:t>，</w:t>
      </w:r>
      <w:r>
        <w:rPr>
          <w:rFonts w:hint="default" w:ascii="宋体" w:hAnsi="宋体" w:eastAsia="宋体" w:cs="Courier New"/>
          <w:color w:val="auto"/>
          <w:sz w:val="24"/>
          <w:szCs w:val="24"/>
          <w:highlight w:val="none"/>
          <w:lang w:val="en-US" w:eastAsia="zh-CN" w:bidi="ar-SA"/>
        </w:rPr>
        <w:t>甲方应按逾期付款总额每日万分之五向乙方支付违约金。</w:t>
      </w:r>
    </w:p>
    <w:p w14:paraId="4EF96C75">
      <w:pPr>
        <w:spacing w:line="480" w:lineRule="exact"/>
        <w:ind w:firstLine="480"/>
        <w:rPr>
          <w:rFonts w:hint="default" w:ascii="宋体" w:hAnsi="宋体" w:eastAsia="宋体" w:cs="Courier New"/>
          <w:color w:val="auto"/>
          <w:sz w:val="24"/>
          <w:szCs w:val="24"/>
          <w:highlight w:val="none"/>
          <w:lang w:val="en-US" w:eastAsia="zh-CN" w:bidi="ar-SA"/>
        </w:rPr>
      </w:pPr>
      <w:r>
        <w:rPr>
          <w:rFonts w:hint="eastAsia" w:ascii="宋体" w:hAnsi="宋体" w:eastAsia="宋体" w:cs="Courier New"/>
          <w:color w:val="auto"/>
          <w:sz w:val="24"/>
          <w:szCs w:val="24"/>
          <w:highlight w:val="none"/>
          <w:lang w:val="en-US" w:eastAsia="zh-CN" w:bidi="ar-SA"/>
        </w:rPr>
        <w:t>3、</w:t>
      </w:r>
      <w:r>
        <w:rPr>
          <w:rFonts w:hint="default" w:ascii="宋体" w:hAnsi="宋体" w:eastAsia="宋体" w:cs="Courier New"/>
          <w:color w:val="auto"/>
          <w:sz w:val="24"/>
          <w:szCs w:val="24"/>
          <w:highlight w:val="none"/>
          <w:lang w:val="en-US" w:eastAsia="zh-CN" w:bidi="ar-SA"/>
        </w:rPr>
        <w:t xml:space="preserve">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5375B78E">
      <w:pPr>
        <w:keepNext w:val="0"/>
        <w:keepLines w:val="0"/>
        <w:pageBreakBefore w:val="0"/>
        <w:widowControl w:val="0"/>
        <w:spacing w:line="440" w:lineRule="exact"/>
        <w:ind w:firstLine="480"/>
        <w:rPr>
          <w:rFonts w:hint="default"/>
          <w:color w:val="auto"/>
          <w:highlight w:val="none"/>
          <w:lang w:val="en-US" w:eastAsia="zh-CN"/>
        </w:rPr>
      </w:pPr>
      <w:r>
        <w:rPr>
          <w:rFonts w:hint="eastAsia" w:ascii="宋体" w:hAnsi="宋体" w:eastAsia="宋体" w:cs="Courier New"/>
          <w:color w:val="auto"/>
          <w:sz w:val="24"/>
          <w:szCs w:val="24"/>
          <w:highlight w:val="none"/>
          <w:lang w:val="en-US" w:eastAsia="zh-CN" w:bidi="ar-SA"/>
        </w:rPr>
        <w:t>4、</w:t>
      </w:r>
      <w:r>
        <w:rPr>
          <w:rFonts w:hint="default" w:ascii="宋体" w:hAnsi="宋体" w:eastAsia="宋体" w:cs="Courier New"/>
          <w:color w:val="auto"/>
          <w:sz w:val="24"/>
          <w:szCs w:val="24"/>
          <w:highlight w:val="none"/>
          <w:lang w:val="en-US" w:eastAsia="zh-CN" w:bidi="ar-SA"/>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C45605B">
      <w:pPr>
        <w:keepNext w:val="0"/>
        <w:keepLines w:val="0"/>
        <w:pageBreakBefore w:val="0"/>
        <w:widowControl w:val="0"/>
        <w:spacing w:line="440" w:lineRule="exact"/>
        <w:ind w:firstLine="482"/>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十六、不可抗力事件处理</w:t>
      </w:r>
    </w:p>
    <w:p w14:paraId="6669E95F">
      <w:pPr>
        <w:keepNext w:val="0"/>
        <w:keepLines w:val="0"/>
        <w:pageBreakBefore w:val="0"/>
        <w:widowControl w:val="0"/>
        <w:spacing w:line="440" w:lineRule="exact"/>
        <w:ind w:firstLine="480"/>
        <w:rPr>
          <w:rFonts w:hint="eastAsia" w:ascii="宋体" w:hAnsi="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在合同有效期内，任何一方因不可抗力事件导致不能履行合同，则合同履行期可延长，其延长期与不可抗力影响期相同。不可抗力事件发生后，应立即通知对方并寄送有关权威机构出具的证明。不可抗力事件发生后，双方应通过友好协商，确定是否继续履行合同。</w:t>
      </w:r>
    </w:p>
    <w:p w14:paraId="393757F9">
      <w:pPr>
        <w:keepNext w:val="0"/>
        <w:keepLines w:val="0"/>
        <w:pageBreakBefore w:val="0"/>
        <w:widowControl w:val="0"/>
        <w:spacing w:line="440" w:lineRule="exact"/>
        <w:ind w:firstLine="482"/>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十七、争议解决</w:t>
      </w:r>
    </w:p>
    <w:p w14:paraId="4672043D">
      <w:pPr>
        <w:keepNext w:val="0"/>
        <w:keepLines w:val="0"/>
        <w:pageBreakBefore w:val="0"/>
        <w:widowControl w:val="0"/>
        <w:spacing w:line="440" w:lineRule="exact"/>
        <w:ind w:firstLine="480"/>
        <w:rPr>
          <w:rFonts w:hint="eastAsia" w:ascii="宋体" w:hAnsi="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双方在执行合同中所发生的一切争议，应通过协商解决。如协商不成，甲乙双方均有权向甲方所在地人民法院提起诉讼。</w:t>
      </w:r>
    </w:p>
    <w:p w14:paraId="4B9A61A3">
      <w:pPr>
        <w:keepNext w:val="0"/>
        <w:keepLines w:val="0"/>
        <w:pageBreakBefore w:val="0"/>
        <w:widowControl w:val="0"/>
        <w:spacing w:line="440" w:lineRule="exact"/>
        <w:ind w:firstLine="482"/>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十八、税费</w:t>
      </w:r>
    </w:p>
    <w:p w14:paraId="1A0571D8">
      <w:pPr>
        <w:keepNext w:val="0"/>
        <w:keepLines w:val="0"/>
        <w:pageBreakBefore w:val="0"/>
        <w:widowControl w:val="0"/>
        <w:spacing w:line="440" w:lineRule="exact"/>
        <w:ind w:firstLine="480"/>
        <w:rPr>
          <w:rFonts w:hint="eastAsia" w:ascii="宋体" w:hAnsi="宋体" w:cs="宋体"/>
          <w:b/>
          <w:color w:val="auto"/>
          <w:sz w:val="24"/>
          <w:szCs w:val="24"/>
          <w:highlight w:val="none"/>
          <w:lang w:val="en-US" w:eastAsia="zh-CN"/>
        </w:rPr>
      </w:pPr>
      <w:r>
        <w:rPr>
          <w:rFonts w:hint="eastAsia" w:ascii="宋体" w:hAnsi="宋体" w:cs="宋体"/>
          <w:b w:val="0"/>
          <w:bCs/>
          <w:color w:val="auto"/>
          <w:sz w:val="24"/>
          <w:szCs w:val="24"/>
          <w:highlight w:val="none"/>
          <w:lang w:val="en-US" w:eastAsia="zh-CN"/>
        </w:rPr>
        <w:t>本合同执行中相关的一切税费均由乙方负担。</w:t>
      </w:r>
    </w:p>
    <w:p w14:paraId="254670FC">
      <w:pPr>
        <w:keepNext w:val="0"/>
        <w:keepLines w:val="0"/>
        <w:pageBreakBefore w:val="0"/>
        <w:widowControl w:val="0"/>
        <w:spacing w:line="440" w:lineRule="exact"/>
        <w:ind w:firstLine="482"/>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十九</w:t>
      </w:r>
      <w:r>
        <w:rPr>
          <w:rFonts w:hint="eastAsia" w:ascii="宋体" w:hAnsi="宋体" w:eastAsia="宋体" w:cs="宋体"/>
          <w:b/>
          <w:color w:val="auto"/>
          <w:sz w:val="24"/>
          <w:szCs w:val="24"/>
          <w:highlight w:val="none"/>
        </w:rPr>
        <w:t>、合同生效</w:t>
      </w:r>
      <w:r>
        <w:rPr>
          <w:rFonts w:hint="eastAsia" w:ascii="宋体" w:hAnsi="宋体" w:cs="宋体"/>
          <w:b/>
          <w:color w:val="auto"/>
          <w:sz w:val="24"/>
          <w:szCs w:val="24"/>
          <w:highlight w:val="none"/>
          <w:lang w:val="en-US" w:eastAsia="zh-CN"/>
        </w:rPr>
        <w:t>及其他</w:t>
      </w:r>
    </w:p>
    <w:p w14:paraId="30C588F5">
      <w:pPr>
        <w:keepNext w:val="0"/>
        <w:keepLines w:val="0"/>
        <w:pageBreakBefore w:val="0"/>
        <w:widowControl w:val="0"/>
        <w:spacing w:line="440" w:lineRule="exact"/>
        <w:ind w:firstLine="480"/>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合同订立地点：</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eastAsia="zh-CN"/>
        </w:rPr>
        <w:t>。</w:t>
      </w:r>
    </w:p>
    <w:p w14:paraId="70275CDD">
      <w:pPr>
        <w:keepNext w:val="0"/>
        <w:keepLines w:val="0"/>
        <w:pageBreakBefore w:val="0"/>
        <w:widowControl w:val="0"/>
        <w:spacing w:line="440" w:lineRule="exact"/>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本合同甲、乙双方约定</w:t>
      </w:r>
      <w:r>
        <w:rPr>
          <w:rFonts w:hint="eastAsia" w:ascii="宋体" w:hAnsi="宋体" w:eastAsia="宋体" w:cs="宋体"/>
          <w:color w:val="auto"/>
          <w:sz w:val="24"/>
          <w:szCs w:val="24"/>
          <w:highlight w:val="none"/>
          <w:u w:val="single"/>
        </w:rPr>
        <w:t xml:space="preserve"> 签字、盖章后 </w:t>
      </w:r>
      <w:r>
        <w:rPr>
          <w:rFonts w:hint="eastAsia" w:ascii="宋体" w:hAnsi="宋体" w:eastAsia="宋体" w:cs="宋体"/>
          <w:color w:val="auto"/>
          <w:sz w:val="24"/>
          <w:szCs w:val="24"/>
          <w:highlight w:val="none"/>
        </w:rPr>
        <w:t>生效。</w:t>
      </w:r>
    </w:p>
    <w:p w14:paraId="2BD084D2">
      <w:pPr>
        <w:keepNext w:val="0"/>
        <w:keepLines w:val="0"/>
        <w:pageBreakBefore w:val="0"/>
        <w:widowControl w:val="0"/>
        <w:spacing w:line="440" w:lineRule="exact"/>
        <w:ind w:firstLine="480"/>
        <w:rPr>
          <w:rFonts w:hint="eastAsia"/>
          <w:color w:val="auto"/>
          <w:highlight w:val="none"/>
          <w:lang w:val="en-US" w:eastAsia="zh-CN"/>
        </w:rPr>
      </w:pPr>
      <w:r>
        <w:rPr>
          <w:rFonts w:hint="eastAsia" w:ascii="宋体" w:hAnsi="宋体" w:cs="宋体"/>
          <w:color w:val="auto"/>
          <w:sz w:val="24"/>
          <w:szCs w:val="24"/>
          <w:highlight w:val="none"/>
          <w:lang w:val="en-US" w:eastAsia="zh-CN"/>
        </w:rPr>
        <w:t>3、本合同未尽事宜，遵照《中华人民共和国民法典》有关条文执行。</w:t>
      </w:r>
    </w:p>
    <w:p w14:paraId="245598A6">
      <w:pPr>
        <w:keepNext w:val="0"/>
        <w:keepLines w:val="0"/>
        <w:pageBreakBefore w:val="0"/>
        <w:widowControl w:val="0"/>
        <w:spacing w:line="440" w:lineRule="exact"/>
        <w:ind w:firstLine="48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4、本合同一式陆份，具有同等法律效力，甲乙双方各执叁份。</w:t>
      </w:r>
    </w:p>
    <w:p w14:paraId="0F99CEBB">
      <w:pPr>
        <w:keepNext w:val="0"/>
        <w:keepLines w:val="0"/>
        <w:pageBreakBefore w:val="0"/>
        <w:widowControl w:val="0"/>
        <w:spacing w:line="440" w:lineRule="exact"/>
        <w:ind w:firstLine="480"/>
        <w:rPr>
          <w:rFonts w:hint="eastAsia" w:ascii="宋体" w:hAnsi="宋体" w:eastAsia="宋体" w:cs="宋体"/>
          <w:color w:val="auto"/>
          <w:sz w:val="24"/>
          <w:szCs w:val="24"/>
          <w:highlight w:val="none"/>
        </w:rPr>
      </w:pPr>
    </w:p>
    <w:p w14:paraId="498BA144">
      <w:pPr>
        <w:keepNext w:val="0"/>
        <w:keepLines w:val="0"/>
        <w:pageBreakBefore w:val="0"/>
        <w:widowControl w:val="0"/>
        <w:spacing w:line="440" w:lineRule="exact"/>
        <w:ind w:firstLine="480"/>
        <w:rPr>
          <w:rFonts w:hint="eastAsia" w:ascii="宋体" w:hAnsi="宋体" w:eastAsia="宋体" w:cs="宋体"/>
          <w:color w:val="auto"/>
          <w:sz w:val="24"/>
          <w:szCs w:val="24"/>
          <w:highlight w:val="none"/>
        </w:rPr>
      </w:pPr>
    </w:p>
    <w:p w14:paraId="296BD791">
      <w:pPr>
        <w:keepNext w:val="0"/>
        <w:keepLines w:val="0"/>
        <w:pageBreakBefore w:val="0"/>
        <w:widowControl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乙方（盖章）： </w:t>
      </w:r>
    </w:p>
    <w:p w14:paraId="24B28D79">
      <w:pPr>
        <w:keepNext w:val="0"/>
        <w:keepLines w:val="0"/>
        <w:pageBreakBefore w:val="0"/>
        <w:widowControl w:val="0"/>
        <w:spacing w:line="44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14:paraId="244EDC59">
      <w:pPr>
        <w:keepNext w:val="0"/>
        <w:keepLines w:val="0"/>
        <w:pageBreakBefore w:val="0"/>
        <w:widowControl w:val="0"/>
        <w:spacing w:line="440" w:lineRule="exact"/>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委托代理人：（签字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rPr>
        <w:t>委托代理人：（签字</w:t>
      </w:r>
      <w:r>
        <w:rPr>
          <w:rFonts w:hint="eastAsia" w:ascii="宋体" w:hAnsi="宋体" w:cs="宋体"/>
          <w:color w:val="auto"/>
          <w:sz w:val="24"/>
          <w:szCs w:val="24"/>
          <w:highlight w:val="none"/>
          <w:lang w:val="en-US" w:eastAsia="zh-CN"/>
        </w:rPr>
        <w:t>或盖章</w:t>
      </w:r>
      <w:r>
        <w:rPr>
          <w:rFonts w:hint="eastAsia" w:ascii="宋体" w:hAnsi="宋体" w:eastAsia="宋体" w:cs="宋体"/>
          <w:color w:val="auto"/>
          <w:sz w:val="24"/>
          <w:szCs w:val="24"/>
          <w:highlight w:val="none"/>
        </w:rPr>
        <w:t xml:space="preserve">）     </w:t>
      </w:r>
    </w:p>
    <w:p w14:paraId="198FB249">
      <w:pPr>
        <w:spacing w:line="440" w:lineRule="exact"/>
        <w:ind w:firstLine="480"/>
        <w:contextualSpacing w:val="0"/>
        <w:jc w:val="left"/>
        <w:rPr>
          <w:rFonts w:hint="eastAsia" w:ascii="宋体" w:hAnsi="宋体" w:eastAsia="宋体" w:cs="宋体"/>
          <w:b/>
          <w:bCs/>
          <w:color w:val="auto"/>
          <w:sz w:val="32"/>
          <w:szCs w:val="32"/>
          <w:highlight w:val="none"/>
          <w:lang w:val="en-US" w:eastAsia="zh-CN" w:bidi="ar-SA"/>
        </w:rPr>
      </w:pPr>
      <w:r>
        <w:rPr>
          <w:rFonts w:hint="eastAsia" w:ascii="宋体" w:hAnsi="宋体" w:cs="宋体"/>
          <w:color w:val="auto"/>
          <w:sz w:val="24"/>
          <w:szCs w:val="24"/>
          <w:highlight w:val="none"/>
          <w:lang w:val="en-US" w:eastAsia="zh-CN"/>
        </w:rPr>
        <w:t>日期：  年  月  日                          日期：  年  月  日</w:t>
      </w:r>
    </w:p>
    <w:p w14:paraId="4A0CED3A">
      <w:pPr>
        <w:rPr>
          <w:rFonts w:ascii="宋体" w:hAnsi="宋体" w:cs="宋体"/>
          <w:color w:val="auto"/>
          <w:sz w:val="24"/>
          <w:highlight w:val="none"/>
        </w:rPr>
      </w:pPr>
      <w:r>
        <w:rPr>
          <w:rFonts w:hint="eastAsia" w:ascii="宋体" w:hAnsi="宋体" w:cs="宋体"/>
          <w:color w:val="auto"/>
          <w:sz w:val="24"/>
          <w:highlight w:val="none"/>
        </w:rPr>
        <w:br w:type="page"/>
      </w:r>
    </w:p>
    <w:p w14:paraId="558CF4B1">
      <w:pPr>
        <w:pStyle w:val="28"/>
        <w:snapToGrid w:val="0"/>
        <w:spacing w:after="120" w:afterLines="50"/>
        <w:jc w:val="center"/>
        <w:rPr>
          <w:rFonts w:hAnsi="宋体"/>
          <w:b/>
          <w:color w:val="auto"/>
          <w:sz w:val="44"/>
          <w:szCs w:val="44"/>
          <w:highlight w:val="none"/>
        </w:rPr>
      </w:pPr>
      <w:r>
        <w:rPr>
          <w:rFonts w:hint="eastAsia" w:hAnsi="宋体"/>
          <w:b/>
          <w:color w:val="auto"/>
          <w:sz w:val="44"/>
          <w:szCs w:val="44"/>
          <w:highlight w:val="none"/>
        </w:rPr>
        <w:t>廉 政 合 同</w:t>
      </w:r>
    </w:p>
    <w:p w14:paraId="4E643238">
      <w:pPr>
        <w:spacing w:line="360" w:lineRule="auto"/>
        <w:rPr>
          <w:rFonts w:hint="eastAsia" w:ascii="宋体" w:hAnsi="宋体" w:cs="宋体"/>
          <w:color w:val="auto"/>
          <w:sz w:val="24"/>
          <w:highlight w:val="none"/>
          <w:lang w:eastAsia="zh-CN"/>
        </w:rPr>
      </w:pPr>
      <w:r>
        <w:rPr>
          <w:rFonts w:hint="eastAsia" w:ascii="宋体" w:hAnsi="宋体" w:cs="宋体"/>
          <w:color w:val="auto"/>
          <w:sz w:val="24"/>
          <w:highlight w:val="none"/>
        </w:rPr>
        <w:t>甲方：</w:t>
      </w:r>
      <w:r>
        <w:rPr>
          <w:rFonts w:hint="eastAsia" w:ascii="宋体" w:hAnsi="宋体" w:cs="宋体"/>
          <w:color w:val="auto"/>
          <w:sz w:val="24"/>
          <w:highlight w:val="none"/>
          <w:lang w:eastAsia="zh-CN"/>
        </w:rPr>
        <w:t>盐城市大丰区环境卫生管理处</w:t>
      </w:r>
    </w:p>
    <w:p w14:paraId="6FEC67C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乙方： </w:t>
      </w:r>
    </w:p>
    <w:p w14:paraId="6AB214EC">
      <w:pPr>
        <w:pStyle w:val="28"/>
        <w:spacing w:line="400" w:lineRule="exact"/>
        <w:ind w:firstLine="482" w:firstLineChars="201"/>
        <w:jc w:val="left"/>
        <w:rPr>
          <w:rFonts w:hAnsi="宋体" w:cs="宋体"/>
          <w:color w:val="auto"/>
          <w:sz w:val="24"/>
          <w:szCs w:val="24"/>
          <w:highlight w:val="none"/>
        </w:rPr>
      </w:pPr>
      <w:r>
        <w:rPr>
          <w:rFonts w:hint="eastAsia" w:hAnsi="宋体" w:cs="宋体"/>
          <w:color w:val="auto"/>
          <w:sz w:val="24"/>
          <w:szCs w:val="24"/>
          <w:highlight w:val="none"/>
        </w:rPr>
        <w:t>为强化抓源治本工作力度，从制度机制上进一步规范</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采购行为，杜绝不廉洁行为，特订立本合同，双方遵照执行。</w:t>
      </w:r>
    </w:p>
    <w:p w14:paraId="09474A6B">
      <w:pPr>
        <w:pStyle w:val="28"/>
        <w:spacing w:line="400" w:lineRule="exact"/>
        <w:ind w:firstLine="482" w:firstLineChars="201"/>
        <w:jc w:val="left"/>
        <w:rPr>
          <w:rFonts w:hAnsi="宋体" w:cs="宋体"/>
          <w:color w:val="auto"/>
          <w:sz w:val="24"/>
          <w:szCs w:val="24"/>
          <w:highlight w:val="none"/>
        </w:rPr>
      </w:pPr>
      <w:r>
        <w:rPr>
          <w:rFonts w:hint="eastAsia" w:hAnsi="宋体" w:cs="宋体"/>
          <w:color w:val="auto"/>
          <w:sz w:val="24"/>
          <w:szCs w:val="24"/>
          <w:highlight w:val="none"/>
        </w:rPr>
        <w:t>1、甲方、乙方双方必须严格遵守国家法律、法规、政策及各项廉政规定，恪守职业道德规范。</w:t>
      </w:r>
    </w:p>
    <w:p w14:paraId="1901A7FE">
      <w:pPr>
        <w:pStyle w:val="28"/>
        <w:spacing w:line="400" w:lineRule="exact"/>
        <w:ind w:firstLine="482" w:firstLineChars="201"/>
        <w:jc w:val="left"/>
        <w:rPr>
          <w:rFonts w:hAnsi="宋体" w:cs="宋体"/>
          <w:color w:val="auto"/>
          <w:sz w:val="24"/>
          <w:szCs w:val="24"/>
          <w:highlight w:val="none"/>
        </w:rPr>
      </w:pPr>
      <w:r>
        <w:rPr>
          <w:rFonts w:hint="eastAsia" w:hAnsi="宋体" w:cs="宋体"/>
          <w:color w:val="auto"/>
          <w:sz w:val="24"/>
          <w:szCs w:val="24"/>
          <w:highlight w:val="none"/>
        </w:rPr>
        <w:t>2、甲方、乙方双方在具体项目采购行为中，必须严格遵守招投标法规定的原则、方式、程序，保证公平、公正、公开。</w:t>
      </w:r>
    </w:p>
    <w:p w14:paraId="1E2146A6">
      <w:pPr>
        <w:pStyle w:val="28"/>
        <w:spacing w:line="400" w:lineRule="exact"/>
        <w:ind w:firstLine="482" w:firstLineChars="201"/>
        <w:jc w:val="left"/>
        <w:rPr>
          <w:rFonts w:hAnsi="宋体" w:cs="宋体"/>
          <w:color w:val="auto"/>
          <w:sz w:val="24"/>
          <w:szCs w:val="24"/>
          <w:highlight w:val="none"/>
        </w:rPr>
      </w:pPr>
      <w:r>
        <w:rPr>
          <w:rFonts w:hint="eastAsia" w:hAnsi="宋体" w:cs="宋体"/>
          <w:color w:val="auto"/>
          <w:sz w:val="24"/>
          <w:szCs w:val="24"/>
          <w:highlight w:val="none"/>
        </w:rPr>
        <w:t>3、甲方、乙方双方不得相互串通，损害国家利益、社会公共利益及其他当事人的合法权益。</w:t>
      </w:r>
    </w:p>
    <w:p w14:paraId="6F86755A">
      <w:pPr>
        <w:pStyle w:val="28"/>
        <w:spacing w:line="400" w:lineRule="exact"/>
        <w:ind w:firstLine="240" w:firstLineChars="100"/>
        <w:jc w:val="left"/>
        <w:rPr>
          <w:rFonts w:hAnsi="宋体" w:cs="宋体"/>
          <w:color w:val="auto"/>
          <w:sz w:val="24"/>
          <w:szCs w:val="24"/>
          <w:highlight w:val="none"/>
        </w:rPr>
      </w:pPr>
      <w:r>
        <w:rPr>
          <w:rFonts w:hint="eastAsia" w:hAnsi="宋体" w:cs="宋体"/>
          <w:color w:val="auto"/>
          <w:sz w:val="24"/>
          <w:szCs w:val="24"/>
          <w:highlight w:val="none"/>
        </w:rPr>
        <w:t>　4、甲方工作人员及其配偶、子女不得以任何形式或名义索要、接受乙方的现金、有价证券、支付凭证和其他馈赠礼品；乙方不得以任何形式或名义向甲方工作人员及其配偶、子女、评标人员赠送现金、有价证券、支付凭证和礼品或采取其他不正当手段谋取利益。</w:t>
      </w:r>
    </w:p>
    <w:p w14:paraId="4175962F">
      <w:pPr>
        <w:pStyle w:val="28"/>
        <w:spacing w:line="400" w:lineRule="exact"/>
        <w:ind w:firstLine="482" w:firstLineChars="201"/>
        <w:jc w:val="left"/>
        <w:rPr>
          <w:rFonts w:hAnsi="宋体" w:cs="宋体"/>
          <w:color w:val="auto"/>
          <w:sz w:val="24"/>
          <w:szCs w:val="24"/>
          <w:highlight w:val="none"/>
        </w:rPr>
      </w:pPr>
      <w:r>
        <w:rPr>
          <w:rFonts w:hint="eastAsia" w:hAnsi="宋体" w:cs="宋体"/>
          <w:color w:val="auto"/>
          <w:sz w:val="24"/>
          <w:szCs w:val="24"/>
          <w:highlight w:val="none"/>
        </w:rPr>
        <w:t>5、甲方工作人员及其配偶、子女不得以任何形式或者名义接受乙方的宴请、请钓、旅游、健身和其他娱乐活动；乙方不得以任何形式或名义邀请甲方工作人员及其配偶、子女请吃、请钓、旅游、健身和其他娱乐活动。</w:t>
      </w:r>
    </w:p>
    <w:p w14:paraId="7BBE8ED3">
      <w:pPr>
        <w:pStyle w:val="28"/>
        <w:spacing w:line="400" w:lineRule="exact"/>
        <w:ind w:firstLine="482" w:firstLineChars="201"/>
        <w:jc w:val="left"/>
        <w:rPr>
          <w:rFonts w:hAnsi="宋体" w:cs="宋体"/>
          <w:color w:val="auto"/>
          <w:sz w:val="24"/>
          <w:szCs w:val="24"/>
          <w:highlight w:val="none"/>
        </w:rPr>
      </w:pPr>
      <w:r>
        <w:rPr>
          <w:rFonts w:hint="eastAsia" w:hAnsi="宋体" w:cs="宋体"/>
          <w:color w:val="auto"/>
          <w:sz w:val="24"/>
          <w:szCs w:val="24"/>
          <w:highlight w:val="none"/>
        </w:rPr>
        <w:t>6、甲方工作人员及其配偶、子女不得以打“业务牌”等形式变相接受乙方的钱物；乙方不得以打“业务牌”的形式向甲方工作人员及其配偶、子女变相送钱物。</w:t>
      </w:r>
    </w:p>
    <w:p w14:paraId="6D8FD41D">
      <w:pPr>
        <w:pStyle w:val="28"/>
        <w:spacing w:line="400" w:lineRule="exact"/>
        <w:ind w:firstLine="482" w:firstLineChars="201"/>
        <w:jc w:val="left"/>
        <w:rPr>
          <w:rFonts w:hAnsi="宋体" w:cs="宋体"/>
          <w:color w:val="auto"/>
          <w:sz w:val="24"/>
          <w:szCs w:val="24"/>
          <w:highlight w:val="none"/>
        </w:rPr>
      </w:pPr>
      <w:r>
        <w:rPr>
          <w:rFonts w:hint="eastAsia" w:hAnsi="宋体" w:cs="宋体"/>
          <w:color w:val="auto"/>
          <w:sz w:val="24"/>
          <w:szCs w:val="24"/>
          <w:highlight w:val="none"/>
        </w:rPr>
        <w:t>7、甲方工作人员及其配偶、子女不得在乙方报销应由个人支付的费用或领取报酬；乙方不得为甲方工作人员及其配偶、子女报销应由个人支付的费用或发放报酬。</w:t>
      </w:r>
    </w:p>
    <w:p w14:paraId="3E435F44">
      <w:pPr>
        <w:pStyle w:val="28"/>
        <w:spacing w:line="400" w:lineRule="exact"/>
        <w:ind w:firstLine="482" w:firstLineChars="201"/>
        <w:jc w:val="left"/>
        <w:rPr>
          <w:rFonts w:hAnsi="宋体" w:cs="宋体"/>
          <w:color w:val="auto"/>
          <w:sz w:val="24"/>
          <w:szCs w:val="24"/>
          <w:highlight w:val="none"/>
        </w:rPr>
      </w:pPr>
      <w:r>
        <w:rPr>
          <w:rFonts w:hint="eastAsia" w:hAnsi="宋体" w:cs="宋体"/>
          <w:color w:val="auto"/>
          <w:sz w:val="24"/>
          <w:szCs w:val="24"/>
          <w:highlight w:val="none"/>
        </w:rPr>
        <w:t>违约责任：</w:t>
      </w:r>
    </w:p>
    <w:p w14:paraId="4D6C1257">
      <w:pPr>
        <w:pStyle w:val="28"/>
        <w:spacing w:line="400" w:lineRule="exact"/>
        <w:ind w:firstLine="482" w:firstLineChars="201"/>
        <w:jc w:val="left"/>
        <w:rPr>
          <w:rFonts w:hAnsi="宋体" w:cs="宋体"/>
          <w:color w:val="auto"/>
          <w:sz w:val="24"/>
          <w:szCs w:val="24"/>
          <w:highlight w:val="none"/>
        </w:rPr>
      </w:pPr>
      <w:r>
        <w:rPr>
          <w:rFonts w:hint="eastAsia" w:hAnsi="宋体" w:cs="宋体"/>
          <w:color w:val="auto"/>
          <w:sz w:val="24"/>
          <w:szCs w:val="24"/>
          <w:highlight w:val="none"/>
        </w:rPr>
        <w:t>1、甲方发生违约行为，一经查实将视情节轻重对直接责任人进行严肃处理并追究主管人员的责任。</w:t>
      </w:r>
    </w:p>
    <w:p w14:paraId="65F481F3">
      <w:pPr>
        <w:pStyle w:val="28"/>
        <w:spacing w:line="400" w:lineRule="exact"/>
        <w:ind w:firstLine="482" w:firstLineChars="201"/>
        <w:jc w:val="left"/>
        <w:rPr>
          <w:rFonts w:hAnsi="宋体" w:cs="宋体"/>
          <w:color w:val="auto"/>
          <w:sz w:val="24"/>
          <w:szCs w:val="24"/>
          <w:highlight w:val="none"/>
        </w:rPr>
      </w:pPr>
      <w:r>
        <w:rPr>
          <w:rFonts w:hint="eastAsia" w:hAnsi="宋体" w:cs="宋体"/>
          <w:color w:val="auto"/>
          <w:sz w:val="24"/>
          <w:szCs w:val="24"/>
          <w:highlight w:val="none"/>
        </w:rPr>
        <w:t>2、乙方发生违约行为，甲方有权解除合同，并将其列入“黑名单”在一定范围内公布，三年内不得参加辖区内的项目采购。　</w:t>
      </w:r>
    </w:p>
    <w:p w14:paraId="7D476661">
      <w:pPr>
        <w:pStyle w:val="28"/>
        <w:spacing w:line="400" w:lineRule="exact"/>
        <w:ind w:firstLine="482" w:firstLineChars="201"/>
        <w:jc w:val="left"/>
        <w:rPr>
          <w:rFonts w:hAnsi="宋体" w:cs="宋体"/>
          <w:color w:val="auto"/>
          <w:sz w:val="24"/>
          <w:szCs w:val="24"/>
          <w:highlight w:val="none"/>
        </w:rPr>
      </w:pPr>
    </w:p>
    <w:p w14:paraId="25311C64">
      <w:pPr>
        <w:pStyle w:val="28"/>
        <w:spacing w:line="400" w:lineRule="exact"/>
        <w:ind w:firstLine="482" w:firstLineChars="201"/>
        <w:jc w:val="left"/>
        <w:rPr>
          <w:rFonts w:hAnsi="宋体" w:cs="宋体"/>
          <w:color w:val="auto"/>
          <w:sz w:val="24"/>
          <w:szCs w:val="24"/>
          <w:highlight w:val="none"/>
        </w:rPr>
      </w:pPr>
    </w:p>
    <w:p w14:paraId="56B029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                                 </w:t>
      </w:r>
      <w:r>
        <w:rPr>
          <w:rFonts w:ascii="宋体" w:hAnsi="宋体" w:cs="宋体"/>
          <w:color w:val="auto"/>
          <w:sz w:val="24"/>
          <w:highlight w:val="none"/>
        </w:rPr>
        <w:t xml:space="preserve">  </w:t>
      </w:r>
      <w:r>
        <w:rPr>
          <w:rFonts w:hint="eastAsia" w:ascii="宋体" w:hAnsi="宋体" w:cs="宋体"/>
          <w:color w:val="auto"/>
          <w:sz w:val="24"/>
          <w:highlight w:val="none"/>
        </w:rPr>
        <w:t xml:space="preserve">乙方： </w:t>
      </w:r>
    </w:p>
    <w:p w14:paraId="5A57E4C8">
      <w:pPr>
        <w:tabs>
          <w:tab w:val="left" w:pos="4962"/>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法定（授权）代表人：                     法定（授权）代表人：</w:t>
      </w:r>
    </w:p>
    <w:p w14:paraId="152BA511">
      <w:pPr>
        <w:ind w:firstLine="480" w:firstLineChars="200"/>
        <w:rPr>
          <w:rFonts w:ascii="宋体" w:hAnsi="宋体" w:cs="宋体"/>
          <w:color w:val="auto"/>
          <w:sz w:val="24"/>
          <w:highlight w:val="none"/>
        </w:rPr>
      </w:pPr>
      <w:r>
        <w:rPr>
          <w:rFonts w:hint="eastAsia" w:ascii="宋体" w:hAnsi="宋体" w:cs="宋体"/>
          <w:color w:val="auto"/>
          <w:sz w:val="24"/>
          <w:highlight w:val="none"/>
        </w:rPr>
        <w:t>签字日期：      年  月  日               签字日期：      年  月  日</w:t>
      </w:r>
    </w:p>
    <w:p w14:paraId="262E90CE">
      <w:pPr>
        <w:pStyle w:val="28"/>
        <w:tabs>
          <w:tab w:val="left" w:pos="4962"/>
        </w:tabs>
        <w:spacing w:line="400" w:lineRule="exact"/>
        <w:ind w:firstLine="480"/>
        <w:rPr>
          <w:rFonts w:hAnsi="宋体" w:cs="宋体"/>
          <w:color w:val="auto"/>
          <w:sz w:val="24"/>
          <w:szCs w:val="24"/>
          <w:highlight w:val="none"/>
        </w:rPr>
      </w:pPr>
    </w:p>
    <w:p w14:paraId="27E7276B">
      <w:pPr>
        <w:pStyle w:val="28"/>
        <w:tabs>
          <w:tab w:val="left" w:pos="4962"/>
        </w:tabs>
        <w:spacing w:line="400" w:lineRule="exact"/>
        <w:ind w:firstLine="480"/>
        <w:rPr>
          <w:rFonts w:hAnsi="宋体" w:cs="宋体"/>
          <w:color w:val="auto"/>
          <w:sz w:val="24"/>
          <w:szCs w:val="24"/>
          <w:highlight w:val="none"/>
        </w:rPr>
      </w:pPr>
    </w:p>
    <w:p w14:paraId="65EDBBBE">
      <w:pPr>
        <w:keepNext w:val="0"/>
        <w:keepLines w:val="0"/>
        <w:pageBreakBefore/>
        <w:widowControl w:val="0"/>
        <w:kinsoku/>
        <w:wordWrap/>
        <w:overflowPunct/>
        <w:topLinePunct w:val="0"/>
        <w:autoSpaceDE/>
        <w:autoSpaceDN/>
        <w:bidi w:val="0"/>
        <w:adjustRightInd/>
        <w:snapToGrid/>
        <w:jc w:val="center"/>
        <w:textAlignment w:val="auto"/>
        <w:rPr>
          <w:rFonts w:ascii="宋体" w:hAnsi="宋体" w:cs="宋体"/>
          <w:color w:val="auto"/>
          <w:sz w:val="44"/>
          <w:szCs w:val="44"/>
          <w:highlight w:val="none"/>
        </w:rPr>
      </w:pPr>
      <w:bookmarkStart w:id="152" w:name="MOFFICE_OUTDOC_NTDOC__TITLE"/>
      <w:r>
        <w:rPr>
          <w:rFonts w:hint="eastAsia" w:ascii="宋体" w:hAnsi="宋体" w:cs="宋体"/>
          <w:color w:val="auto"/>
          <w:sz w:val="44"/>
          <w:szCs w:val="44"/>
          <w:highlight w:val="none"/>
        </w:rPr>
        <w:t>政府采购合同履约验收书</w:t>
      </w:r>
    </w:p>
    <w:p w14:paraId="463A234C">
      <w:pPr>
        <w:spacing w:line="560" w:lineRule="exact"/>
        <w:ind w:firstLine="600"/>
        <w:jc w:val="left"/>
        <w:rPr>
          <w:rFonts w:ascii="宋体" w:hAnsi="宋体" w:cs="宋体"/>
          <w:color w:val="auto"/>
          <w:szCs w:val="32"/>
          <w:highlight w:val="none"/>
        </w:rPr>
      </w:pPr>
      <w:r>
        <w:rPr>
          <w:rFonts w:hint="eastAsia" w:ascii="宋体" w:hAnsi="宋体" w:cs="宋体"/>
          <w:color w:val="auto"/>
          <w:szCs w:val="32"/>
          <w:highlight w:val="none"/>
        </w:rPr>
        <w:t>根据政府采购合同（编号：</w:t>
      </w:r>
      <w:r>
        <w:rPr>
          <w:rFonts w:hint="eastAsia" w:ascii="宋体" w:hAnsi="宋体" w:cs="宋体"/>
          <w:color w:val="auto"/>
          <w:szCs w:val="32"/>
          <w:highlight w:val="none"/>
          <w:u w:val="single"/>
        </w:rPr>
        <w:t xml:space="preserve">          </w:t>
      </w:r>
      <w:r>
        <w:rPr>
          <w:rFonts w:hint="eastAsia" w:ascii="宋体" w:hAnsi="宋体" w:cs="宋体"/>
          <w:color w:val="auto"/>
          <w:szCs w:val="32"/>
          <w:highlight w:val="none"/>
        </w:rPr>
        <w:t>）的约定，我单位组织对</w:t>
      </w:r>
      <w:r>
        <w:rPr>
          <w:rFonts w:hint="eastAsia" w:ascii="宋体" w:hAnsi="宋体" w:cs="宋体"/>
          <w:color w:val="auto"/>
          <w:szCs w:val="32"/>
          <w:highlight w:val="none"/>
          <w:u w:val="single"/>
        </w:rPr>
        <w:t>（项目名称）</w:t>
      </w:r>
      <w:r>
        <w:rPr>
          <w:rFonts w:hint="eastAsia" w:ascii="宋体" w:hAnsi="宋体" w:cs="宋体"/>
          <w:color w:val="auto"/>
          <w:szCs w:val="32"/>
          <w:highlight w:val="none"/>
        </w:rPr>
        <w:t>项目中标（成交）供应商</w:t>
      </w:r>
      <w:r>
        <w:rPr>
          <w:rFonts w:hint="eastAsia" w:ascii="宋体" w:hAnsi="宋体" w:cs="宋体"/>
          <w:color w:val="auto"/>
          <w:szCs w:val="32"/>
          <w:highlight w:val="none"/>
          <w:u w:val="single"/>
        </w:rPr>
        <w:t>（公司名称）</w:t>
      </w:r>
      <w:r>
        <w:rPr>
          <w:rFonts w:hint="eastAsia" w:ascii="宋体" w:hAnsi="宋体" w:cs="宋体"/>
          <w:color w:val="auto"/>
          <w:szCs w:val="32"/>
          <w:highlight w:val="none"/>
        </w:rPr>
        <w:t>提供的货物（工程、服务）进行了履约验收，验收情况如下：</w:t>
      </w:r>
      <w:bookmarkEnd w:id="152"/>
    </w:p>
    <w:tbl>
      <w:tblPr>
        <w:tblStyle w:val="53"/>
        <w:tblW w:w="9960" w:type="dxa"/>
        <w:jc w:val="center"/>
        <w:tblLayout w:type="fixed"/>
        <w:tblCellMar>
          <w:top w:w="0" w:type="dxa"/>
          <w:left w:w="108" w:type="dxa"/>
          <w:bottom w:w="0" w:type="dxa"/>
          <w:right w:w="108" w:type="dxa"/>
        </w:tblCellMar>
      </w:tblPr>
      <w:tblGrid>
        <w:gridCol w:w="1863"/>
        <w:gridCol w:w="3303"/>
        <w:gridCol w:w="1908"/>
        <w:gridCol w:w="2886"/>
      </w:tblGrid>
      <w:tr w14:paraId="66CBED46">
        <w:tblPrEx>
          <w:tblCellMar>
            <w:top w:w="0" w:type="dxa"/>
            <w:left w:w="108" w:type="dxa"/>
            <w:bottom w:w="0" w:type="dxa"/>
            <w:right w:w="108" w:type="dxa"/>
          </w:tblCellMar>
        </w:tblPrEx>
        <w:trPr>
          <w:trHeight w:val="855" w:hRule="atLeast"/>
          <w:jc w:val="center"/>
        </w:trPr>
        <w:tc>
          <w:tcPr>
            <w:tcW w:w="1863" w:type="dxa"/>
            <w:tcBorders>
              <w:top w:val="single" w:color="auto" w:sz="8" w:space="0"/>
              <w:left w:val="single" w:color="auto" w:sz="8" w:space="0"/>
              <w:bottom w:val="single" w:color="auto" w:sz="4" w:space="0"/>
              <w:right w:val="single" w:color="auto" w:sz="4" w:space="0"/>
            </w:tcBorders>
            <w:vAlign w:val="center"/>
          </w:tcPr>
          <w:p w14:paraId="4D621005">
            <w:pPr>
              <w:spacing w:line="360" w:lineRule="exact"/>
              <w:jc w:val="center"/>
              <w:rPr>
                <w:rFonts w:ascii="宋体" w:hAnsi="宋体" w:cs="宋体"/>
                <w:color w:val="auto"/>
                <w:szCs w:val="32"/>
                <w:highlight w:val="none"/>
              </w:rPr>
            </w:pPr>
            <w:r>
              <w:rPr>
                <w:rFonts w:hint="eastAsia" w:ascii="宋体" w:hAnsi="宋体" w:cs="宋体"/>
                <w:color w:val="auto"/>
                <w:szCs w:val="32"/>
                <w:highlight w:val="none"/>
              </w:rPr>
              <w:t>项目名称</w:t>
            </w:r>
          </w:p>
        </w:tc>
        <w:tc>
          <w:tcPr>
            <w:tcW w:w="3303" w:type="dxa"/>
            <w:tcBorders>
              <w:top w:val="single" w:color="auto" w:sz="8" w:space="0"/>
              <w:left w:val="nil"/>
              <w:bottom w:val="single" w:color="auto" w:sz="4" w:space="0"/>
              <w:right w:val="single" w:color="auto" w:sz="4" w:space="0"/>
            </w:tcBorders>
            <w:vAlign w:val="center"/>
          </w:tcPr>
          <w:p w14:paraId="08987E0C">
            <w:pPr>
              <w:spacing w:line="360" w:lineRule="exact"/>
              <w:jc w:val="center"/>
              <w:rPr>
                <w:rFonts w:ascii="宋体" w:hAnsi="宋体" w:cs="宋体"/>
                <w:color w:val="auto"/>
                <w:szCs w:val="32"/>
                <w:highlight w:val="none"/>
              </w:rPr>
            </w:pPr>
          </w:p>
        </w:tc>
        <w:tc>
          <w:tcPr>
            <w:tcW w:w="1908" w:type="dxa"/>
            <w:tcBorders>
              <w:top w:val="single" w:color="auto" w:sz="8" w:space="0"/>
              <w:left w:val="nil"/>
              <w:bottom w:val="single" w:color="auto" w:sz="4" w:space="0"/>
              <w:right w:val="single" w:color="auto" w:sz="4" w:space="0"/>
            </w:tcBorders>
            <w:vAlign w:val="center"/>
          </w:tcPr>
          <w:p w14:paraId="228DEFB1">
            <w:pPr>
              <w:spacing w:line="360" w:lineRule="exact"/>
              <w:jc w:val="center"/>
              <w:rPr>
                <w:rFonts w:ascii="宋体" w:hAnsi="宋体" w:cs="宋体"/>
                <w:color w:val="auto"/>
                <w:szCs w:val="32"/>
                <w:highlight w:val="none"/>
              </w:rPr>
            </w:pPr>
            <w:r>
              <w:rPr>
                <w:rFonts w:hint="eastAsia" w:ascii="宋体" w:hAnsi="宋体" w:cs="宋体"/>
                <w:color w:val="auto"/>
                <w:szCs w:val="32"/>
                <w:highlight w:val="none"/>
              </w:rPr>
              <w:t>项目地点</w:t>
            </w:r>
          </w:p>
        </w:tc>
        <w:tc>
          <w:tcPr>
            <w:tcW w:w="2886" w:type="dxa"/>
            <w:tcBorders>
              <w:top w:val="single" w:color="auto" w:sz="8" w:space="0"/>
              <w:left w:val="nil"/>
              <w:bottom w:val="single" w:color="auto" w:sz="4" w:space="0"/>
              <w:right w:val="single" w:color="auto" w:sz="8" w:space="0"/>
            </w:tcBorders>
            <w:vAlign w:val="center"/>
          </w:tcPr>
          <w:p w14:paraId="69A4E280">
            <w:pPr>
              <w:spacing w:line="360" w:lineRule="exact"/>
              <w:jc w:val="center"/>
              <w:rPr>
                <w:rFonts w:ascii="宋体" w:hAnsi="宋体" w:cs="宋体"/>
                <w:color w:val="auto"/>
                <w:szCs w:val="32"/>
                <w:highlight w:val="none"/>
              </w:rPr>
            </w:pPr>
          </w:p>
        </w:tc>
      </w:tr>
      <w:tr w14:paraId="2A806291">
        <w:tblPrEx>
          <w:tblCellMar>
            <w:top w:w="0" w:type="dxa"/>
            <w:left w:w="108" w:type="dxa"/>
            <w:bottom w:w="0" w:type="dxa"/>
            <w:right w:w="108" w:type="dxa"/>
          </w:tblCellMar>
        </w:tblPrEx>
        <w:trPr>
          <w:trHeight w:val="855" w:hRule="atLeast"/>
          <w:jc w:val="center"/>
        </w:trPr>
        <w:tc>
          <w:tcPr>
            <w:tcW w:w="1863" w:type="dxa"/>
            <w:tcBorders>
              <w:top w:val="nil"/>
              <w:left w:val="single" w:color="auto" w:sz="8" w:space="0"/>
              <w:bottom w:val="single" w:color="auto" w:sz="4" w:space="0"/>
              <w:right w:val="single" w:color="auto" w:sz="4" w:space="0"/>
            </w:tcBorders>
            <w:vAlign w:val="center"/>
          </w:tcPr>
          <w:p w14:paraId="52BC2A7B">
            <w:pPr>
              <w:spacing w:line="360" w:lineRule="exact"/>
              <w:jc w:val="center"/>
              <w:rPr>
                <w:rFonts w:ascii="宋体" w:hAnsi="宋体" w:cs="宋体"/>
                <w:color w:val="auto"/>
                <w:szCs w:val="32"/>
                <w:highlight w:val="none"/>
              </w:rPr>
            </w:pPr>
            <w:r>
              <w:rPr>
                <w:rFonts w:hint="eastAsia" w:ascii="宋体" w:hAnsi="宋体" w:cs="宋体"/>
                <w:color w:val="auto"/>
                <w:szCs w:val="32"/>
                <w:highlight w:val="none"/>
              </w:rPr>
              <w:t>预算金额</w:t>
            </w:r>
          </w:p>
        </w:tc>
        <w:tc>
          <w:tcPr>
            <w:tcW w:w="3303" w:type="dxa"/>
            <w:tcBorders>
              <w:top w:val="single" w:color="auto" w:sz="4" w:space="0"/>
              <w:left w:val="nil"/>
              <w:bottom w:val="single" w:color="auto" w:sz="4" w:space="0"/>
              <w:right w:val="single" w:color="auto" w:sz="4" w:space="0"/>
            </w:tcBorders>
            <w:vAlign w:val="center"/>
          </w:tcPr>
          <w:p w14:paraId="15DBDBFA">
            <w:pPr>
              <w:spacing w:line="360" w:lineRule="exact"/>
              <w:jc w:val="center"/>
              <w:rPr>
                <w:rFonts w:ascii="宋体" w:hAnsi="宋体" w:cs="宋体"/>
                <w:color w:val="auto"/>
                <w:szCs w:val="32"/>
                <w:highlight w:val="none"/>
              </w:rPr>
            </w:pPr>
          </w:p>
        </w:tc>
        <w:tc>
          <w:tcPr>
            <w:tcW w:w="1908" w:type="dxa"/>
            <w:tcBorders>
              <w:top w:val="nil"/>
              <w:left w:val="nil"/>
              <w:bottom w:val="nil"/>
              <w:right w:val="nil"/>
            </w:tcBorders>
            <w:vAlign w:val="center"/>
          </w:tcPr>
          <w:p w14:paraId="3462075D">
            <w:pPr>
              <w:spacing w:line="360" w:lineRule="exact"/>
              <w:jc w:val="center"/>
              <w:rPr>
                <w:rFonts w:ascii="宋体" w:hAnsi="宋体" w:cs="宋体"/>
                <w:color w:val="auto"/>
                <w:szCs w:val="32"/>
                <w:highlight w:val="none"/>
              </w:rPr>
            </w:pPr>
            <w:r>
              <w:rPr>
                <w:rFonts w:hint="eastAsia" w:ascii="宋体" w:hAnsi="宋体" w:cs="宋体"/>
                <w:color w:val="auto"/>
                <w:szCs w:val="32"/>
                <w:highlight w:val="none"/>
              </w:rPr>
              <w:t>承接单位</w:t>
            </w:r>
          </w:p>
        </w:tc>
        <w:tc>
          <w:tcPr>
            <w:tcW w:w="2886" w:type="dxa"/>
            <w:tcBorders>
              <w:top w:val="nil"/>
              <w:left w:val="single" w:color="auto" w:sz="4" w:space="0"/>
              <w:bottom w:val="single" w:color="auto" w:sz="4" w:space="0"/>
              <w:right w:val="single" w:color="auto" w:sz="8" w:space="0"/>
            </w:tcBorders>
            <w:vAlign w:val="center"/>
          </w:tcPr>
          <w:p w14:paraId="5B14449E">
            <w:pPr>
              <w:spacing w:line="360" w:lineRule="exact"/>
              <w:jc w:val="left"/>
              <w:rPr>
                <w:rFonts w:ascii="宋体" w:hAnsi="宋体" w:cs="宋体"/>
                <w:color w:val="auto"/>
                <w:szCs w:val="32"/>
                <w:highlight w:val="none"/>
              </w:rPr>
            </w:pPr>
          </w:p>
        </w:tc>
      </w:tr>
      <w:tr w14:paraId="140CB319">
        <w:tblPrEx>
          <w:tblCellMar>
            <w:top w:w="0" w:type="dxa"/>
            <w:left w:w="108" w:type="dxa"/>
            <w:bottom w:w="0" w:type="dxa"/>
            <w:right w:w="108" w:type="dxa"/>
          </w:tblCellMar>
        </w:tblPrEx>
        <w:trPr>
          <w:trHeight w:val="855" w:hRule="atLeast"/>
          <w:jc w:val="center"/>
        </w:trPr>
        <w:tc>
          <w:tcPr>
            <w:tcW w:w="1863" w:type="dxa"/>
            <w:tcBorders>
              <w:top w:val="nil"/>
              <w:left w:val="single" w:color="auto" w:sz="8" w:space="0"/>
              <w:bottom w:val="single" w:color="auto" w:sz="4" w:space="0"/>
              <w:right w:val="single" w:color="auto" w:sz="4" w:space="0"/>
            </w:tcBorders>
            <w:vAlign w:val="center"/>
          </w:tcPr>
          <w:p w14:paraId="79A9AC80">
            <w:pPr>
              <w:spacing w:line="360" w:lineRule="exact"/>
              <w:jc w:val="center"/>
              <w:rPr>
                <w:rFonts w:ascii="宋体" w:hAnsi="宋体" w:cs="宋体"/>
                <w:color w:val="auto"/>
                <w:szCs w:val="32"/>
                <w:highlight w:val="none"/>
              </w:rPr>
            </w:pPr>
            <w:r>
              <w:rPr>
                <w:rFonts w:hint="eastAsia" w:ascii="宋体" w:hAnsi="宋体" w:cs="宋体"/>
                <w:color w:val="auto"/>
                <w:szCs w:val="32"/>
                <w:highlight w:val="none"/>
              </w:rPr>
              <w:t>合同时间</w:t>
            </w:r>
          </w:p>
        </w:tc>
        <w:tc>
          <w:tcPr>
            <w:tcW w:w="3303" w:type="dxa"/>
            <w:tcBorders>
              <w:top w:val="single" w:color="auto" w:sz="4" w:space="0"/>
              <w:left w:val="nil"/>
              <w:bottom w:val="single" w:color="auto" w:sz="4" w:space="0"/>
              <w:right w:val="single" w:color="auto" w:sz="4" w:space="0"/>
            </w:tcBorders>
            <w:vAlign w:val="center"/>
          </w:tcPr>
          <w:p w14:paraId="2FAF38F8">
            <w:pPr>
              <w:spacing w:line="360" w:lineRule="exact"/>
              <w:jc w:val="center"/>
              <w:rPr>
                <w:rFonts w:ascii="宋体" w:hAnsi="宋体" w:cs="宋体"/>
                <w:color w:val="auto"/>
                <w:szCs w:val="32"/>
                <w:highlight w:val="none"/>
              </w:rPr>
            </w:pPr>
          </w:p>
        </w:tc>
        <w:tc>
          <w:tcPr>
            <w:tcW w:w="1908" w:type="dxa"/>
            <w:tcBorders>
              <w:top w:val="single" w:color="auto" w:sz="4" w:space="0"/>
              <w:left w:val="nil"/>
              <w:bottom w:val="single" w:color="auto" w:sz="4" w:space="0"/>
              <w:right w:val="single" w:color="auto" w:sz="4" w:space="0"/>
            </w:tcBorders>
            <w:vAlign w:val="center"/>
          </w:tcPr>
          <w:p w14:paraId="1C739698">
            <w:pPr>
              <w:spacing w:line="360" w:lineRule="exact"/>
              <w:jc w:val="center"/>
              <w:rPr>
                <w:rFonts w:ascii="宋体" w:hAnsi="宋体" w:cs="宋体"/>
                <w:color w:val="auto"/>
                <w:szCs w:val="32"/>
                <w:highlight w:val="none"/>
              </w:rPr>
            </w:pPr>
            <w:r>
              <w:rPr>
                <w:rFonts w:hint="eastAsia" w:ascii="宋体" w:hAnsi="宋体" w:cs="宋体"/>
                <w:color w:val="auto"/>
                <w:szCs w:val="32"/>
                <w:highlight w:val="none"/>
              </w:rPr>
              <w:t>项目开始时间</w:t>
            </w:r>
          </w:p>
        </w:tc>
        <w:tc>
          <w:tcPr>
            <w:tcW w:w="2886" w:type="dxa"/>
            <w:tcBorders>
              <w:top w:val="nil"/>
              <w:left w:val="nil"/>
              <w:bottom w:val="single" w:color="auto" w:sz="4" w:space="0"/>
              <w:right w:val="single" w:color="auto" w:sz="8" w:space="0"/>
            </w:tcBorders>
            <w:vAlign w:val="center"/>
          </w:tcPr>
          <w:p w14:paraId="72905C40">
            <w:pPr>
              <w:spacing w:line="360" w:lineRule="exact"/>
              <w:jc w:val="center"/>
              <w:rPr>
                <w:rFonts w:ascii="宋体" w:hAnsi="宋体" w:cs="宋体"/>
                <w:color w:val="auto"/>
                <w:szCs w:val="32"/>
                <w:highlight w:val="none"/>
              </w:rPr>
            </w:pPr>
          </w:p>
        </w:tc>
      </w:tr>
      <w:tr w14:paraId="2536AB40">
        <w:tblPrEx>
          <w:tblCellMar>
            <w:top w:w="0" w:type="dxa"/>
            <w:left w:w="108" w:type="dxa"/>
            <w:bottom w:w="0" w:type="dxa"/>
            <w:right w:w="108" w:type="dxa"/>
          </w:tblCellMar>
        </w:tblPrEx>
        <w:trPr>
          <w:trHeight w:val="855" w:hRule="atLeast"/>
          <w:jc w:val="center"/>
        </w:trPr>
        <w:tc>
          <w:tcPr>
            <w:tcW w:w="1863" w:type="dxa"/>
            <w:tcBorders>
              <w:top w:val="nil"/>
              <w:left w:val="single" w:color="auto" w:sz="8" w:space="0"/>
              <w:bottom w:val="single" w:color="auto" w:sz="4" w:space="0"/>
              <w:right w:val="single" w:color="auto" w:sz="4" w:space="0"/>
            </w:tcBorders>
            <w:vAlign w:val="center"/>
          </w:tcPr>
          <w:p w14:paraId="46CF9663">
            <w:pPr>
              <w:spacing w:line="360" w:lineRule="exact"/>
              <w:jc w:val="center"/>
              <w:rPr>
                <w:rFonts w:ascii="宋体" w:hAnsi="宋体" w:cs="宋体"/>
                <w:color w:val="auto"/>
                <w:szCs w:val="32"/>
                <w:highlight w:val="none"/>
              </w:rPr>
            </w:pPr>
            <w:r>
              <w:rPr>
                <w:rFonts w:hint="eastAsia" w:ascii="宋体" w:hAnsi="宋体" w:cs="宋体"/>
                <w:color w:val="auto"/>
                <w:szCs w:val="32"/>
                <w:highlight w:val="none"/>
              </w:rPr>
              <w:t>项目结束时间</w:t>
            </w:r>
          </w:p>
        </w:tc>
        <w:tc>
          <w:tcPr>
            <w:tcW w:w="3303" w:type="dxa"/>
            <w:tcBorders>
              <w:top w:val="single" w:color="auto" w:sz="4" w:space="0"/>
              <w:left w:val="nil"/>
              <w:bottom w:val="single" w:color="auto" w:sz="4" w:space="0"/>
              <w:right w:val="single" w:color="auto" w:sz="4" w:space="0"/>
            </w:tcBorders>
            <w:vAlign w:val="center"/>
          </w:tcPr>
          <w:p w14:paraId="3CED929C">
            <w:pPr>
              <w:spacing w:line="360" w:lineRule="exact"/>
              <w:jc w:val="center"/>
              <w:rPr>
                <w:rFonts w:ascii="宋体" w:hAnsi="宋体" w:cs="宋体"/>
                <w:color w:val="auto"/>
                <w:szCs w:val="32"/>
                <w:highlight w:val="none"/>
              </w:rPr>
            </w:pPr>
          </w:p>
        </w:tc>
        <w:tc>
          <w:tcPr>
            <w:tcW w:w="1908" w:type="dxa"/>
            <w:tcBorders>
              <w:top w:val="nil"/>
              <w:left w:val="nil"/>
              <w:bottom w:val="single" w:color="auto" w:sz="4" w:space="0"/>
              <w:right w:val="single" w:color="auto" w:sz="4" w:space="0"/>
            </w:tcBorders>
            <w:vAlign w:val="center"/>
          </w:tcPr>
          <w:p w14:paraId="6C8D9965">
            <w:pPr>
              <w:spacing w:line="360" w:lineRule="exact"/>
              <w:jc w:val="center"/>
              <w:rPr>
                <w:rFonts w:ascii="宋体" w:hAnsi="宋体" w:cs="宋体"/>
                <w:color w:val="auto"/>
                <w:szCs w:val="32"/>
                <w:highlight w:val="none"/>
              </w:rPr>
            </w:pPr>
            <w:r>
              <w:rPr>
                <w:rFonts w:hint="eastAsia" w:ascii="宋体" w:hAnsi="宋体" w:cs="宋体"/>
                <w:color w:val="auto"/>
                <w:szCs w:val="32"/>
                <w:highlight w:val="none"/>
              </w:rPr>
              <w:t>项目联系人</w:t>
            </w:r>
          </w:p>
        </w:tc>
        <w:tc>
          <w:tcPr>
            <w:tcW w:w="2886" w:type="dxa"/>
            <w:tcBorders>
              <w:top w:val="nil"/>
              <w:left w:val="nil"/>
              <w:bottom w:val="single" w:color="auto" w:sz="4" w:space="0"/>
              <w:right w:val="single" w:color="auto" w:sz="8" w:space="0"/>
            </w:tcBorders>
            <w:vAlign w:val="center"/>
          </w:tcPr>
          <w:p w14:paraId="696D115F">
            <w:pPr>
              <w:spacing w:line="360" w:lineRule="exact"/>
              <w:jc w:val="center"/>
              <w:rPr>
                <w:rFonts w:ascii="宋体" w:hAnsi="宋体" w:cs="宋体"/>
                <w:color w:val="auto"/>
                <w:szCs w:val="32"/>
                <w:highlight w:val="none"/>
              </w:rPr>
            </w:pPr>
          </w:p>
        </w:tc>
      </w:tr>
      <w:tr w14:paraId="3AB175EA">
        <w:tblPrEx>
          <w:tblCellMar>
            <w:top w:w="0" w:type="dxa"/>
            <w:left w:w="108" w:type="dxa"/>
            <w:bottom w:w="0" w:type="dxa"/>
            <w:right w:w="108" w:type="dxa"/>
          </w:tblCellMar>
        </w:tblPrEx>
        <w:trPr>
          <w:trHeight w:val="2982" w:hRule="atLeast"/>
          <w:jc w:val="center"/>
        </w:trPr>
        <w:tc>
          <w:tcPr>
            <w:tcW w:w="9960" w:type="dxa"/>
            <w:gridSpan w:val="4"/>
            <w:tcBorders>
              <w:top w:val="single" w:color="auto" w:sz="4" w:space="0"/>
              <w:left w:val="single" w:color="auto" w:sz="8" w:space="0"/>
              <w:bottom w:val="single" w:color="auto" w:sz="4" w:space="0"/>
              <w:right w:val="single" w:color="000000" w:sz="8" w:space="0"/>
            </w:tcBorders>
          </w:tcPr>
          <w:p w14:paraId="791F1078">
            <w:pPr>
              <w:jc w:val="center"/>
              <w:rPr>
                <w:rFonts w:ascii="宋体" w:hAnsi="宋体" w:cs="宋体"/>
                <w:b/>
                <w:bCs/>
                <w:color w:val="auto"/>
                <w:szCs w:val="32"/>
                <w:highlight w:val="none"/>
              </w:rPr>
            </w:pPr>
            <w:r>
              <w:rPr>
                <w:rFonts w:hint="eastAsia" w:ascii="宋体" w:hAnsi="宋体" w:cs="宋体"/>
                <w:b/>
                <w:bCs/>
                <w:color w:val="auto"/>
                <w:szCs w:val="32"/>
                <w:highlight w:val="none"/>
              </w:rPr>
              <w:t>验收情况和验收意见</w:t>
            </w:r>
          </w:p>
          <w:p w14:paraId="56C790EA">
            <w:pPr>
              <w:rPr>
                <w:rFonts w:ascii="宋体" w:hAnsi="宋体" w:cs="宋体"/>
                <w:color w:val="auto"/>
                <w:szCs w:val="32"/>
                <w:highlight w:val="none"/>
              </w:rPr>
            </w:pPr>
            <w:r>
              <w:rPr>
                <w:rFonts w:hint="eastAsia" w:ascii="宋体" w:hAnsi="宋体" w:cs="宋体"/>
                <w:color w:val="auto"/>
                <w:szCs w:val="32"/>
                <w:highlight w:val="none"/>
              </w:rPr>
              <w:t>（可另附）</w:t>
            </w:r>
          </w:p>
          <w:p w14:paraId="200DFB9F">
            <w:pPr>
              <w:rPr>
                <w:rFonts w:ascii="宋体" w:hAnsi="宋体" w:cs="宋体"/>
                <w:color w:val="auto"/>
                <w:szCs w:val="32"/>
                <w:highlight w:val="none"/>
              </w:rPr>
            </w:pPr>
          </w:p>
          <w:p w14:paraId="0940A6BD">
            <w:pPr>
              <w:rPr>
                <w:rFonts w:ascii="宋体" w:hAnsi="宋体" w:cs="宋体"/>
                <w:color w:val="auto"/>
                <w:szCs w:val="32"/>
                <w:highlight w:val="none"/>
              </w:rPr>
            </w:pPr>
          </w:p>
          <w:p w14:paraId="0F3525D0">
            <w:pPr>
              <w:rPr>
                <w:rFonts w:ascii="宋体" w:hAnsi="宋体" w:cs="宋体"/>
                <w:color w:val="auto"/>
                <w:szCs w:val="32"/>
                <w:highlight w:val="none"/>
              </w:rPr>
            </w:pPr>
          </w:p>
          <w:p w14:paraId="1F727DCF">
            <w:pPr>
              <w:rPr>
                <w:rFonts w:ascii="宋体" w:hAnsi="宋体" w:cs="宋体"/>
                <w:color w:val="auto"/>
                <w:szCs w:val="32"/>
                <w:highlight w:val="none"/>
              </w:rPr>
            </w:pPr>
          </w:p>
          <w:p w14:paraId="6F22F6B9">
            <w:pPr>
              <w:rPr>
                <w:rFonts w:ascii="宋体" w:hAnsi="宋体" w:cs="宋体"/>
                <w:color w:val="auto"/>
                <w:szCs w:val="32"/>
                <w:highlight w:val="none"/>
              </w:rPr>
            </w:pPr>
          </w:p>
          <w:p w14:paraId="430AC57A">
            <w:pPr>
              <w:rPr>
                <w:rFonts w:ascii="宋体" w:hAnsi="宋体" w:cs="宋体"/>
                <w:color w:val="auto"/>
                <w:szCs w:val="32"/>
                <w:highlight w:val="none"/>
              </w:rPr>
            </w:pPr>
          </w:p>
          <w:p w14:paraId="267BF223">
            <w:pPr>
              <w:rPr>
                <w:rFonts w:ascii="宋体" w:hAnsi="宋体" w:cs="宋体"/>
                <w:color w:val="auto"/>
                <w:szCs w:val="32"/>
                <w:highlight w:val="none"/>
              </w:rPr>
            </w:pPr>
          </w:p>
          <w:p w14:paraId="4CB217BE">
            <w:pPr>
              <w:rPr>
                <w:rFonts w:ascii="宋体" w:hAnsi="宋体" w:cs="宋体"/>
                <w:color w:val="auto"/>
                <w:szCs w:val="32"/>
                <w:highlight w:val="none"/>
              </w:rPr>
            </w:pPr>
          </w:p>
          <w:p w14:paraId="5FE48CEA">
            <w:pPr>
              <w:rPr>
                <w:rFonts w:ascii="宋体" w:hAnsi="宋体" w:cs="宋体"/>
                <w:color w:val="auto"/>
                <w:szCs w:val="32"/>
                <w:highlight w:val="none"/>
              </w:rPr>
            </w:pPr>
          </w:p>
          <w:p w14:paraId="5D26A82D">
            <w:pPr>
              <w:rPr>
                <w:rFonts w:ascii="宋体" w:hAnsi="宋体" w:cs="宋体"/>
                <w:color w:val="auto"/>
                <w:szCs w:val="32"/>
                <w:highlight w:val="none"/>
              </w:rPr>
            </w:pPr>
          </w:p>
          <w:p w14:paraId="53E276E2">
            <w:pPr>
              <w:rPr>
                <w:rFonts w:ascii="宋体" w:hAnsi="宋体" w:cs="宋体"/>
                <w:color w:val="auto"/>
                <w:szCs w:val="32"/>
                <w:highlight w:val="none"/>
              </w:rPr>
            </w:pPr>
          </w:p>
          <w:p w14:paraId="5CE95063">
            <w:pPr>
              <w:rPr>
                <w:rFonts w:ascii="宋体" w:hAnsi="宋体" w:cs="宋体"/>
                <w:color w:val="auto"/>
                <w:szCs w:val="32"/>
                <w:highlight w:val="none"/>
              </w:rPr>
            </w:pPr>
          </w:p>
        </w:tc>
      </w:tr>
      <w:tr w14:paraId="66D09D4C">
        <w:tblPrEx>
          <w:tblCellMar>
            <w:top w:w="0" w:type="dxa"/>
            <w:left w:w="108" w:type="dxa"/>
            <w:bottom w:w="0" w:type="dxa"/>
            <w:right w:w="108" w:type="dxa"/>
          </w:tblCellMar>
        </w:tblPrEx>
        <w:trPr>
          <w:trHeight w:val="567" w:hRule="atLeast"/>
          <w:jc w:val="center"/>
        </w:trPr>
        <w:tc>
          <w:tcPr>
            <w:tcW w:w="9960" w:type="dxa"/>
            <w:gridSpan w:val="4"/>
            <w:tcBorders>
              <w:top w:val="single" w:color="auto" w:sz="4" w:space="0"/>
              <w:left w:val="single" w:color="auto" w:sz="8" w:space="0"/>
              <w:bottom w:val="single" w:color="auto" w:sz="4" w:space="0"/>
              <w:right w:val="single" w:color="000000" w:sz="8" w:space="0"/>
            </w:tcBorders>
          </w:tcPr>
          <w:p w14:paraId="71DD3E05">
            <w:pPr>
              <w:jc w:val="left"/>
              <w:rPr>
                <w:rFonts w:ascii="宋体" w:hAnsi="宋体" w:cs="宋体"/>
                <w:color w:val="auto"/>
                <w:szCs w:val="32"/>
                <w:highlight w:val="none"/>
              </w:rPr>
            </w:pPr>
            <w:r>
              <w:rPr>
                <w:rFonts w:hint="eastAsia" w:ascii="宋体" w:hAnsi="宋体" w:cs="宋体"/>
                <w:color w:val="auto"/>
                <w:szCs w:val="32"/>
                <w:highlight w:val="none"/>
              </w:rPr>
              <w:t>验收小组（签字）：</w:t>
            </w:r>
          </w:p>
          <w:p w14:paraId="7991EE22">
            <w:pPr>
              <w:jc w:val="left"/>
              <w:rPr>
                <w:rFonts w:ascii="宋体" w:hAnsi="宋体" w:cs="宋体"/>
                <w:color w:val="auto"/>
                <w:szCs w:val="32"/>
                <w:highlight w:val="none"/>
              </w:rPr>
            </w:pPr>
          </w:p>
          <w:p w14:paraId="3BE77BB4">
            <w:pPr>
              <w:jc w:val="left"/>
              <w:rPr>
                <w:rFonts w:ascii="宋体" w:hAnsi="宋体" w:cs="宋体"/>
                <w:color w:val="auto"/>
                <w:szCs w:val="32"/>
                <w:highlight w:val="none"/>
              </w:rPr>
            </w:pPr>
            <w:r>
              <w:rPr>
                <w:rFonts w:hint="eastAsia" w:ascii="宋体" w:hAnsi="宋体" w:cs="宋体"/>
                <w:color w:val="auto"/>
                <w:szCs w:val="32"/>
                <w:highlight w:val="none"/>
              </w:rPr>
              <w:t>　</w:t>
            </w:r>
            <w:r>
              <w:rPr>
                <w:rFonts w:hint="eastAsia" w:ascii="宋体" w:hAnsi="宋体" w:cs="宋体"/>
                <w:color w:val="auto"/>
                <w:szCs w:val="32"/>
                <w:highlight w:val="none"/>
              </w:rPr>
              <w:br w:type="textWrapping"/>
            </w:r>
            <w:r>
              <w:rPr>
                <w:rFonts w:hint="eastAsia" w:ascii="宋体" w:hAnsi="宋体" w:cs="宋体"/>
                <w:color w:val="auto"/>
                <w:szCs w:val="32"/>
                <w:highlight w:val="none"/>
              </w:rPr>
              <w:t>　　　　　                              年    月    日</w:t>
            </w:r>
          </w:p>
        </w:tc>
      </w:tr>
      <w:tr w14:paraId="63FB158E">
        <w:tblPrEx>
          <w:tblCellMar>
            <w:top w:w="0" w:type="dxa"/>
            <w:left w:w="108" w:type="dxa"/>
            <w:bottom w:w="0" w:type="dxa"/>
            <w:right w:w="108" w:type="dxa"/>
          </w:tblCellMar>
        </w:tblPrEx>
        <w:trPr>
          <w:trHeight w:val="567" w:hRule="atLeast"/>
          <w:jc w:val="center"/>
        </w:trPr>
        <w:tc>
          <w:tcPr>
            <w:tcW w:w="9960" w:type="dxa"/>
            <w:gridSpan w:val="4"/>
            <w:tcBorders>
              <w:top w:val="single" w:color="auto" w:sz="4" w:space="0"/>
              <w:left w:val="single" w:color="auto" w:sz="8" w:space="0"/>
              <w:bottom w:val="single" w:color="auto" w:sz="4" w:space="0"/>
              <w:right w:val="single" w:color="000000" w:sz="8" w:space="0"/>
            </w:tcBorders>
          </w:tcPr>
          <w:p w14:paraId="0153E86A">
            <w:pPr>
              <w:jc w:val="left"/>
              <w:rPr>
                <w:rFonts w:ascii="宋体" w:hAnsi="宋体" w:cs="宋体"/>
                <w:color w:val="auto"/>
                <w:szCs w:val="32"/>
                <w:highlight w:val="none"/>
              </w:rPr>
            </w:pPr>
            <w:r>
              <w:rPr>
                <w:rFonts w:hint="eastAsia" w:ascii="宋体" w:hAnsi="宋体" w:cs="宋体"/>
                <w:color w:val="auto"/>
                <w:szCs w:val="32"/>
                <w:highlight w:val="none"/>
              </w:rPr>
              <w:t>供应商确认意见（签章）：</w:t>
            </w:r>
          </w:p>
          <w:p w14:paraId="2060761E">
            <w:pPr>
              <w:jc w:val="left"/>
              <w:rPr>
                <w:rFonts w:ascii="宋体" w:hAnsi="宋体" w:cs="宋体"/>
                <w:color w:val="auto"/>
                <w:szCs w:val="32"/>
                <w:highlight w:val="none"/>
              </w:rPr>
            </w:pPr>
            <w:r>
              <w:rPr>
                <w:rFonts w:hint="eastAsia" w:ascii="宋体" w:hAnsi="宋体" w:cs="宋体"/>
                <w:color w:val="auto"/>
                <w:szCs w:val="32"/>
                <w:highlight w:val="none"/>
              </w:rPr>
              <w:t>　</w:t>
            </w:r>
            <w:r>
              <w:rPr>
                <w:rFonts w:hint="eastAsia" w:ascii="宋体" w:hAnsi="宋体" w:cs="宋体"/>
                <w:color w:val="auto"/>
                <w:szCs w:val="32"/>
                <w:highlight w:val="none"/>
              </w:rPr>
              <w:br w:type="textWrapping"/>
            </w:r>
            <w:r>
              <w:rPr>
                <w:rFonts w:hint="eastAsia" w:ascii="宋体" w:hAnsi="宋体" w:cs="宋体"/>
                <w:color w:val="auto"/>
                <w:szCs w:val="32"/>
                <w:highlight w:val="none"/>
              </w:rPr>
              <w:t>　　</w:t>
            </w:r>
          </w:p>
          <w:p w14:paraId="666B3F79">
            <w:pPr>
              <w:jc w:val="left"/>
              <w:rPr>
                <w:rFonts w:ascii="宋体" w:hAnsi="宋体" w:cs="宋体"/>
                <w:color w:val="auto"/>
                <w:szCs w:val="32"/>
                <w:highlight w:val="none"/>
              </w:rPr>
            </w:pPr>
            <w:r>
              <w:rPr>
                <w:rFonts w:hint="eastAsia" w:ascii="宋体" w:hAnsi="宋体" w:cs="宋体"/>
                <w:color w:val="auto"/>
                <w:szCs w:val="32"/>
                <w:highlight w:val="none"/>
              </w:rPr>
              <w:t>　　　                              年    月    日</w:t>
            </w:r>
          </w:p>
        </w:tc>
      </w:tr>
      <w:tr w14:paraId="43234A10">
        <w:tblPrEx>
          <w:tblCellMar>
            <w:top w:w="0" w:type="dxa"/>
            <w:left w:w="108" w:type="dxa"/>
            <w:bottom w:w="0" w:type="dxa"/>
            <w:right w:w="108" w:type="dxa"/>
          </w:tblCellMar>
        </w:tblPrEx>
        <w:trPr>
          <w:trHeight w:val="567" w:hRule="atLeast"/>
          <w:jc w:val="center"/>
        </w:trPr>
        <w:tc>
          <w:tcPr>
            <w:tcW w:w="9960" w:type="dxa"/>
            <w:gridSpan w:val="4"/>
            <w:tcBorders>
              <w:top w:val="single" w:color="auto" w:sz="4" w:space="0"/>
              <w:left w:val="single" w:color="auto" w:sz="8" w:space="0"/>
              <w:bottom w:val="single" w:color="auto" w:sz="4" w:space="0"/>
              <w:right w:val="single" w:color="000000" w:sz="8" w:space="0"/>
            </w:tcBorders>
          </w:tcPr>
          <w:p w14:paraId="63ACD904">
            <w:pPr>
              <w:jc w:val="left"/>
              <w:rPr>
                <w:rFonts w:ascii="宋体" w:hAnsi="宋体" w:cs="宋体"/>
                <w:color w:val="auto"/>
                <w:szCs w:val="32"/>
                <w:highlight w:val="none"/>
              </w:rPr>
            </w:pPr>
            <w:r>
              <w:rPr>
                <w:rFonts w:hint="eastAsia" w:ascii="宋体" w:hAnsi="宋体" w:cs="宋体"/>
                <w:color w:val="auto"/>
                <w:szCs w:val="32"/>
                <w:highlight w:val="none"/>
              </w:rPr>
              <w:t>采购人确认意见（签章）：</w:t>
            </w:r>
          </w:p>
          <w:p w14:paraId="6ED656CE">
            <w:pPr>
              <w:jc w:val="left"/>
              <w:rPr>
                <w:rFonts w:ascii="宋体" w:hAnsi="宋体" w:cs="宋体"/>
                <w:color w:val="auto"/>
                <w:szCs w:val="32"/>
                <w:highlight w:val="none"/>
              </w:rPr>
            </w:pPr>
          </w:p>
          <w:p w14:paraId="4BAC1D42">
            <w:pPr>
              <w:jc w:val="left"/>
              <w:rPr>
                <w:rFonts w:ascii="宋体" w:hAnsi="宋体" w:cs="宋体"/>
                <w:color w:val="auto"/>
                <w:szCs w:val="32"/>
                <w:highlight w:val="none"/>
              </w:rPr>
            </w:pPr>
            <w:r>
              <w:rPr>
                <w:rFonts w:hint="eastAsia" w:ascii="宋体" w:hAnsi="宋体" w:cs="宋体"/>
                <w:color w:val="auto"/>
                <w:szCs w:val="32"/>
                <w:highlight w:val="none"/>
              </w:rPr>
              <w:br w:type="textWrapping"/>
            </w:r>
            <w:r>
              <w:rPr>
                <w:rFonts w:hint="eastAsia" w:ascii="宋体" w:hAnsi="宋体" w:cs="宋体"/>
                <w:color w:val="auto"/>
                <w:szCs w:val="32"/>
                <w:highlight w:val="none"/>
              </w:rPr>
              <w:t>　　　　　                              年    月    日</w:t>
            </w:r>
          </w:p>
        </w:tc>
      </w:tr>
    </w:tbl>
    <w:p w14:paraId="2556211A">
      <w:pPr>
        <w:rPr>
          <w:rFonts w:ascii="宋体" w:hAnsi="宋体" w:cs="宋体"/>
          <w:color w:val="auto"/>
          <w:highlight w:val="none"/>
        </w:rPr>
      </w:pPr>
    </w:p>
    <w:p w14:paraId="0650193F">
      <w:pPr>
        <w:rPr>
          <w:rFonts w:ascii="宋体" w:hAnsi="宋体" w:cs="宋体"/>
          <w:color w:val="auto"/>
          <w:highlight w:val="none"/>
        </w:rPr>
      </w:pPr>
    </w:p>
    <w:tbl>
      <w:tblPr>
        <w:tblStyle w:val="5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5"/>
        <w:gridCol w:w="551"/>
        <w:gridCol w:w="7087"/>
        <w:gridCol w:w="805"/>
        <w:gridCol w:w="984"/>
      </w:tblGrid>
      <w:tr w14:paraId="5F294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5000" w:type="pct"/>
            <w:gridSpan w:val="5"/>
            <w:tcBorders>
              <w:top w:val="nil"/>
              <w:left w:val="nil"/>
              <w:bottom w:val="nil"/>
              <w:right w:val="nil"/>
            </w:tcBorders>
            <w:shd w:val="clear" w:color="auto" w:fill="auto"/>
            <w:noWrap/>
            <w:vAlign w:val="bottom"/>
          </w:tcPr>
          <w:p w14:paraId="459B490E">
            <w:pPr>
              <w:keepNext w:val="0"/>
              <w:keepLines w:val="0"/>
              <w:widowControl/>
              <w:suppressLineNumbers w:val="0"/>
              <w:jc w:val="center"/>
              <w:textAlignment w:val="bottom"/>
              <w:rPr>
                <w:rFonts w:hint="eastAsia" w:ascii="宋体" w:hAnsi="宋体" w:eastAsia="宋体" w:cs="宋体"/>
                <w:b/>
                <w:bCs/>
                <w:i w:val="0"/>
                <w:iCs w:val="0"/>
                <w:color w:val="auto"/>
                <w:kern w:val="0"/>
                <w:sz w:val="36"/>
                <w:szCs w:val="36"/>
                <w:highlight w:val="none"/>
                <w:u w:val="none"/>
                <w:lang w:val="en-US" w:eastAsia="zh-CN" w:bidi="ar"/>
              </w:rPr>
            </w:pPr>
          </w:p>
          <w:p w14:paraId="6E0AAE14">
            <w:pPr>
              <w:keepNext w:val="0"/>
              <w:keepLines w:val="0"/>
              <w:widowControl/>
              <w:suppressLineNumbers w:val="0"/>
              <w:jc w:val="center"/>
              <w:textAlignment w:val="bottom"/>
              <w:rPr>
                <w:rFonts w:hint="eastAsia" w:ascii="宋体" w:hAnsi="宋体" w:eastAsia="宋体" w:cs="宋体"/>
                <w:b/>
                <w:bCs/>
                <w:i w:val="0"/>
                <w:iCs w:val="0"/>
                <w:color w:val="auto"/>
                <w:kern w:val="0"/>
                <w:sz w:val="36"/>
                <w:szCs w:val="36"/>
                <w:highlight w:val="none"/>
                <w:u w:val="none"/>
                <w:lang w:val="en-US" w:eastAsia="zh-CN" w:bidi="ar"/>
              </w:rPr>
            </w:pPr>
          </w:p>
          <w:p w14:paraId="31263CC2">
            <w:pPr>
              <w:pageBreakBefore w:val="0"/>
              <w:widowControl w:val="0"/>
              <w:numPr>
                <w:ilvl w:val="0"/>
                <w:numId w:val="0"/>
              </w:numPr>
              <w:kinsoku/>
              <w:wordWrap/>
              <w:overflowPunct/>
              <w:topLinePunct w:val="0"/>
              <w:autoSpaceDE/>
              <w:autoSpaceDN/>
              <w:bidi w:val="0"/>
              <w:adjustRightInd/>
              <w:spacing w:line="360" w:lineRule="auto"/>
              <w:textAlignment w:val="auto"/>
              <w:rPr>
                <w:rFonts w:hint="default" w:ascii="宋体" w:hAnsi="宋体" w:eastAsia="宋体" w:cs="宋体"/>
                <w:b/>
                <w:bCs/>
                <w:i w:val="0"/>
                <w:iCs w:val="0"/>
                <w:color w:val="auto"/>
                <w:sz w:val="36"/>
                <w:szCs w:val="36"/>
                <w:highlight w:val="none"/>
                <w:u w:val="none"/>
                <w:lang w:val="en-US" w:eastAsia="zh-CN"/>
              </w:rPr>
            </w:pPr>
            <w:r>
              <w:rPr>
                <w:rFonts w:hint="eastAsia" w:ascii="宋体" w:hAnsi="宋体" w:cs="宋体"/>
                <w:b/>
                <w:bCs/>
                <w:color w:val="auto"/>
                <w:sz w:val="28"/>
                <w:szCs w:val="36"/>
                <w:highlight w:val="none"/>
              </w:rPr>
              <w:t>分包一</w:t>
            </w:r>
            <w:r>
              <w:rPr>
                <w:rFonts w:hint="eastAsia" w:ascii="宋体" w:hAnsi="宋体" w:cs="宋体"/>
                <w:b/>
                <w:bCs/>
                <w:color w:val="auto"/>
                <w:sz w:val="28"/>
                <w:szCs w:val="36"/>
                <w:highlight w:val="none"/>
                <w:lang w:val="en-US" w:eastAsia="zh-CN"/>
              </w:rPr>
              <w:t>考核办法：</w:t>
            </w:r>
          </w:p>
        </w:tc>
      </w:tr>
      <w:tr w14:paraId="4B3A0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185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考核内容</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1CB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分值</w:t>
            </w: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41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评分标准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E3B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考核记录</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B98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项目得分</w:t>
            </w:r>
          </w:p>
        </w:tc>
      </w:tr>
      <w:tr w14:paraId="0B5E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29858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垃圾计量及接纳</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56E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9AFA7B">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1、每日生活垃圾（飞灰）进场计量记录显示各车辆编号和净载量，记录资料齐全，得1分，违反次扣1分。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046014">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C2F786">
            <w:pPr>
              <w:rPr>
                <w:rFonts w:hint="eastAsia" w:ascii="宋体" w:hAnsi="宋体" w:eastAsia="宋体" w:cs="宋体"/>
                <w:i w:val="0"/>
                <w:iCs w:val="0"/>
                <w:color w:val="auto"/>
                <w:sz w:val="24"/>
                <w:szCs w:val="24"/>
                <w:highlight w:val="none"/>
                <w:u w:val="none"/>
              </w:rPr>
            </w:pPr>
          </w:p>
        </w:tc>
      </w:tr>
      <w:tr w14:paraId="50B4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A06DA4">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B9790">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A109DF">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2、进场生活垃圾由专业单位、专业车辆进行运输，车型符合自卸密闭 要求；车容车貌整洁，无抛洒滴漏，进场后在指定地点倾卸，按规定速度通过汽车衡，得 1 分。违反以上规定行为的每项（车次）扣 0.1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A5853C">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F4D35E">
            <w:pPr>
              <w:rPr>
                <w:rFonts w:hint="eastAsia" w:ascii="宋体" w:hAnsi="宋体" w:eastAsia="宋体" w:cs="宋体"/>
                <w:i w:val="0"/>
                <w:iCs w:val="0"/>
                <w:color w:val="auto"/>
                <w:sz w:val="24"/>
                <w:szCs w:val="24"/>
                <w:highlight w:val="none"/>
                <w:u w:val="none"/>
              </w:rPr>
            </w:pPr>
          </w:p>
        </w:tc>
      </w:tr>
      <w:tr w14:paraId="56E14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118540">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95DCF">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B4803E">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3、进场飞灰由专业单位、专业车辆进行运输，车型符合飞灰袋装要求；车容车貌整洁，无抛洒滴漏，进场后在指定地点停放，按规定速度通过汽车衡，得 1 分。违反以上规定行为的每项（车次）扣 0.1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F9EACA">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DDAD18">
            <w:pPr>
              <w:rPr>
                <w:rFonts w:hint="eastAsia" w:ascii="宋体" w:hAnsi="宋体" w:eastAsia="宋体" w:cs="宋体"/>
                <w:i w:val="0"/>
                <w:iCs w:val="0"/>
                <w:color w:val="auto"/>
                <w:sz w:val="24"/>
                <w:szCs w:val="24"/>
                <w:highlight w:val="none"/>
                <w:u w:val="none"/>
              </w:rPr>
            </w:pPr>
          </w:p>
        </w:tc>
      </w:tr>
      <w:tr w14:paraId="428A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38F24D">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4B981">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5659BE">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4、垃圾（飞灰）计量设备发生故障期间，进场垃圾（飞灰）量可应采用手工记录，待系统修复后得到监管人员的同意后及时将人工记录数据输入计算机，保证记录完整准确,得1分，违反次扣1分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12B35D">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3ECCEE">
            <w:pPr>
              <w:rPr>
                <w:rFonts w:hint="eastAsia" w:ascii="宋体" w:hAnsi="宋体" w:eastAsia="宋体" w:cs="宋体"/>
                <w:i w:val="0"/>
                <w:iCs w:val="0"/>
                <w:color w:val="auto"/>
                <w:sz w:val="24"/>
                <w:szCs w:val="24"/>
                <w:highlight w:val="none"/>
                <w:u w:val="none"/>
              </w:rPr>
            </w:pPr>
          </w:p>
        </w:tc>
      </w:tr>
      <w:tr w14:paraId="03E7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4D84FE">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C81A2">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6644DC">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5、飞灰进场必须有危废联单（五联单），每车一单，得1分，违反次扣1分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29EBC9">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6A19DE5">
            <w:pPr>
              <w:rPr>
                <w:rFonts w:hint="eastAsia" w:ascii="宋体" w:hAnsi="宋体" w:eastAsia="宋体" w:cs="宋体"/>
                <w:i w:val="0"/>
                <w:iCs w:val="0"/>
                <w:color w:val="auto"/>
                <w:sz w:val="24"/>
                <w:szCs w:val="24"/>
                <w:highlight w:val="none"/>
                <w:u w:val="none"/>
              </w:rPr>
            </w:pPr>
          </w:p>
        </w:tc>
      </w:tr>
      <w:tr w14:paraId="65E39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3BC7BDD">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B026A">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D5F476">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6、有进场垃圾（飞灰）校验制度、控制措施得1分，违反次扣0.5分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8D8FA3">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A96359">
            <w:pPr>
              <w:rPr>
                <w:rFonts w:hint="eastAsia" w:ascii="宋体" w:hAnsi="宋体" w:eastAsia="宋体" w:cs="宋体"/>
                <w:i w:val="0"/>
                <w:iCs w:val="0"/>
                <w:color w:val="auto"/>
                <w:sz w:val="24"/>
                <w:szCs w:val="24"/>
                <w:highlight w:val="none"/>
                <w:u w:val="none"/>
              </w:rPr>
            </w:pPr>
          </w:p>
        </w:tc>
      </w:tr>
      <w:tr w14:paraId="77103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E43565">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997C0">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04E6B6">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7、有称重计量系统运行维护制度且正常开展维护的，得 0.5 分。有维护制度但未实施有称重计量系统运行维护制度且正常开展维护的，得 0.5 分。有维护制度但未实施的扣 0.5分，无维护制度的扣 0.5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55BC53">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ED04A8">
            <w:pPr>
              <w:rPr>
                <w:rFonts w:hint="eastAsia" w:ascii="宋体" w:hAnsi="宋体" w:eastAsia="宋体" w:cs="宋体"/>
                <w:i w:val="0"/>
                <w:iCs w:val="0"/>
                <w:color w:val="auto"/>
                <w:sz w:val="24"/>
                <w:szCs w:val="24"/>
                <w:highlight w:val="none"/>
                <w:u w:val="none"/>
              </w:rPr>
            </w:pPr>
          </w:p>
        </w:tc>
      </w:tr>
      <w:tr w14:paraId="078B1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DD570C">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E2053">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FFF9CFA">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8、每年委托有资质的第三方机构对称重计量系统进行校验，并提供相应合格报告的，得 1 分，否则扣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2C573D">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FC033F">
            <w:pPr>
              <w:rPr>
                <w:rFonts w:hint="eastAsia" w:ascii="宋体" w:hAnsi="宋体" w:eastAsia="宋体" w:cs="宋体"/>
                <w:i w:val="0"/>
                <w:iCs w:val="0"/>
                <w:color w:val="auto"/>
                <w:sz w:val="24"/>
                <w:szCs w:val="24"/>
                <w:highlight w:val="none"/>
                <w:u w:val="none"/>
              </w:rPr>
            </w:pPr>
          </w:p>
        </w:tc>
      </w:tr>
      <w:tr w14:paraId="70C97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FC3EDE">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51B75">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C87335E">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9、计量台帐资料齐全、数据真实、来源清晰（车牌分别统计）的，得1 分。存在问题每项扣 1分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A84362">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627E74">
            <w:pPr>
              <w:rPr>
                <w:rFonts w:hint="eastAsia" w:ascii="宋体" w:hAnsi="宋体" w:eastAsia="宋体" w:cs="宋体"/>
                <w:i w:val="0"/>
                <w:iCs w:val="0"/>
                <w:color w:val="auto"/>
                <w:sz w:val="24"/>
                <w:szCs w:val="24"/>
                <w:highlight w:val="none"/>
                <w:u w:val="none"/>
              </w:rPr>
            </w:pPr>
          </w:p>
        </w:tc>
      </w:tr>
      <w:tr w14:paraId="244B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7547C3">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6406E">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2CBC63">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10、不得接纳非服务范围垃圾（飞灰）的。发现后直接终止合同。</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CF0864">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5420D4">
            <w:pPr>
              <w:rPr>
                <w:rFonts w:hint="eastAsia" w:ascii="宋体" w:hAnsi="宋体" w:eastAsia="宋体" w:cs="宋体"/>
                <w:i w:val="0"/>
                <w:iCs w:val="0"/>
                <w:color w:val="auto"/>
                <w:sz w:val="24"/>
                <w:szCs w:val="24"/>
                <w:highlight w:val="none"/>
                <w:u w:val="none"/>
              </w:rPr>
            </w:pPr>
          </w:p>
        </w:tc>
      </w:tr>
      <w:tr w14:paraId="23405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B7B9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防渗系统</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56F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929A07">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1、防渗系统设置满足 CJJ17 规范要求的，得 4 分。有缺陷的扣 1 分，不符合规范要求的扣 4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D998984">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ADE1CE">
            <w:pPr>
              <w:rPr>
                <w:rFonts w:hint="eastAsia" w:ascii="宋体" w:hAnsi="宋体" w:eastAsia="宋体" w:cs="宋体"/>
                <w:i w:val="0"/>
                <w:iCs w:val="0"/>
                <w:color w:val="auto"/>
                <w:sz w:val="24"/>
                <w:szCs w:val="24"/>
                <w:highlight w:val="none"/>
                <w:u w:val="none"/>
              </w:rPr>
            </w:pPr>
          </w:p>
        </w:tc>
      </w:tr>
      <w:tr w14:paraId="2FDE0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DCF930">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30DE0">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F4CB26">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2、作业前，对库底和边坡防渗系统有相应保护措施的，得 2 分。保护措施不完整的扣1 分，无相应保护措施的扣 2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42DF94">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3309552">
            <w:pPr>
              <w:rPr>
                <w:rFonts w:hint="eastAsia" w:ascii="宋体" w:hAnsi="宋体" w:eastAsia="宋体" w:cs="宋体"/>
                <w:i w:val="0"/>
                <w:iCs w:val="0"/>
                <w:color w:val="auto"/>
                <w:sz w:val="24"/>
                <w:szCs w:val="24"/>
                <w:highlight w:val="none"/>
                <w:u w:val="none"/>
              </w:rPr>
            </w:pPr>
          </w:p>
        </w:tc>
      </w:tr>
      <w:tr w14:paraId="47E5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3EE615">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B53FD">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63B614">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3、作业过程中对边坡防渗系统有相应保护措施的，得 2 分。保护措施不完整的扣 1 分，无相应保护措施的扣 2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0C27DA2">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C8BBCB">
            <w:pPr>
              <w:rPr>
                <w:rFonts w:hint="eastAsia" w:ascii="宋体" w:hAnsi="宋体" w:eastAsia="宋体" w:cs="宋体"/>
                <w:i w:val="0"/>
                <w:iCs w:val="0"/>
                <w:color w:val="auto"/>
                <w:sz w:val="24"/>
                <w:szCs w:val="24"/>
                <w:highlight w:val="none"/>
                <w:u w:val="none"/>
              </w:rPr>
            </w:pPr>
          </w:p>
        </w:tc>
      </w:tr>
      <w:tr w14:paraId="433E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A8AFBF">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B62AE">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676979">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5、实行分区填埋的，得 2 分。否则扣2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B30B7C">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4541D5D">
            <w:pPr>
              <w:rPr>
                <w:rFonts w:hint="eastAsia" w:ascii="宋体" w:hAnsi="宋体" w:eastAsia="宋体" w:cs="宋体"/>
                <w:i w:val="0"/>
                <w:iCs w:val="0"/>
                <w:color w:val="auto"/>
                <w:sz w:val="24"/>
                <w:szCs w:val="24"/>
                <w:highlight w:val="none"/>
                <w:u w:val="none"/>
              </w:rPr>
            </w:pPr>
          </w:p>
        </w:tc>
      </w:tr>
      <w:tr w14:paraId="64B37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BCC9DDA">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D223A">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165EA43">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6、有分单元填埋作业计划并执行的，得 1 分。有分单元填埋作业计划但未按计划执行的扣 0.5 分，无分单元填埋作业计划的扣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FA12C6">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CE813C">
            <w:pPr>
              <w:rPr>
                <w:rFonts w:hint="eastAsia" w:ascii="宋体" w:hAnsi="宋体" w:eastAsia="宋体" w:cs="宋体"/>
                <w:i w:val="0"/>
                <w:iCs w:val="0"/>
                <w:color w:val="auto"/>
                <w:sz w:val="24"/>
                <w:szCs w:val="24"/>
                <w:highlight w:val="none"/>
                <w:u w:val="none"/>
              </w:rPr>
            </w:pPr>
          </w:p>
        </w:tc>
      </w:tr>
      <w:tr w14:paraId="478E9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D61DD8">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DA159">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053B5E">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7、预留雨季填埋作业区或有雨季作业措施的，得 1 分。否则扣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FAFE85">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D04D16">
            <w:pPr>
              <w:rPr>
                <w:rFonts w:hint="eastAsia" w:ascii="宋体" w:hAnsi="宋体" w:eastAsia="宋体" w:cs="宋体"/>
                <w:i w:val="0"/>
                <w:iCs w:val="0"/>
                <w:color w:val="auto"/>
                <w:sz w:val="24"/>
                <w:szCs w:val="24"/>
                <w:highlight w:val="none"/>
                <w:u w:val="none"/>
              </w:rPr>
            </w:pPr>
          </w:p>
        </w:tc>
      </w:tr>
      <w:tr w14:paraId="344F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613B32">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4FAA5">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C13B4A">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8、库区内临时道路采用路基箱和倾倒平台的，得 2 分。没有的扣 2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021436">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F3610C">
            <w:pPr>
              <w:rPr>
                <w:rFonts w:hint="eastAsia" w:ascii="宋体" w:hAnsi="宋体" w:eastAsia="宋体" w:cs="宋体"/>
                <w:i w:val="0"/>
                <w:iCs w:val="0"/>
                <w:color w:val="auto"/>
                <w:sz w:val="24"/>
                <w:szCs w:val="24"/>
                <w:highlight w:val="none"/>
                <w:u w:val="none"/>
              </w:rPr>
            </w:pPr>
          </w:p>
        </w:tc>
      </w:tr>
      <w:tr w14:paraId="61316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096B0D">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7F411">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E05C99">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9、使用专用压实机械，按规范分层摊铺、压实的，得 1 分。没有的扣1分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C5F233">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E75128D">
            <w:pPr>
              <w:rPr>
                <w:rFonts w:hint="eastAsia" w:ascii="宋体" w:hAnsi="宋体" w:eastAsia="宋体" w:cs="宋体"/>
                <w:i w:val="0"/>
                <w:iCs w:val="0"/>
                <w:color w:val="auto"/>
                <w:sz w:val="24"/>
                <w:szCs w:val="24"/>
                <w:highlight w:val="none"/>
                <w:u w:val="none"/>
              </w:rPr>
            </w:pPr>
          </w:p>
        </w:tc>
      </w:tr>
      <w:tr w14:paraId="75352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A6E1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1524000</wp:posOffset>
                  </wp:positionV>
                  <wp:extent cx="635" cy="0"/>
                  <wp:effectExtent l="0" t="0" r="0" b="0"/>
                  <wp:wrapNone/>
                  <wp:docPr id="9" name="Rectangle_10"/>
                  <wp:cNvGraphicFramePr/>
                  <a:graphic xmlns:a="http://schemas.openxmlformats.org/drawingml/2006/main">
                    <a:graphicData uri="http://schemas.openxmlformats.org/drawingml/2006/picture">
                      <pic:pic xmlns:pic="http://schemas.openxmlformats.org/drawingml/2006/picture">
                        <pic:nvPicPr>
                          <pic:cNvPr id="9" name="Rectangle_10"/>
                          <pic:cNvPicPr/>
                        </pic:nvPicPr>
                        <pic:blipFill>
                          <a:blip r:embed="rId7"/>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1524000</wp:posOffset>
                  </wp:positionV>
                  <wp:extent cx="635" cy="0"/>
                  <wp:effectExtent l="0" t="0" r="0" b="0"/>
                  <wp:wrapNone/>
                  <wp:docPr id="10" name="Rectangle_8"/>
                  <wp:cNvGraphicFramePr/>
                  <a:graphic xmlns:a="http://schemas.openxmlformats.org/drawingml/2006/main">
                    <a:graphicData uri="http://schemas.openxmlformats.org/drawingml/2006/picture">
                      <pic:pic xmlns:pic="http://schemas.openxmlformats.org/drawingml/2006/picture">
                        <pic:nvPicPr>
                          <pic:cNvPr id="10" name="Rectangle_8"/>
                          <pic:cNvPicPr/>
                        </pic:nvPicPr>
                        <pic:blipFill>
                          <a:blip r:embed="rId7"/>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1524000</wp:posOffset>
                  </wp:positionV>
                  <wp:extent cx="635" cy="0"/>
                  <wp:effectExtent l="0" t="0" r="0" b="0"/>
                  <wp:wrapNone/>
                  <wp:docPr id="6" name="Rectangle_9"/>
                  <wp:cNvGraphicFramePr/>
                  <a:graphic xmlns:a="http://schemas.openxmlformats.org/drawingml/2006/main">
                    <a:graphicData uri="http://schemas.openxmlformats.org/drawingml/2006/picture">
                      <pic:pic xmlns:pic="http://schemas.openxmlformats.org/drawingml/2006/picture">
                        <pic:nvPicPr>
                          <pic:cNvPr id="6" name="Rectangle_9"/>
                          <pic:cNvPicPr/>
                        </pic:nvPicPr>
                        <pic:blipFill>
                          <a:blip r:embed="rId7"/>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工艺控制</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63C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81AC42">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1、垃圾作业区内堆体边坡满足稳定性要求且便于作业管理的，得1 分。堆体不稳定或影响作业管理的扣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8F7F67">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A51BC1">
            <w:pPr>
              <w:rPr>
                <w:rFonts w:hint="eastAsia" w:ascii="宋体" w:hAnsi="宋体" w:eastAsia="宋体" w:cs="宋体"/>
                <w:i w:val="0"/>
                <w:iCs w:val="0"/>
                <w:color w:val="auto"/>
                <w:sz w:val="24"/>
                <w:szCs w:val="24"/>
                <w:highlight w:val="none"/>
                <w:u w:val="none"/>
              </w:rPr>
            </w:pPr>
          </w:p>
        </w:tc>
      </w:tr>
      <w:tr w14:paraId="5B55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75FAE8">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0FC52">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nil"/>
              <w:right w:val="single" w:color="000000" w:sz="4" w:space="0"/>
            </w:tcBorders>
            <w:shd w:val="clear" w:color="auto" w:fill="auto"/>
            <w:vAlign w:val="bottom"/>
          </w:tcPr>
          <w:p w14:paraId="5A8E27E2">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2、垃圾堆体终场是顶平面坡度不小于 5%，边坡比不大于 1:3 的，得 1分。否则扣 1分。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38604C">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BDE092">
            <w:pPr>
              <w:rPr>
                <w:rFonts w:hint="eastAsia" w:ascii="宋体" w:hAnsi="宋体" w:eastAsia="宋体" w:cs="宋体"/>
                <w:i w:val="0"/>
                <w:iCs w:val="0"/>
                <w:color w:val="auto"/>
                <w:sz w:val="24"/>
                <w:szCs w:val="24"/>
                <w:highlight w:val="none"/>
                <w:u w:val="none"/>
              </w:rPr>
            </w:pPr>
          </w:p>
        </w:tc>
      </w:tr>
      <w:tr w14:paraId="48B9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A55772">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EFBB2">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B9FF584">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3、有消杀设备和措施且效果良好的，得 1 分。有消杀设备和措施但效果不好的扣 0.5分，无消杀设备和措施的扣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FE096E">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7C4DC0">
            <w:pPr>
              <w:rPr>
                <w:rFonts w:hint="eastAsia" w:ascii="宋体" w:hAnsi="宋体" w:eastAsia="宋体" w:cs="宋体"/>
                <w:i w:val="0"/>
                <w:iCs w:val="0"/>
                <w:color w:val="auto"/>
                <w:sz w:val="24"/>
                <w:szCs w:val="24"/>
                <w:highlight w:val="none"/>
                <w:u w:val="none"/>
              </w:rPr>
            </w:pPr>
          </w:p>
        </w:tc>
      </w:tr>
      <w:tr w14:paraId="3A2D4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A61691">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84B8C">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1DF259">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4、有降尘设备和措施且效果良好的，得 1 分。有降尘设备和措施但效果不好的扣 0.5分，无降尘设备和措施的扣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CBA8EE">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20C557A">
            <w:pPr>
              <w:rPr>
                <w:rFonts w:hint="eastAsia" w:ascii="宋体" w:hAnsi="宋体" w:eastAsia="宋体" w:cs="宋体"/>
                <w:i w:val="0"/>
                <w:iCs w:val="0"/>
                <w:color w:val="auto"/>
                <w:sz w:val="24"/>
                <w:szCs w:val="24"/>
                <w:highlight w:val="none"/>
                <w:u w:val="none"/>
              </w:rPr>
            </w:pPr>
          </w:p>
        </w:tc>
      </w:tr>
      <w:tr w14:paraId="4C54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6D799A">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40318">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6C7C42">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5、有除臭措施且效果良好的，得 1 分。有除臭措施但效果不好的扣 0.5 分，无除臭措施的扣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0CF93E3">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79121E9">
            <w:pPr>
              <w:rPr>
                <w:rFonts w:hint="eastAsia" w:ascii="宋体" w:hAnsi="宋体" w:eastAsia="宋体" w:cs="宋体"/>
                <w:i w:val="0"/>
                <w:iCs w:val="0"/>
                <w:color w:val="auto"/>
                <w:sz w:val="24"/>
                <w:szCs w:val="24"/>
                <w:highlight w:val="none"/>
                <w:u w:val="none"/>
              </w:rPr>
            </w:pPr>
          </w:p>
        </w:tc>
      </w:tr>
      <w:tr w14:paraId="4A907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C69D49">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2BE1D">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7A3289">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6、每日覆盖措施有效、可行的，得 5分。否则扣 5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FCC27E">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518807">
            <w:pPr>
              <w:rPr>
                <w:rFonts w:hint="eastAsia" w:ascii="宋体" w:hAnsi="宋体" w:eastAsia="宋体" w:cs="宋体"/>
                <w:i w:val="0"/>
                <w:iCs w:val="0"/>
                <w:color w:val="auto"/>
                <w:sz w:val="24"/>
                <w:szCs w:val="24"/>
                <w:highlight w:val="none"/>
                <w:u w:val="none"/>
              </w:rPr>
            </w:pPr>
          </w:p>
        </w:tc>
      </w:tr>
      <w:tr w14:paraId="089A2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997943">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10D0E">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2C1812">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7、采用 PHDE 膜进行中间覆盖，覆盖后雨水能及时导排出库区和垃圾堆体表面的，得 5分。采用 PHDE 膜中间覆盖但效果不明显、或采用黏土覆盖的扣2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F13D6B">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D1C259">
            <w:pPr>
              <w:rPr>
                <w:rFonts w:hint="eastAsia" w:ascii="宋体" w:hAnsi="宋体" w:eastAsia="宋体" w:cs="宋体"/>
                <w:i w:val="0"/>
                <w:iCs w:val="0"/>
                <w:color w:val="auto"/>
                <w:sz w:val="24"/>
                <w:szCs w:val="24"/>
                <w:highlight w:val="none"/>
                <w:u w:val="none"/>
              </w:rPr>
            </w:pPr>
          </w:p>
        </w:tc>
      </w:tr>
      <w:tr w14:paraId="6DB0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0959A3">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CB983">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7C5815">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8、垃圾（飞灰）作业暴露面控制得当，暴露面积不大于进场垃圾量相对应面积的（如：100 吨/日进场垃圾量对应 100 平方米允许暴露面积）得 1 分。否则扣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0F2EF4">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E07D66">
            <w:pPr>
              <w:rPr>
                <w:rFonts w:hint="eastAsia" w:ascii="宋体" w:hAnsi="宋体" w:eastAsia="宋体" w:cs="宋体"/>
                <w:i w:val="0"/>
                <w:iCs w:val="0"/>
                <w:color w:val="auto"/>
                <w:sz w:val="24"/>
                <w:szCs w:val="24"/>
                <w:highlight w:val="none"/>
                <w:u w:val="none"/>
              </w:rPr>
            </w:pPr>
          </w:p>
        </w:tc>
      </w:tr>
      <w:tr w14:paraId="5E4E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29ACF3">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F2D33">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F1CEB6A">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9、作业库区外围雨污分流设施完好、有效的，得 2 分。否则扣 2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589589">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7C322B">
            <w:pPr>
              <w:rPr>
                <w:rFonts w:hint="eastAsia" w:ascii="宋体" w:hAnsi="宋体" w:eastAsia="宋体" w:cs="宋体"/>
                <w:i w:val="0"/>
                <w:iCs w:val="0"/>
                <w:color w:val="auto"/>
                <w:sz w:val="24"/>
                <w:szCs w:val="24"/>
                <w:highlight w:val="none"/>
                <w:u w:val="none"/>
              </w:rPr>
            </w:pPr>
          </w:p>
        </w:tc>
      </w:tr>
      <w:tr w14:paraId="151EE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84A2C6">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39578">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21F885">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10、已填埋区域与未填埋区域区分明显，有清污分开的，得 1 分。否则扣 1分。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0D5F83">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9B8930">
            <w:pPr>
              <w:rPr>
                <w:rFonts w:hint="eastAsia" w:ascii="宋体" w:hAnsi="宋体" w:eastAsia="宋体" w:cs="宋体"/>
                <w:i w:val="0"/>
                <w:iCs w:val="0"/>
                <w:color w:val="auto"/>
                <w:sz w:val="24"/>
                <w:szCs w:val="24"/>
                <w:highlight w:val="none"/>
                <w:u w:val="none"/>
              </w:rPr>
            </w:pPr>
          </w:p>
        </w:tc>
      </w:tr>
      <w:tr w14:paraId="600BB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46B6CF">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F351F">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5106D9">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11、已填埋区域雨污分流措施得当，能最大限度减少渗滤液产生量的，得 1 分。雨污分流措施不得当，造成渗滤液产生量大的，扣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84BCAA">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7DA191">
            <w:pPr>
              <w:rPr>
                <w:rFonts w:hint="eastAsia" w:ascii="宋体" w:hAnsi="宋体" w:eastAsia="宋体" w:cs="宋体"/>
                <w:i w:val="0"/>
                <w:iCs w:val="0"/>
                <w:color w:val="auto"/>
                <w:sz w:val="24"/>
                <w:szCs w:val="24"/>
                <w:highlight w:val="none"/>
                <w:u w:val="none"/>
              </w:rPr>
            </w:pPr>
          </w:p>
        </w:tc>
      </w:tr>
      <w:tr w14:paraId="17A5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6D3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1426845</wp:posOffset>
                  </wp:positionV>
                  <wp:extent cx="635" cy="0"/>
                  <wp:effectExtent l="0" t="0" r="0" b="0"/>
                  <wp:wrapNone/>
                  <wp:docPr id="11" name="Rectangle_5"/>
                  <wp:cNvGraphicFramePr/>
                  <a:graphic xmlns:a="http://schemas.openxmlformats.org/drawingml/2006/main">
                    <a:graphicData uri="http://schemas.openxmlformats.org/drawingml/2006/picture">
                      <pic:pic xmlns:pic="http://schemas.openxmlformats.org/drawingml/2006/picture">
                        <pic:nvPicPr>
                          <pic:cNvPr id="11" name="Rectangle_5"/>
                          <pic:cNvPicPr/>
                        </pic:nvPicPr>
                        <pic:blipFill>
                          <a:blip r:embed="rId7"/>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1426845</wp:posOffset>
                  </wp:positionV>
                  <wp:extent cx="635" cy="0"/>
                  <wp:effectExtent l="0" t="0" r="0" b="0"/>
                  <wp:wrapNone/>
                  <wp:docPr id="7" name="Rectangle_6"/>
                  <wp:cNvGraphicFramePr/>
                  <a:graphic xmlns:a="http://schemas.openxmlformats.org/drawingml/2006/main">
                    <a:graphicData uri="http://schemas.openxmlformats.org/drawingml/2006/picture">
                      <pic:pic xmlns:pic="http://schemas.openxmlformats.org/drawingml/2006/picture">
                        <pic:nvPicPr>
                          <pic:cNvPr id="7" name="Rectangle_6"/>
                          <pic:cNvPicPr/>
                        </pic:nvPicPr>
                        <pic:blipFill>
                          <a:blip r:embed="rId7"/>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1426845</wp:posOffset>
                  </wp:positionV>
                  <wp:extent cx="635" cy="0"/>
                  <wp:effectExtent l="0" t="0" r="0" b="0"/>
                  <wp:wrapNone/>
                  <wp:docPr id="12" name="Rectangle_7"/>
                  <wp:cNvGraphicFramePr/>
                  <a:graphic xmlns:a="http://schemas.openxmlformats.org/drawingml/2006/main">
                    <a:graphicData uri="http://schemas.openxmlformats.org/drawingml/2006/picture">
                      <pic:pic xmlns:pic="http://schemas.openxmlformats.org/drawingml/2006/picture">
                        <pic:nvPicPr>
                          <pic:cNvPr id="12" name="Rectangle_7"/>
                          <pic:cNvPicPr/>
                        </pic:nvPicPr>
                        <pic:blipFill>
                          <a:blip r:embed="rId7"/>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highlight w:val="none"/>
                <w:u w:val="none"/>
                <w:lang w:val="en-US" w:eastAsia="zh-CN" w:bidi="ar"/>
              </w:rPr>
              <w:t>渗滤收集及处理</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B84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2252DA">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1、建有完善、规范的渗滤液收集处理系统且导排畅通的，得 1 分。否则扣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8177AC">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6968CD">
            <w:pPr>
              <w:rPr>
                <w:rFonts w:hint="eastAsia" w:ascii="宋体" w:hAnsi="宋体" w:eastAsia="宋体" w:cs="宋体"/>
                <w:i w:val="0"/>
                <w:iCs w:val="0"/>
                <w:color w:val="auto"/>
                <w:sz w:val="24"/>
                <w:szCs w:val="24"/>
                <w:highlight w:val="none"/>
                <w:u w:val="none"/>
              </w:rPr>
            </w:pPr>
          </w:p>
        </w:tc>
      </w:tr>
      <w:tr w14:paraId="568B5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B6D8C4">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085F8">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9DBE7B">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2、渗滤液能及时导排出库区，作业区无囤积的，得 2 分。否则扣 2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68A2A6">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0CD2047">
            <w:pPr>
              <w:rPr>
                <w:rFonts w:hint="eastAsia" w:ascii="宋体" w:hAnsi="宋体" w:eastAsia="宋体" w:cs="宋体"/>
                <w:i w:val="0"/>
                <w:iCs w:val="0"/>
                <w:color w:val="auto"/>
                <w:sz w:val="24"/>
                <w:szCs w:val="24"/>
                <w:highlight w:val="none"/>
                <w:u w:val="none"/>
              </w:rPr>
            </w:pPr>
          </w:p>
        </w:tc>
      </w:tr>
      <w:tr w14:paraId="0059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AF1E586">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F3D1E">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6177BC">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3、渗滤液调节池容量合理，得 1 分。否则扣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557D760">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5ADEA0">
            <w:pPr>
              <w:rPr>
                <w:rFonts w:hint="eastAsia" w:ascii="宋体" w:hAnsi="宋体" w:eastAsia="宋体" w:cs="宋体"/>
                <w:i w:val="0"/>
                <w:iCs w:val="0"/>
                <w:color w:val="auto"/>
                <w:sz w:val="24"/>
                <w:szCs w:val="24"/>
                <w:highlight w:val="none"/>
                <w:u w:val="none"/>
              </w:rPr>
            </w:pPr>
          </w:p>
        </w:tc>
      </w:tr>
      <w:tr w14:paraId="23B2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C8C6B4">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FE23C">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214124">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4、渗滤液处理设施规模合理，运行正常，得 2分。设施规模明显偏小的扣 1.5 分，未正常连续运行的扣 1.5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581455">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218BC69">
            <w:pPr>
              <w:rPr>
                <w:rFonts w:hint="eastAsia" w:ascii="宋体" w:hAnsi="宋体" w:eastAsia="宋体" w:cs="宋体"/>
                <w:i w:val="0"/>
                <w:iCs w:val="0"/>
                <w:color w:val="auto"/>
                <w:sz w:val="24"/>
                <w:szCs w:val="24"/>
                <w:highlight w:val="none"/>
                <w:u w:val="none"/>
              </w:rPr>
            </w:pPr>
          </w:p>
        </w:tc>
      </w:tr>
      <w:tr w14:paraId="605E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B32A7A">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9DE3C">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E97439">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5、渗滤液处理后出水水质达到环评要求且去向符合规定的，得 3 分。达不到环评要求的扣3分。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075E4B">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E6D511">
            <w:pPr>
              <w:rPr>
                <w:rFonts w:hint="eastAsia" w:ascii="宋体" w:hAnsi="宋体" w:eastAsia="宋体" w:cs="宋体"/>
                <w:i w:val="0"/>
                <w:iCs w:val="0"/>
                <w:color w:val="auto"/>
                <w:sz w:val="24"/>
                <w:szCs w:val="24"/>
                <w:highlight w:val="none"/>
                <w:u w:val="none"/>
              </w:rPr>
            </w:pPr>
          </w:p>
        </w:tc>
      </w:tr>
      <w:tr w14:paraId="4178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72A41F">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A4514">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9C9967">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6、渗滤液处理运行记录完整、真实规范的，得 1 分。否则扣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3DA54E">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55BADC8">
            <w:pPr>
              <w:rPr>
                <w:rFonts w:hint="eastAsia" w:ascii="宋体" w:hAnsi="宋体" w:eastAsia="宋体" w:cs="宋体"/>
                <w:i w:val="0"/>
                <w:iCs w:val="0"/>
                <w:color w:val="auto"/>
                <w:sz w:val="24"/>
                <w:szCs w:val="24"/>
                <w:highlight w:val="none"/>
                <w:u w:val="none"/>
              </w:rPr>
            </w:pPr>
          </w:p>
        </w:tc>
      </w:tr>
      <w:tr w14:paraId="416D5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4BFBD0">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0BB1A">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D7C81D">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7、发现渗滤液有偷排现象的，直接终止合同</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A1F70B">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4DCE58">
            <w:pPr>
              <w:rPr>
                <w:rFonts w:hint="eastAsia" w:ascii="宋体" w:hAnsi="宋体" w:eastAsia="宋体" w:cs="宋体"/>
                <w:i w:val="0"/>
                <w:iCs w:val="0"/>
                <w:color w:val="auto"/>
                <w:sz w:val="24"/>
                <w:szCs w:val="24"/>
                <w:highlight w:val="none"/>
                <w:u w:val="none"/>
              </w:rPr>
            </w:pPr>
          </w:p>
        </w:tc>
      </w:tr>
      <w:tr w14:paraId="49275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34290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污染控制</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C0D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C5A279F">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1、配备常规污染物（COD、BOD、NH</w:t>
            </w:r>
            <w:r>
              <w:rPr>
                <w:rStyle w:val="334"/>
                <w:rFonts w:hint="eastAsia" w:ascii="宋体" w:hAnsi="宋体" w:eastAsia="宋体" w:cs="宋体"/>
                <w:color w:val="auto"/>
                <w:sz w:val="24"/>
                <w:szCs w:val="24"/>
                <w:highlight w:val="none"/>
                <w:lang w:val="en-US" w:eastAsia="zh-CN" w:bidi="ar"/>
              </w:rPr>
              <w:t>3</w:t>
            </w:r>
            <w:r>
              <w:rPr>
                <w:rFonts w:hint="eastAsia" w:ascii="宋体" w:hAnsi="宋体" w:eastAsia="宋体" w:cs="宋体"/>
                <w:i w:val="0"/>
                <w:iCs w:val="0"/>
                <w:color w:val="auto"/>
                <w:kern w:val="0"/>
                <w:sz w:val="24"/>
                <w:szCs w:val="24"/>
                <w:highlight w:val="none"/>
                <w:u w:val="none"/>
                <w:lang w:val="en-US" w:eastAsia="zh-CN" w:bidi="ar"/>
              </w:rPr>
              <w:t>-N、SS、PH 等）检测的化验设备，化验人员操作熟练，开展自测，数据可信的，得 3 分。化验设备不齐，自测项目较少，数据可信度不高的扣 1 分；未配备化验设备和人员的扣 3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227CCF">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B581C0">
            <w:pPr>
              <w:rPr>
                <w:rFonts w:hint="eastAsia" w:ascii="宋体" w:hAnsi="宋体" w:eastAsia="宋体" w:cs="宋体"/>
                <w:i w:val="0"/>
                <w:iCs w:val="0"/>
                <w:color w:val="auto"/>
                <w:sz w:val="24"/>
                <w:szCs w:val="24"/>
                <w:highlight w:val="none"/>
                <w:u w:val="none"/>
              </w:rPr>
            </w:pPr>
          </w:p>
        </w:tc>
      </w:tr>
      <w:tr w14:paraId="1AB9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E9D225">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3FB23">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799397">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2、按规定频次与检测内容委托有资质的检测机构对垃圾进场成分、渗滤液水质、渗滤液处理后出水水质、填埋气体、地下水、地表水、大气、噪声等污染物进行检测且出具报告的，得 5 分、委托内容不完整的，每少一大类，扣 1 分。检测频次符合要求，</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DAAB9C">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D94AFC0">
            <w:pPr>
              <w:rPr>
                <w:rFonts w:hint="eastAsia" w:ascii="宋体" w:hAnsi="宋体" w:eastAsia="宋体" w:cs="宋体"/>
                <w:i w:val="0"/>
                <w:iCs w:val="0"/>
                <w:color w:val="auto"/>
                <w:sz w:val="24"/>
                <w:szCs w:val="24"/>
                <w:highlight w:val="none"/>
                <w:u w:val="none"/>
              </w:rPr>
            </w:pPr>
          </w:p>
        </w:tc>
      </w:tr>
      <w:tr w14:paraId="08356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DC77F1">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AD239">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A978D7">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3、主要检测内容已包括且未全部检测的，每缺一项，扣 0.5  分。未开展相应检测的扣 6分。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321039">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C31181">
            <w:pPr>
              <w:rPr>
                <w:rFonts w:hint="eastAsia" w:ascii="宋体" w:hAnsi="宋体" w:eastAsia="宋体" w:cs="宋体"/>
                <w:i w:val="0"/>
                <w:iCs w:val="0"/>
                <w:color w:val="auto"/>
                <w:sz w:val="24"/>
                <w:szCs w:val="24"/>
                <w:highlight w:val="none"/>
                <w:u w:val="none"/>
              </w:rPr>
            </w:pPr>
          </w:p>
        </w:tc>
      </w:tr>
      <w:tr w14:paraId="137EF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7BEA9C">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EBB3E">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EF7375">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4、渗滤液处理后出水水质、地下水、地表水、大气、噪声等污染物经自测和权威部门监测后均达标的，得 6 分。每类排放指标监测数据达标率大于 50%小于 100%的扣 3 分，达标率小于 50%的扣 6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B8F7DBA">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0F0191">
            <w:pPr>
              <w:rPr>
                <w:rFonts w:hint="eastAsia" w:ascii="宋体" w:hAnsi="宋体" w:eastAsia="宋体" w:cs="宋体"/>
                <w:i w:val="0"/>
                <w:iCs w:val="0"/>
                <w:color w:val="auto"/>
                <w:sz w:val="24"/>
                <w:szCs w:val="24"/>
                <w:highlight w:val="none"/>
                <w:u w:val="none"/>
              </w:rPr>
            </w:pPr>
          </w:p>
        </w:tc>
      </w:tr>
      <w:tr w14:paraId="4248A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6D3C5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制度建设</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19F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CF9BD8">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1、规章制度、岗位职责、操作规程健全的，得 3 分。每缺一项的扣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5E5D1F">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D1B2F3">
            <w:pPr>
              <w:rPr>
                <w:rFonts w:hint="eastAsia" w:ascii="宋体" w:hAnsi="宋体" w:eastAsia="宋体" w:cs="宋体"/>
                <w:i w:val="0"/>
                <w:iCs w:val="0"/>
                <w:color w:val="auto"/>
                <w:sz w:val="24"/>
                <w:szCs w:val="24"/>
                <w:highlight w:val="none"/>
                <w:u w:val="none"/>
              </w:rPr>
            </w:pPr>
          </w:p>
        </w:tc>
      </w:tr>
      <w:tr w14:paraId="4838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397C01">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9F0F0">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8CB831D">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2、有完整的运行作业手册及设备操作维护保养手册，得 1分。每缺一项扣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1E0B4">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94AC83">
            <w:pPr>
              <w:rPr>
                <w:rFonts w:hint="eastAsia" w:ascii="宋体" w:hAnsi="宋体" w:eastAsia="宋体" w:cs="宋体"/>
                <w:i w:val="0"/>
                <w:iCs w:val="0"/>
                <w:color w:val="auto"/>
                <w:sz w:val="24"/>
                <w:szCs w:val="24"/>
                <w:highlight w:val="none"/>
                <w:u w:val="none"/>
              </w:rPr>
            </w:pPr>
          </w:p>
        </w:tc>
      </w:tr>
      <w:tr w14:paraId="34EB9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BFBFE2D">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35AFC">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483114">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3、场内标志标识齐全、完整的，得 1 分。每缺一项扣 0.5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238CC">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9E570">
            <w:pPr>
              <w:rPr>
                <w:rFonts w:hint="eastAsia" w:ascii="宋体" w:hAnsi="宋体" w:eastAsia="宋体" w:cs="宋体"/>
                <w:i w:val="0"/>
                <w:iCs w:val="0"/>
                <w:color w:val="auto"/>
                <w:sz w:val="24"/>
                <w:szCs w:val="24"/>
                <w:highlight w:val="none"/>
                <w:u w:val="none"/>
              </w:rPr>
            </w:pPr>
          </w:p>
        </w:tc>
      </w:tr>
      <w:tr w14:paraId="3EE21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4EABA96">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C941F">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F592E7">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4、工艺运行和设施维护正常，得 1 分。每缺一项扣 0.5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5A2AF">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955F7">
            <w:pPr>
              <w:rPr>
                <w:rFonts w:hint="eastAsia" w:ascii="宋体" w:hAnsi="宋体" w:eastAsia="宋体" w:cs="宋体"/>
                <w:i w:val="0"/>
                <w:iCs w:val="0"/>
                <w:color w:val="auto"/>
                <w:sz w:val="24"/>
                <w:szCs w:val="24"/>
                <w:highlight w:val="none"/>
                <w:u w:val="none"/>
              </w:rPr>
            </w:pPr>
          </w:p>
        </w:tc>
      </w:tr>
      <w:tr w14:paraId="201E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F9785E">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04719">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E799447">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5、有完善的内部运行考核制度并认真实施的，得 1 分。实施不力的，扣 0.5 分；如无，扣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F39E38">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0DEAA">
            <w:pPr>
              <w:rPr>
                <w:rFonts w:hint="eastAsia" w:ascii="宋体" w:hAnsi="宋体" w:eastAsia="宋体" w:cs="宋体"/>
                <w:i w:val="0"/>
                <w:iCs w:val="0"/>
                <w:color w:val="auto"/>
                <w:sz w:val="24"/>
                <w:szCs w:val="24"/>
                <w:highlight w:val="none"/>
                <w:u w:val="none"/>
              </w:rPr>
            </w:pPr>
          </w:p>
        </w:tc>
      </w:tr>
      <w:tr w14:paraId="2E70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FF2185">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B28BE">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DC7BFA">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6、人员的配备与招标文件相符，有人员考勤记录，缺失一项扣2分。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A433E">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761AE">
            <w:pPr>
              <w:rPr>
                <w:rFonts w:hint="eastAsia" w:ascii="宋体" w:hAnsi="宋体" w:eastAsia="宋体" w:cs="宋体"/>
                <w:i w:val="0"/>
                <w:iCs w:val="0"/>
                <w:color w:val="auto"/>
                <w:sz w:val="24"/>
                <w:szCs w:val="24"/>
                <w:highlight w:val="none"/>
                <w:u w:val="none"/>
              </w:rPr>
            </w:pPr>
          </w:p>
        </w:tc>
      </w:tr>
      <w:tr w14:paraId="58BE8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3FBA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安全管理</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824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B43B26">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1、安全设施、设备配置齐全的，得 2 分。每缺一项扣 0.5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9559A3">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197D5">
            <w:pPr>
              <w:rPr>
                <w:rFonts w:hint="eastAsia" w:ascii="宋体" w:hAnsi="宋体" w:eastAsia="宋体" w:cs="宋体"/>
                <w:i w:val="0"/>
                <w:iCs w:val="0"/>
                <w:color w:val="auto"/>
                <w:sz w:val="24"/>
                <w:szCs w:val="24"/>
                <w:highlight w:val="none"/>
                <w:u w:val="none"/>
              </w:rPr>
            </w:pPr>
          </w:p>
        </w:tc>
      </w:tr>
      <w:tr w14:paraId="6393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DD5A91">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FBD00">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60C71B">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2、安全制度落实到位，各岗位操作人员经培训合格后上岗的，得 1分。每缺一项扣0.5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79DCD">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DC80E">
            <w:pPr>
              <w:rPr>
                <w:rFonts w:hint="eastAsia" w:ascii="宋体" w:hAnsi="宋体" w:eastAsia="宋体" w:cs="宋体"/>
                <w:i w:val="0"/>
                <w:iCs w:val="0"/>
                <w:color w:val="auto"/>
                <w:sz w:val="24"/>
                <w:szCs w:val="24"/>
                <w:highlight w:val="none"/>
                <w:u w:val="none"/>
              </w:rPr>
            </w:pPr>
          </w:p>
        </w:tc>
      </w:tr>
      <w:tr w14:paraId="62572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09740A1">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4DEE4">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640AD86">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3、严格执行安全操作规程操作，未发生安全责任事故的，得 2分。每发生一起扣 2分。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7884B">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25947">
            <w:pPr>
              <w:rPr>
                <w:rFonts w:hint="eastAsia" w:ascii="宋体" w:hAnsi="宋体" w:eastAsia="宋体" w:cs="宋体"/>
                <w:i w:val="0"/>
                <w:iCs w:val="0"/>
                <w:color w:val="auto"/>
                <w:sz w:val="24"/>
                <w:szCs w:val="24"/>
                <w:highlight w:val="none"/>
                <w:u w:val="none"/>
              </w:rPr>
            </w:pPr>
          </w:p>
        </w:tc>
      </w:tr>
      <w:tr w14:paraId="1B6C5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A183AFA">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281EE">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1E91CE2">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4、场内无闲杂人员、非工作人员进场人员登记，得 2分。否则扣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1FEC5">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7B128">
            <w:pPr>
              <w:rPr>
                <w:rFonts w:hint="eastAsia" w:ascii="宋体" w:hAnsi="宋体" w:eastAsia="宋体" w:cs="宋体"/>
                <w:i w:val="0"/>
                <w:iCs w:val="0"/>
                <w:color w:val="auto"/>
                <w:sz w:val="24"/>
                <w:szCs w:val="24"/>
                <w:highlight w:val="none"/>
                <w:u w:val="none"/>
              </w:rPr>
            </w:pPr>
          </w:p>
        </w:tc>
      </w:tr>
      <w:tr w14:paraId="1EAD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47005A">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3B00A">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D664C4">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5、生产作业区严禁明火和吸烟，得 1分。否则扣1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68281">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AD1249">
            <w:pPr>
              <w:rPr>
                <w:rFonts w:hint="eastAsia" w:ascii="宋体" w:hAnsi="宋体" w:eastAsia="宋体" w:cs="宋体"/>
                <w:i w:val="0"/>
                <w:iCs w:val="0"/>
                <w:color w:val="auto"/>
                <w:sz w:val="24"/>
                <w:szCs w:val="24"/>
                <w:highlight w:val="none"/>
                <w:u w:val="none"/>
              </w:rPr>
            </w:pPr>
          </w:p>
        </w:tc>
      </w:tr>
      <w:tr w14:paraId="16CF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23E24A">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C20BF">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nil"/>
              <w:right w:val="single" w:color="000000" w:sz="4" w:space="0"/>
            </w:tcBorders>
            <w:shd w:val="clear" w:color="auto" w:fill="auto"/>
            <w:vAlign w:val="bottom"/>
          </w:tcPr>
          <w:p w14:paraId="6B60C36A">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6、场内交通标志清楚，规范，场区内车速不宜大于 5km/h，填埋区设置现场指挥人员，得 1 分。每缺一项扣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387CF">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36854">
            <w:pPr>
              <w:rPr>
                <w:rFonts w:hint="eastAsia" w:ascii="宋体" w:hAnsi="宋体" w:eastAsia="宋体" w:cs="宋体"/>
                <w:i w:val="0"/>
                <w:iCs w:val="0"/>
                <w:color w:val="auto"/>
                <w:sz w:val="24"/>
                <w:szCs w:val="24"/>
                <w:highlight w:val="none"/>
                <w:u w:val="none"/>
              </w:rPr>
            </w:pPr>
          </w:p>
        </w:tc>
      </w:tr>
      <w:tr w14:paraId="71C7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FAAA7C">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DA039">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A434D5">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7、有应急预案并组织演练的，得 1 分。仅有预案未进行演练的扣 0.5 分，否则扣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3C3502">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0ED36">
            <w:pPr>
              <w:rPr>
                <w:rFonts w:hint="eastAsia" w:ascii="宋体" w:hAnsi="宋体" w:eastAsia="宋体" w:cs="宋体"/>
                <w:i w:val="0"/>
                <w:iCs w:val="0"/>
                <w:color w:val="auto"/>
                <w:sz w:val="24"/>
                <w:szCs w:val="24"/>
                <w:highlight w:val="none"/>
                <w:u w:val="none"/>
              </w:rPr>
            </w:pPr>
          </w:p>
        </w:tc>
      </w:tr>
      <w:tr w14:paraId="2D06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71C5FC">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2A5AE">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1D9F50">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8、考核年度内场内发生人员重伤、死亡事故或重大财产事故的。直接终止合同。</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ED76B">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B3E36">
            <w:pPr>
              <w:rPr>
                <w:rFonts w:hint="eastAsia" w:ascii="宋体" w:hAnsi="宋体" w:eastAsia="宋体" w:cs="宋体"/>
                <w:i w:val="0"/>
                <w:iCs w:val="0"/>
                <w:color w:val="auto"/>
                <w:sz w:val="24"/>
                <w:szCs w:val="24"/>
                <w:highlight w:val="none"/>
                <w:u w:val="none"/>
              </w:rPr>
            </w:pPr>
          </w:p>
        </w:tc>
      </w:tr>
      <w:tr w14:paraId="3B9C1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42BD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设备管理</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945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94F25C2">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1、按照设备操作手册的要求，使用和管理好作业机械设备的，得 1 分。使用和管理不到位的扣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A09CC">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81120B">
            <w:pPr>
              <w:rPr>
                <w:rFonts w:hint="eastAsia" w:ascii="宋体" w:hAnsi="宋体" w:eastAsia="宋体" w:cs="宋体"/>
                <w:i w:val="0"/>
                <w:iCs w:val="0"/>
                <w:color w:val="auto"/>
                <w:sz w:val="24"/>
                <w:szCs w:val="24"/>
                <w:highlight w:val="none"/>
                <w:u w:val="none"/>
              </w:rPr>
            </w:pPr>
          </w:p>
        </w:tc>
      </w:tr>
      <w:tr w14:paraId="5320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F6A80B7">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3F0F0">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nil"/>
              <w:right w:val="single" w:color="000000" w:sz="4" w:space="0"/>
            </w:tcBorders>
            <w:shd w:val="clear" w:color="auto" w:fill="auto"/>
            <w:vAlign w:val="bottom"/>
          </w:tcPr>
          <w:p w14:paraId="7B6BCCFD">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2、设备完好率高，维修保养及时，满足作业需要的，得 1 分。否则扣 1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AE094">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873018">
            <w:pPr>
              <w:rPr>
                <w:rFonts w:hint="eastAsia" w:ascii="宋体" w:hAnsi="宋体" w:eastAsia="宋体" w:cs="宋体"/>
                <w:i w:val="0"/>
                <w:iCs w:val="0"/>
                <w:color w:val="auto"/>
                <w:sz w:val="24"/>
                <w:szCs w:val="24"/>
                <w:highlight w:val="none"/>
                <w:u w:val="none"/>
              </w:rPr>
            </w:pPr>
          </w:p>
        </w:tc>
      </w:tr>
      <w:tr w14:paraId="08FA8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7C9089">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1B30E">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5EE547C">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3、台账资料目录清晰、内容完整、记录连续、数据准确、真实可信的，得 2 分。每有一项不符合要求的扣 0.2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C42F3">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5B0A2">
            <w:pPr>
              <w:rPr>
                <w:rFonts w:hint="eastAsia" w:ascii="宋体" w:hAnsi="宋体" w:eastAsia="宋体" w:cs="宋体"/>
                <w:i w:val="0"/>
                <w:iCs w:val="0"/>
                <w:color w:val="auto"/>
                <w:sz w:val="24"/>
                <w:szCs w:val="24"/>
                <w:highlight w:val="none"/>
                <w:u w:val="none"/>
              </w:rPr>
            </w:pPr>
          </w:p>
        </w:tc>
      </w:tr>
      <w:tr w14:paraId="02372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878F72">
            <w:pPr>
              <w:jc w:val="center"/>
              <w:rPr>
                <w:rFonts w:hint="eastAsia" w:ascii="宋体" w:hAnsi="宋体" w:eastAsia="宋体" w:cs="宋体"/>
                <w:i w:val="0"/>
                <w:iCs w:val="0"/>
                <w:color w:val="auto"/>
                <w:sz w:val="24"/>
                <w:szCs w:val="24"/>
                <w:highlight w:val="none"/>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C7CAE">
            <w:pPr>
              <w:jc w:val="center"/>
              <w:rPr>
                <w:rFonts w:hint="eastAsia" w:ascii="宋体" w:hAnsi="宋体" w:eastAsia="宋体" w:cs="宋体"/>
                <w:i w:val="0"/>
                <w:iCs w:val="0"/>
                <w:color w:val="auto"/>
                <w:sz w:val="24"/>
                <w:szCs w:val="24"/>
                <w:highlight w:val="none"/>
                <w:u w:val="none"/>
              </w:rPr>
            </w:pPr>
          </w:p>
        </w:tc>
        <w:tc>
          <w:tcPr>
            <w:tcW w:w="3558" w:type="pct"/>
            <w:tcBorders>
              <w:top w:val="single" w:color="000000" w:sz="4" w:space="0"/>
              <w:left w:val="single" w:color="000000" w:sz="4" w:space="0"/>
              <w:bottom w:val="nil"/>
              <w:right w:val="single" w:color="000000" w:sz="4" w:space="0"/>
            </w:tcBorders>
            <w:shd w:val="clear" w:color="auto" w:fill="auto"/>
            <w:vAlign w:val="bottom"/>
          </w:tcPr>
          <w:p w14:paraId="0AC90505">
            <w:pPr>
              <w:keepNext w:val="0"/>
              <w:keepLines w:val="0"/>
              <w:widowControl/>
              <w:suppressLineNumbers w:val="0"/>
              <w:jc w:val="left"/>
              <w:textAlignment w:val="bottom"/>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4、配备有专（兼）职档案管理员的，有专用档案管理室的，得 1 分。无专（兼）职档案管理员的扣 0.5 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855A6">
            <w:pPr>
              <w:rPr>
                <w:rFonts w:hint="eastAsia" w:ascii="宋体" w:hAnsi="宋体" w:eastAsia="宋体" w:cs="宋体"/>
                <w:i w:val="0"/>
                <w:iCs w:val="0"/>
                <w:color w:val="auto"/>
                <w:sz w:val="24"/>
                <w:szCs w:val="24"/>
                <w:highlight w:val="none"/>
                <w:u w:val="none"/>
              </w:rPr>
            </w:pP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75E6F4">
            <w:pPr>
              <w:rPr>
                <w:rFonts w:hint="eastAsia" w:ascii="宋体" w:hAnsi="宋体" w:eastAsia="宋体" w:cs="宋体"/>
                <w:i w:val="0"/>
                <w:iCs w:val="0"/>
                <w:color w:val="auto"/>
                <w:sz w:val="24"/>
                <w:szCs w:val="24"/>
                <w:highlight w:val="none"/>
                <w:u w:val="none"/>
              </w:rPr>
            </w:pPr>
          </w:p>
        </w:tc>
      </w:tr>
      <w:tr w14:paraId="7D1B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5"/>
            <w:tcBorders>
              <w:top w:val="single" w:color="000000" w:sz="4" w:space="0"/>
              <w:left w:val="nil"/>
              <w:bottom w:val="nil"/>
              <w:right w:val="nil"/>
            </w:tcBorders>
            <w:shd w:val="clear" w:color="auto" w:fill="auto"/>
            <w:vAlign w:val="bottom"/>
          </w:tcPr>
          <w:p w14:paraId="798950A3">
            <w:pPr>
              <w:keepNext w:val="0"/>
              <w:keepLines w:val="0"/>
              <w:widowControl/>
              <w:suppressLineNumbers w:val="0"/>
              <w:jc w:val="left"/>
              <w:textAlignment w:val="bottom"/>
              <w:rPr>
                <w:rFonts w:hint="default"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注：满分100分，</w:t>
            </w:r>
            <w:r>
              <w:rPr>
                <w:rFonts w:hint="eastAsia" w:ascii="宋体" w:hAnsi="宋体" w:cs="宋体"/>
                <w:b/>
                <w:bCs/>
                <w:i w:val="0"/>
                <w:iCs w:val="0"/>
                <w:color w:val="auto"/>
                <w:kern w:val="0"/>
                <w:sz w:val="24"/>
                <w:szCs w:val="24"/>
                <w:highlight w:val="none"/>
                <w:u w:val="none"/>
                <w:lang w:val="en-US" w:eastAsia="zh-CN" w:bidi="ar"/>
              </w:rPr>
              <w:t>月度考核低于95分每扣</w:t>
            </w:r>
            <w:r>
              <w:rPr>
                <w:rFonts w:hint="eastAsia" w:ascii="宋体" w:hAnsi="宋体" w:eastAsia="宋体" w:cs="宋体"/>
                <w:b/>
                <w:bCs/>
                <w:i w:val="0"/>
                <w:iCs w:val="0"/>
                <w:color w:val="auto"/>
                <w:kern w:val="0"/>
                <w:sz w:val="24"/>
                <w:szCs w:val="24"/>
                <w:highlight w:val="none"/>
                <w:u w:val="none"/>
                <w:lang w:val="en-US" w:eastAsia="zh-CN" w:bidi="ar"/>
              </w:rPr>
              <w:t>一分将从服务费中扣除500元，</w:t>
            </w:r>
            <w:r>
              <w:rPr>
                <w:rFonts w:hint="eastAsia" w:ascii="宋体" w:hAnsi="宋体" w:cs="宋体"/>
                <w:b/>
                <w:bCs/>
                <w:i w:val="0"/>
                <w:iCs w:val="0"/>
                <w:color w:val="auto"/>
                <w:kern w:val="0"/>
                <w:sz w:val="24"/>
                <w:szCs w:val="24"/>
                <w:highlight w:val="none"/>
                <w:u w:val="none"/>
                <w:lang w:val="en-US" w:eastAsia="zh-CN" w:bidi="ar"/>
              </w:rPr>
              <w:t>最终的年度考核分值按照12个月度的平均值计算。</w:t>
            </w:r>
          </w:p>
        </w:tc>
      </w:tr>
    </w:tbl>
    <w:p w14:paraId="35BA115F">
      <w:pPr>
        <w:pStyle w:val="3"/>
        <w:keepNext w:val="0"/>
        <w:keepLines/>
        <w:pageBreakBefore/>
        <w:widowControl w:val="0"/>
        <w:kinsoku/>
        <w:wordWrap/>
        <w:overflowPunct/>
        <w:topLinePunct w:val="0"/>
        <w:autoSpaceDE/>
        <w:autoSpaceDN/>
        <w:bidi w:val="0"/>
        <w:adjustRightInd/>
        <w:snapToGrid/>
        <w:spacing w:before="0" w:after="0" w:line="360" w:lineRule="auto"/>
        <w:textAlignment w:val="auto"/>
        <w:rPr>
          <w:color w:val="auto"/>
          <w:highlight w:val="none"/>
        </w:rPr>
      </w:pPr>
      <w:r>
        <w:rPr>
          <w:rFonts w:hint="eastAsia" w:ascii="宋体" w:hAnsi="宋体" w:cs="宋体"/>
          <w:color w:val="auto"/>
          <w:highlight w:val="none"/>
        </w:rPr>
        <w:t>第四章  采购需求</w:t>
      </w:r>
    </w:p>
    <w:p w14:paraId="1BCA5607">
      <w:pPr>
        <w:pageBreakBefore w:val="0"/>
        <w:widowControl w:val="0"/>
        <w:numPr>
          <w:ilvl w:val="0"/>
          <w:numId w:val="0"/>
        </w:numPr>
        <w:kinsoku/>
        <w:wordWrap/>
        <w:overflowPunct/>
        <w:topLinePunct w:val="0"/>
        <w:autoSpaceDE/>
        <w:autoSpaceDN/>
        <w:bidi w:val="0"/>
        <w:adjustRightInd/>
        <w:spacing w:line="360" w:lineRule="auto"/>
        <w:textAlignment w:val="auto"/>
        <w:rPr>
          <w:b/>
          <w:bCs/>
          <w:color w:val="auto"/>
          <w:sz w:val="28"/>
          <w:szCs w:val="36"/>
          <w:highlight w:val="none"/>
        </w:rPr>
      </w:pPr>
      <w:r>
        <w:rPr>
          <w:rFonts w:hint="eastAsia" w:ascii="宋体" w:hAnsi="宋体" w:cs="宋体"/>
          <w:b/>
          <w:bCs/>
          <w:color w:val="auto"/>
          <w:sz w:val="28"/>
          <w:szCs w:val="36"/>
          <w:highlight w:val="none"/>
        </w:rPr>
        <w:t>分包一</w:t>
      </w:r>
    </w:p>
    <w:p w14:paraId="58FB214D">
      <w:pPr>
        <w:pStyle w:val="3"/>
        <w:keepNext w:val="0"/>
        <w:keepLines w:val="0"/>
        <w:pageBreakBefore w:val="0"/>
        <w:widowControl w:val="0"/>
        <w:kinsoku/>
        <w:wordWrap/>
        <w:overflowPunct/>
        <w:topLinePunct w:val="0"/>
        <w:autoSpaceDE/>
        <w:autoSpaceDN/>
        <w:bidi w:val="0"/>
        <w:adjustRightInd/>
        <w:spacing w:before="0" w:after="0" w:line="360" w:lineRule="auto"/>
        <w:ind w:firstLine="480"/>
        <w:jc w:val="left"/>
        <w:textAlignment w:val="auto"/>
        <w:rPr>
          <w:rFonts w:ascii="宋体" w:hAnsi="宋体" w:cs="宋体"/>
          <w:color w:val="auto"/>
          <w:highlight w:val="none"/>
        </w:rPr>
      </w:pPr>
      <w:r>
        <w:rPr>
          <w:rFonts w:hint="eastAsia" w:ascii="宋体" w:hAnsi="宋体" w:cs="宋体"/>
          <w:b w:val="0"/>
          <w:bCs w:val="0"/>
          <w:color w:val="auto"/>
          <w:sz w:val="24"/>
          <w:szCs w:val="24"/>
          <w:highlight w:val="none"/>
        </w:rPr>
        <w:t>一、项目属性：</w:t>
      </w:r>
      <w:r>
        <w:rPr>
          <w:rFonts w:hint="eastAsia" w:ascii="宋体" w:hAnsi="宋体" w:cs="宋体"/>
          <w:b w:val="0"/>
          <w:bCs w:val="0"/>
          <w:color w:val="auto"/>
          <w:sz w:val="24"/>
          <w:szCs w:val="24"/>
          <w:highlight w:val="none"/>
          <w:lang w:val="en-US" w:eastAsia="zh-CN"/>
        </w:rPr>
        <w:t>服务</w:t>
      </w:r>
      <w:r>
        <w:rPr>
          <w:rFonts w:hint="eastAsia" w:ascii="宋体" w:hAnsi="宋体" w:cs="宋体"/>
          <w:b w:val="0"/>
          <w:bCs w:val="0"/>
          <w:color w:val="auto"/>
          <w:sz w:val="24"/>
          <w:szCs w:val="24"/>
          <w:highlight w:val="none"/>
        </w:rPr>
        <w:t>类项目。</w:t>
      </w:r>
    </w:p>
    <w:p w14:paraId="5F40F0A0">
      <w:pPr>
        <w:pStyle w:val="48"/>
        <w:pageBreakBefore w:val="0"/>
        <w:widowControl w:val="0"/>
        <w:kinsoku/>
        <w:wordWrap/>
        <w:overflowPunct/>
        <w:topLinePunct w:val="0"/>
        <w:autoSpaceDE/>
        <w:autoSpaceDN/>
        <w:bidi w:val="0"/>
        <w:adjustRightInd/>
        <w:spacing w:before="0" w:beforeAutospacing="0" w:after="0" w:afterAutospacing="0" w:line="360" w:lineRule="auto"/>
        <w:ind w:firstLine="480" w:firstLineChars="200"/>
        <w:jc w:val="both"/>
        <w:textAlignment w:val="auto"/>
        <w:rPr>
          <w:b/>
          <w:bCs/>
          <w:color w:val="auto"/>
          <w:highlight w:val="none"/>
        </w:rPr>
      </w:pPr>
      <w:r>
        <w:rPr>
          <w:rFonts w:hint="eastAsia"/>
          <w:color w:val="auto"/>
          <w:highlight w:val="none"/>
        </w:rPr>
        <w:t>二、</w:t>
      </w:r>
      <w:r>
        <w:rPr>
          <w:rFonts w:hint="eastAsia"/>
          <w:color w:val="auto"/>
          <w:highlight w:val="none"/>
          <w:lang w:val="en-US" w:eastAsia="zh-CN"/>
        </w:rPr>
        <w:t>服务需求</w:t>
      </w:r>
      <w:r>
        <w:rPr>
          <w:rFonts w:hint="eastAsia"/>
          <w:b/>
          <w:bCs/>
          <w:color w:val="auto"/>
          <w:highlight w:val="none"/>
        </w:rPr>
        <w:t>：</w:t>
      </w:r>
    </w:p>
    <w:p w14:paraId="529E14D2">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满足建设部第157号《城市生活垃圾管理办法》、住建部CJJ/T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07-20</w:t>
      </w:r>
      <w:r>
        <w:rPr>
          <w:rFonts w:hint="eastAsia" w:ascii="宋体" w:hAnsi="宋体" w:cs="宋体"/>
          <w:bCs/>
          <w:color w:val="auto"/>
          <w:sz w:val="24"/>
          <w:szCs w:val="24"/>
          <w:highlight w:val="none"/>
          <w:lang w:val="en-US" w:eastAsia="zh-CN"/>
        </w:rPr>
        <w:t>19</w:t>
      </w:r>
      <w:r>
        <w:rPr>
          <w:rFonts w:hint="eastAsia" w:ascii="宋体" w:hAnsi="宋体" w:cs="宋体"/>
          <w:bCs/>
          <w:color w:val="auto"/>
          <w:sz w:val="24"/>
          <w:szCs w:val="24"/>
          <w:highlight w:val="none"/>
        </w:rPr>
        <w:t>《生活垃圾填埋场无害化评价标准》、CJJ150-2010《生活垃圾渗沥液处理技术规范》、CJJ93-2011《生活垃圾卫生填埋场运行维护技术规程》、省住建厅苏建城[2013]139号《江苏省生活垃圾卫生填埋场运行管理考核评价标准》、环境保护部质检总局GB16889-2008《生活垃圾填埋场污染控制标准》</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GB/50869-2013《生活垃圾卫生填埋处理规范》、CJJ/T213-2016</w:t>
      </w:r>
      <w:r>
        <w:rPr>
          <w:rFonts w:hint="eastAsia" w:ascii="宋体" w:hAnsi="宋体" w:cs="宋体"/>
          <w:bCs/>
          <w:color w:val="auto"/>
          <w:sz w:val="24"/>
          <w:szCs w:val="24"/>
          <w:highlight w:val="none"/>
        </w:rPr>
        <w:t>《生活垃圾填埋</w:t>
      </w:r>
      <w:r>
        <w:rPr>
          <w:rFonts w:hint="eastAsia" w:ascii="宋体" w:hAnsi="宋体" w:cs="宋体"/>
          <w:bCs/>
          <w:color w:val="auto"/>
          <w:sz w:val="24"/>
          <w:szCs w:val="24"/>
          <w:highlight w:val="none"/>
          <w:lang w:eastAsia="zh-CN"/>
        </w:rPr>
        <w:t>场运行监管标准》、</w:t>
      </w:r>
      <w:r>
        <w:rPr>
          <w:rFonts w:hint="eastAsia" w:ascii="宋体" w:hAnsi="宋体" w:cs="宋体"/>
          <w:bCs/>
          <w:color w:val="auto"/>
          <w:sz w:val="24"/>
          <w:szCs w:val="24"/>
          <w:highlight w:val="none"/>
          <w:lang w:val="en-US" w:eastAsia="zh-CN"/>
        </w:rPr>
        <w:t>DB32 T4076-2021《生活垃圾焚烧稳定化飞灰填埋处置技术标准》</w:t>
      </w:r>
      <w:r>
        <w:rPr>
          <w:rFonts w:hint="eastAsia" w:ascii="宋体" w:hAnsi="宋体" w:cs="宋体"/>
          <w:bCs/>
          <w:color w:val="auto"/>
          <w:sz w:val="24"/>
          <w:szCs w:val="24"/>
          <w:highlight w:val="none"/>
        </w:rPr>
        <w:t>。</w:t>
      </w:r>
    </w:p>
    <w:p w14:paraId="1EA31D63">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(1)具有完善的工艺运行、设备管理、环境监测与保护、财务管理、生产安全、计量统计等方面的管理制度并得到有效执行。</w:t>
      </w:r>
    </w:p>
    <w:p w14:paraId="42211B3D">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(2)具有完善的生活垃圾</w:t>
      </w:r>
      <w:r>
        <w:rPr>
          <w:rFonts w:hint="eastAsia" w:ascii="宋体" w:hAnsi="宋体" w:cs="宋体"/>
          <w:bCs/>
          <w:color w:val="auto"/>
          <w:sz w:val="24"/>
          <w:szCs w:val="24"/>
          <w:highlight w:val="none"/>
          <w:lang w:eastAsia="zh-CN"/>
        </w:rPr>
        <w:t>（飞灰）</w:t>
      </w:r>
      <w:r>
        <w:rPr>
          <w:rFonts w:hint="eastAsia" w:ascii="宋体" w:hAnsi="宋体" w:cs="宋体"/>
          <w:bCs/>
          <w:color w:val="auto"/>
          <w:sz w:val="24"/>
          <w:szCs w:val="24"/>
          <w:highlight w:val="none"/>
        </w:rPr>
        <w:t>渗沥液、沼气的利用和处理技术方案，卫生填埋场对不同垃圾进行分区填埋方案、生活垃圾处理的渗沥液、沼气、焚烧烟气、残渣等处理残余物达标处理排放方案。</w:t>
      </w:r>
    </w:p>
    <w:p w14:paraId="574E9FAD">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(3)有控制污染和突发事件的预案。</w:t>
      </w:r>
    </w:p>
    <w:p w14:paraId="34821B24">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(4)按照规定处理处置过程中产生的污水、废气、废渣、粉尘等，防止二次污染。</w:t>
      </w:r>
    </w:p>
    <w:p w14:paraId="513266E0">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(5)按照所在地建设(环境卫生)主管部门规定的时间和要求接收生活垃圾</w:t>
      </w:r>
      <w:r>
        <w:rPr>
          <w:rFonts w:hint="eastAsia" w:ascii="宋体" w:hAnsi="宋体" w:cs="宋体"/>
          <w:bCs/>
          <w:color w:val="auto"/>
          <w:sz w:val="24"/>
          <w:szCs w:val="24"/>
          <w:highlight w:val="none"/>
          <w:lang w:eastAsia="zh-CN"/>
        </w:rPr>
        <w:t>（飞灰）</w:t>
      </w:r>
      <w:r>
        <w:rPr>
          <w:rFonts w:hint="eastAsia" w:ascii="宋体" w:hAnsi="宋体" w:cs="宋体"/>
          <w:bCs/>
          <w:color w:val="auto"/>
          <w:sz w:val="24"/>
          <w:szCs w:val="24"/>
          <w:highlight w:val="none"/>
        </w:rPr>
        <w:t>。</w:t>
      </w:r>
    </w:p>
    <w:p w14:paraId="7F3B3467">
      <w:pPr>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(6)在飞灰填埋</w:t>
      </w:r>
      <w:r>
        <w:rPr>
          <w:rFonts w:hint="eastAsia" w:ascii="宋体" w:hAnsi="宋体" w:cs="宋体"/>
          <w:bCs/>
          <w:color w:val="auto"/>
          <w:sz w:val="24"/>
          <w:szCs w:val="24"/>
          <w:highlight w:val="none"/>
          <w:lang w:eastAsia="zh-CN"/>
        </w:rPr>
        <w:t>中</w:t>
      </w:r>
      <w:r>
        <w:rPr>
          <w:rFonts w:hint="eastAsia" w:ascii="宋体" w:hAnsi="宋体" w:cs="宋体"/>
          <w:bCs/>
          <w:color w:val="auto"/>
          <w:sz w:val="24"/>
          <w:szCs w:val="24"/>
          <w:highlight w:val="none"/>
        </w:rPr>
        <w:t>做好覆膜工作，</w:t>
      </w:r>
      <w:r>
        <w:rPr>
          <w:rFonts w:hint="eastAsia" w:ascii="宋体" w:hAnsi="宋体" w:cs="宋体"/>
          <w:bCs/>
          <w:color w:val="auto"/>
          <w:sz w:val="24"/>
          <w:szCs w:val="24"/>
          <w:highlight w:val="none"/>
          <w:lang w:eastAsia="zh-CN"/>
        </w:rPr>
        <w:t>做到日覆盖、中间覆盖、终覆盖；</w:t>
      </w:r>
      <w:r>
        <w:rPr>
          <w:rFonts w:hint="eastAsia" w:ascii="宋体" w:hAnsi="宋体" w:cs="宋体"/>
          <w:bCs/>
          <w:color w:val="auto"/>
          <w:sz w:val="24"/>
          <w:szCs w:val="24"/>
          <w:highlight w:val="none"/>
        </w:rPr>
        <w:t>确保雨污分流到位，</w:t>
      </w:r>
      <w:r>
        <w:rPr>
          <w:rFonts w:hint="eastAsia" w:ascii="宋体" w:hAnsi="宋体" w:cs="宋体"/>
          <w:bCs/>
          <w:color w:val="auto"/>
          <w:sz w:val="24"/>
          <w:szCs w:val="24"/>
          <w:highlight w:val="none"/>
          <w:lang w:eastAsia="zh-CN"/>
        </w:rPr>
        <w:t>负责按标准处理</w:t>
      </w:r>
      <w:r>
        <w:rPr>
          <w:rFonts w:hint="eastAsia" w:ascii="宋体" w:hAnsi="宋体" w:cs="宋体"/>
          <w:bCs/>
          <w:color w:val="auto"/>
          <w:sz w:val="24"/>
          <w:szCs w:val="24"/>
          <w:highlight w:val="none"/>
        </w:rPr>
        <w:t>飞灰渗滤液</w:t>
      </w:r>
      <w:r>
        <w:rPr>
          <w:rFonts w:hint="eastAsia" w:ascii="宋体" w:hAnsi="宋体" w:cs="宋体"/>
          <w:bCs/>
          <w:color w:val="auto"/>
          <w:sz w:val="24"/>
          <w:szCs w:val="24"/>
          <w:highlight w:val="none"/>
          <w:lang w:eastAsia="zh-CN"/>
        </w:rPr>
        <w:t>，直至达标排放（水为厂区自用）</w:t>
      </w:r>
      <w:r>
        <w:rPr>
          <w:rFonts w:hint="eastAsia" w:ascii="宋体" w:hAnsi="宋体" w:cs="宋体"/>
          <w:bCs/>
          <w:color w:val="auto"/>
          <w:sz w:val="24"/>
          <w:szCs w:val="24"/>
          <w:highlight w:val="none"/>
        </w:rPr>
        <w:t>。</w:t>
      </w:r>
    </w:p>
    <w:p w14:paraId="04295D28">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(7)根据相关法律法规及文件要求做好环保工作，在项目运行服务过程中受到环保部门处罚或引起上访事件所造成的罚款、处罚及相关费用由中标人承担，有关环保责任(含民事、刑事责任</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rPr>
        <w:t>均由中标人承担。</w:t>
      </w:r>
    </w:p>
    <w:p w14:paraId="1762087E">
      <w:pPr>
        <w:pStyle w:val="31"/>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工作</w:t>
      </w:r>
      <w:r>
        <w:rPr>
          <w:rFonts w:hint="eastAsia" w:ascii="宋体" w:hAnsi="宋体" w:cs="宋体"/>
          <w:bCs/>
          <w:color w:val="auto"/>
          <w:sz w:val="24"/>
          <w:szCs w:val="24"/>
          <w:highlight w:val="none"/>
          <w:lang w:val="en-US" w:eastAsia="zh-CN"/>
        </w:rPr>
        <w:t>人员</w:t>
      </w:r>
      <w:r>
        <w:rPr>
          <w:rFonts w:hint="eastAsia" w:hAnsi="宋体" w:cs="宋体"/>
          <w:bCs/>
          <w:color w:val="auto"/>
          <w:sz w:val="24"/>
          <w:szCs w:val="24"/>
          <w:highlight w:val="none"/>
          <w:lang w:val="en-US" w:eastAsia="zh-CN"/>
        </w:rPr>
        <w:t>需求</w:t>
      </w:r>
      <w:r>
        <w:rPr>
          <w:rFonts w:hint="eastAsia"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部分岗位可以交叉兼职投标人自行安排，人员岗位须包含项目负责人、技术负责人、门卫、保洁、焊膜工、铺膜工、吊车驾驶员、挖掘机驾驶员、操作工、资料员、化验员、会计</w:t>
      </w:r>
      <w:r>
        <w:rPr>
          <w:rFonts w:hint="eastAsia" w:hAnsi="宋体" w:cs="宋体"/>
          <w:b w:val="0"/>
          <w:bCs w:val="0"/>
          <w:color w:val="auto"/>
          <w:sz w:val="24"/>
          <w:szCs w:val="24"/>
          <w:highlight w:val="none"/>
          <w:lang w:val="en-US" w:eastAsia="zh-CN"/>
        </w:rPr>
        <w:t>、安全员（可兼职）</w:t>
      </w:r>
      <w:r>
        <w:rPr>
          <w:rFonts w:hint="eastAsia" w:ascii="宋体" w:hAnsi="宋体" w:eastAsia="宋体" w:cs="宋体"/>
          <w:b w:val="0"/>
          <w:bCs w:val="0"/>
          <w:color w:val="auto"/>
          <w:sz w:val="24"/>
          <w:szCs w:val="24"/>
          <w:highlight w:val="none"/>
          <w:lang w:val="en-US" w:eastAsia="zh-CN"/>
        </w:rPr>
        <w:t>等。</w:t>
      </w:r>
    </w:p>
    <w:p w14:paraId="38F64CB2">
      <w:pPr>
        <w:pStyle w:val="31"/>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（9）机械设备使用费，投保人自主报价，其中包含1台吊车及1台挖掘机</w:t>
      </w:r>
      <w:r>
        <w:rPr>
          <w:rFonts w:hint="eastAsia" w:hAnsi="宋体" w:cs="宋体"/>
          <w:b w:val="0"/>
          <w:bCs w:val="0"/>
          <w:color w:val="auto"/>
          <w:sz w:val="24"/>
          <w:szCs w:val="24"/>
          <w:highlight w:val="none"/>
          <w:lang w:val="en-US" w:eastAsia="zh-CN"/>
        </w:rPr>
        <w:t>一</w:t>
      </w:r>
      <w:r>
        <w:rPr>
          <w:rFonts w:hint="eastAsia" w:ascii="宋体" w:hAnsi="宋体" w:eastAsia="宋体" w:cs="宋体"/>
          <w:b w:val="0"/>
          <w:bCs w:val="0"/>
          <w:color w:val="auto"/>
          <w:sz w:val="24"/>
          <w:szCs w:val="24"/>
          <w:highlight w:val="none"/>
          <w:lang w:val="en-US" w:eastAsia="zh-CN"/>
        </w:rPr>
        <w:t>年的使用费用。投标人自行踏勘现场所提供的吊车及挖掘机均须满足现场需求。</w:t>
      </w:r>
    </w:p>
    <w:p w14:paraId="1DA74D48">
      <w:pPr>
        <w:pStyle w:val="31"/>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（10）安全费用及视频监控维护费，满足各项安全法律、法规、条例及各省市有关文件的规定。</w:t>
      </w:r>
    </w:p>
    <w:p w14:paraId="4E7FB474">
      <w:pPr>
        <w:pStyle w:val="31"/>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（11）场内绿化养护。</w:t>
      </w:r>
    </w:p>
    <w:p w14:paraId="0B191696">
      <w:pPr>
        <w:pStyle w:val="48"/>
        <w:pageBreakBefore w:val="0"/>
        <w:widowControl w:val="0"/>
        <w:kinsoku/>
        <w:wordWrap/>
        <w:overflowPunct/>
        <w:topLinePunct w:val="0"/>
        <w:autoSpaceDE/>
        <w:autoSpaceDN/>
        <w:bidi w:val="0"/>
        <w:adjustRightInd/>
        <w:spacing w:before="0" w:beforeAutospacing="0" w:after="0" w:afterAutospacing="0" w:line="360" w:lineRule="auto"/>
        <w:ind w:firstLine="482" w:firstLineChars="200"/>
        <w:jc w:val="both"/>
        <w:textAlignment w:val="auto"/>
        <w:rPr>
          <w:b/>
          <w:bCs/>
          <w:color w:val="auto"/>
          <w:highlight w:val="none"/>
        </w:rPr>
      </w:pPr>
      <w:r>
        <w:rPr>
          <w:rFonts w:hint="eastAsia"/>
          <w:b/>
          <w:bCs/>
          <w:color w:val="auto"/>
          <w:highlight w:val="none"/>
        </w:rPr>
        <w:t>四、商务要求：</w:t>
      </w:r>
    </w:p>
    <w:p w14:paraId="040AA2B2">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bCs/>
          <w:color w:val="auto"/>
          <w:sz w:val="24"/>
          <w:szCs w:val="24"/>
          <w:highlight w:val="none"/>
          <w:u w:val="none"/>
          <w:lang w:eastAsia="zh-CN"/>
        </w:rPr>
        <w:t>服务期要求：一年</w:t>
      </w:r>
      <w:r>
        <w:rPr>
          <w:rFonts w:hint="eastAsia" w:ascii="宋体" w:hAnsi="宋体" w:eastAsia="宋体" w:cs="宋体"/>
          <w:bCs/>
          <w:color w:val="auto"/>
          <w:sz w:val="24"/>
          <w:szCs w:val="24"/>
          <w:highlight w:val="none"/>
          <w:u w:val="none"/>
        </w:rPr>
        <w:t>。（合同期满后，甲方对乙方</w:t>
      </w:r>
      <w:r>
        <w:rPr>
          <w:rFonts w:hint="eastAsia" w:ascii="宋体" w:hAnsi="宋体" w:cs="宋体"/>
          <w:bCs/>
          <w:color w:val="auto"/>
          <w:sz w:val="24"/>
          <w:szCs w:val="24"/>
          <w:highlight w:val="none"/>
          <w:u w:val="none"/>
          <w:lang w:eastAsia="zh-CN"/>
        </w:rPr>
        <w:t>考核达到</w:t>
      </w:r>
      <w:r>
        <w:rPr>
          <w:rFonts w:hint="eastAsia" w:ascii="宋体" w:hAnsi="宋体" w:cs="宋体"/>
          <w:bCs/>
          <w:color w:val="auto"/>
          <w:sz w:val="24"/>
          <w:szCs w:val="24"/>
          <w:highlight w:val="none"/>
          <w:u w:val="none"/>
          <w:lang w:val="en-US" w:eastAsia="zh-CN"/>
        </w:rPr>
        <w:t>90分及以上</w:t>
      </w:r>
      <w:r>
        <w:rPr>
          <w:rFonts w:hint="eastAsia" w:ascii="宋体" w:hAnsi="宋体" w:eastAsia="宋体" w:cs="宋体"/>
          <w:bCs/>
          <w:color w:val="auto"/>
          <w:sz w:val="24"/>
          <w:szCs w:val="24"/>
          <w:highlight w:val="none"/>
          <w:u w:val="none"/>
        </w:rPr>
        <w:t>，经双方协商同意后，可以续签服务合同，续签不超过</w:t>
      </w:r>
      <w:r>
        <w:rPr>
          <w:rFonts w:hint="eastAsia" w:ascii="宋体" w:hAnsi="宋体" w:cs="宋体"/>
          <w:bCs/>
          <w:color w:val="auto"/>
          <w:sz w:val="24"/>
          <w:szCs w:val="24"/>
          <w:highlight w:val="none"/>
          <w:u w:val="none"/>
          <w:lang w:eastAsia="zh-CN"/>
        </w:rPr>
        <w:t>两</w:t>
      </w:r>
      <w:r>
        <w:rPr>
          <w:rFonts w:hint="eastAsia" w:ascii="宋体" w:hAnsi="宋体" w:eastAsia="宋体" w:cs="宋体"/>
          <w:bCs/>
          <w:color w:val="auto"/>
          <w:sz w:val="24"/>
          <w:szCs w:val="24"/>
          <w:highlight w:val="none"/>
          <w:u w:val="none"/>
        </w:rPr>
        <w:t>年）。</w:t>
      </w:r>
    </w:p>
    <w:p w14:paraId="63FA1228">
      <w:pPr>
        <w:pStyle w:val="48"/>
        <w:pageBreakBefore w:val="0"/>
        <w:widowControl w:val="0"/>
        <w:kinsoku/>
        <w:wordWrap/>
        <w:overflowPunct/>
        <w:topLinePunct w:val="0"/>
        <w:autoSpaceDE/>
        <w:autoSpaceDN/>
        <w:bidi w:val="0"/>
        <w:adjustRightInd/>
        <w:spacing w:before="0" w:beforeAutospacing="0" w:after="0" w:afterAutospacing="0" w:line="360" w:lineRule="auto"/>
        <w:ind w:firstLine="480"/>
        <w:jc w:val="both"/>
        <w:textAlignment w:val="auto"/>
        <w:rPr>
          <w:rFonts w:hint="eastAsia"/>
          <w:color w:val="auto"/>
          <w:highlight w:val="none"/>
        </w:rPr>
      </w:pPr>
      <w:r>
        <w:rPr>
          <w:rFonts w:hint="eastAsia" w:ascii="宋体" w:hAnsi="宋体" w:eastAsia="宋体" w:cs="宋体"/>
          <w:color w:val="auto"/>
          <w:highlight w:val="none"/>
        </w:rPr>
        <w:t>2、</w:t>
      </w:r>
      <w:r>
        <w:rPr>
          <w:rFonts w:hint="eastAsia"/>
          <w:color w:val="auto"/>
          <w:highlight w:val="none"/>
        </w:rPr>
        <w:t>付款方式：</w:t>
      </w:r>
    </w:p>
    <w:p w14:paraId="247D0B17">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合同签订后，支付合同总价的30%</w:t>
      </w:r>
      <w:r>
        <w:rPr>
          <w:rFonts w:hint="eastAsia" w:ascii="宋体" w:hAnsi="宋体" w:cs="宋体"/>
          <w:color w:val="auto"/>
          <w:sz w:val="24"/>
          <w:szCs w:val="24"/>
          <w:highlight w:val="none"/>
          <w:lang w:val="en-US" w:eastAsia="zh-CN"/>
        </w:rPr>
        <w:t>作为</w:t>
      </w:r>
      <w:r>
        <w:rPr>
          <w:rFonts w:hint="eastAsia" w:ascii="宋体" w:hAnsi="宋体" w:eastAsia="宋体" w:cs="宋体"/>
          <w:color w:val="auto"/>
          <w:sz w:val="24"/>
          <w:szCs w:val="24"/>
          <w:highlight w:val="none"/>
        </w:rPr>
        <w:t>预付款。</w:t>
      </w:r>
    </w:p>
    <w:p w14:paraId="1C74770B">
      <w:pPr>
        <w:pStyle w:val="48"/>
        <w:pageBreakBefore w:val="0"/>
        <w:widowControl w:val="0"/>
        <w:kinsoku/>
        <w:wordWrap/>
        <w:overflowPunct/>
        <w:topLinePunct w:val="0"/>
        <w:autoSpaceDE/>
        <w:autoSpaceDN/>
        <w:bidi w:val="0"/>
        <w:adjustRightInd/>
        <w:spacing w:before="0" w:beforeAutospacing="0" w:after="0" w:afterAutospacing="0" w:line="360" w:lineRule="auto"/>
        <w:ind w:firstLine="480"/>
        <w:jc w:val="both"/>
        <w:textAlignment w:val="auto"/>
        <w:rPr>
          <w:rFonts w:hint="eastAsia" w:ascii="宋体" w:hAnsi="宋体" w:eastAsia="宋体" w:cs="宋体"/>
          <w:b w:val="0"/>
          <w:bCs w:val="0"/>
          <w:color w:val="auto"/>
          <w:highlight w:val="none"/>
        </w:rPr>
      </w:pPr>
      <w:r>
        <w:rPr>
          <w:rFonts w:hint="eastAsia" w:cs="宋体"/>
          <w:b w:val="0"/>
          <w:bCs w:val="0"/>
          <w:color w:val="auto"/>
          <w:highlight w:val="none"/>
          <w:lang w:val="en-US" w:eastAsia="zh-CN"/>
        </w:rPr>
        <w:t>本项目按季度支付</w:t>
      </w:r>
      <w:r>
        <w:rPr>
          <w:rFonts w:hint="eastAsia" w:ascii="宋体" w:hAnsi="宋体" w:eastAsia="宋体" w:cs="宋体"/>
          <w:b w:val="0"/>
          <w:bCs w:val="0"/>
          <w:color w:val="auto"/>
          <w:highlight w:val="none"/>
        </w:rPr>
        <w:t>（第一次须扣除预付款30%，不足部分在下次支付时继续扣除），乙方按季度</w:t>
      </w:r>
      <w:r>
        <w:rPr>
          <w:rFonts w:hint="eastAsia" w:ascii="宋体" w:hAnsi="宋体" w:eastAsia="宋体" w:cs="宋体"/>
          <w:b w:val="0"/>
          <w:bCs w:val="0"/>
          <w:color w:val="auto"/>
          <w:highlight w:val="none"/>
          <w:lang w:val="en-US" w:eastAsia="zh-CN"/>
        </w:rPr>
        <w:t>开具</w:t>
      </w:r>
      <w:r>
        <w:rPr>
          <w:rFonts w:hint="eastAsia" w:ascii="宋体" w:hAnsi="宋体" w:eastAsia="宋体" w:cs="宋体"/>
          <w:b w:val="0"/>
          <w:bCs w:val="0"/>
          <w:color w:val="auto"/>
          <w:highlight w:val="none"/>
        </w:rPr>
        <w:t>合法票据，根据考核结果在扣除考核罚款后按实际金额结算上季度服务费。</w:t>
      </w:r>
    </w:p>
    <w:p w14:paraId="4942E365">
      <w:pPr>
        <w:pStyle w:val="48"/>
        <w:pageBreakBefore w:val="0"/>
        <w:widowControl w:val="0"/>
        <w:numPr>
          <w:ilvl w:val="0"/>
          <w:numId w:val="3"/>
        </w:numPr>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color w:val="auto"/>
          <w:highlight w:val="none"/>
          <w:lang w:val="en-US" w:eastAsia="zh-CN"/>
        </w:rPr>
      </w:pPr>
      <w:r>
        <w:rPr>
          <w:rFonts w:hint="eastAsia"/>
          <w:color w:val="auto"/>
          <w:highlight w:val="none"/>
          <w:lang w:val="en-US" w:eastAsia="zh-CN"/>
        </w:rPr>
        <w:t>服务期执行日期：合同签订后执行。</w:t>
      </w:r>
    </w:p>
    <w:p w14:paraId="1939B814">
      <w:pPr>
        <w:pStyle w:val="48"/>
        <w:pageBreakBefore w:val="0"/>
        <w:widowControl w:val="0"/>
        <w:numPr>
          <w:ilvl w:val="0"/>
          <w:numId w:val="4"/>
        </w:numPr>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color w:val="auto"/>
          <w:highlight w:val="none"/>
          <w:lang w:val="en-US" w:eastAsia="zh-CN"/>
        </w:rPr>
      </w:pPr>
      <w:r>
        <w:rPr>
          <w:rFonts w:hint="eastAsia"/>
          <w:color w:val="auto"/>
          <w:highlight w:val="none"/>
          <w:lang w:val="en-US" w:eastAsia="zh-CN"/>
        </w:rPr>
        <w:t>验收要求参照苏财规〔2024〕7号的要求执行。</w:t>
      </w:r>
    </w:p>
    <w:p w14:paraId="4272CA82">
      <w:pPr>
        <w:pStyle w:val="48"/>
        <w:pageBreakBefore w:val="0"/>
        <w:widowControl w:val="0"/>
        <w:kinsoku/>
        <w:wordWrap/>
        <w:overflowPunct/>
        <w:topLinePunct w:val="0"/>
        <w:autoSpaceDE/>
        <w:autoSpaceDN/>
        <w:bidi w:val="0"/>
        <w:adjustRightInd/>
        <w:spacing w:before="0" w:beforeAutospacing="0" w:after="0" w:afterAutospacing="0" w:line="360" w:lineRule="auto"/>
        <w:ind w:firstLine="482"/>
        <w:jc w:val="both"/>
        <w:textAlignment w:val="auto"/>
        <w:rPr>
          <w:color w:val="auto"/>
          <w:highlight w:val="none"/>
        </w:rPr>
      </w:pPr>
      <w:r>
        <w:rPr>
          <w:rFonts w:hint="eastAsia"/>
          <w:b/>
          <w:bCs/>
          <w:color w:val="auto"/>
          <w:highlight w:val="none"/>
        </w:rPr>
        <w:t>五、其他内容</w:t>
      </w:r>
    </w:p>
    <w:p w14:paraId="7A8EDE18">
      <w:pPr>
        <w:pStyle w:val="48"/>
        <w:pageBreakBefore w:val="0"/>
        <w:widowControl w:val="0"/>
        <w:kinsoku/>
        <w:wordWrap/>
        <w:overflowPunct/>
        <w:topLinePunct w:val="0"/>
        <w:autoSpaceDE/>
        <w:autoSpaceDN/>
        <w:bidi w:val="0"/>
        <w:adjustRightInd/>
        <w:spacing w:before="0" w:beforeAutospacing="0" w:after="0" w:afterAutospacing="0" w:line="360" w:lineRule="auto"/>
        <w:ind w:firstLine="480"/>
        <w:jc w:val="both"/>
        <w:textAlignment w:val="auto"/>
        <w:rPr>
          <w:color w:val="auto"/>
          <w:highlight w:val="none"/>
        </w:rPr>
      </w:pPr>
      <w:r>
        <w:rPr>
          <w:rFonts w:hint="eastAsia"/>
          <w:color w:val="auto"/>
          <w:highlight w:val="none"/>
        </w:rPr>
        <w:t>1、供应商应当优先采购节能、环境标志产品，供应商需提供实施方案和售后服务方案。</w:t>
      </w:r>
    </w:p>
    <w:p w14:paraId="02745165">
      <w:pPr>
        <w:pStyle w:val="48"/>
        <w:pageBreakBefore w:val="0"/>
        <w:widowControl w:val="0"/>
        <w:kinsoku/>
        <w:wordWrap/>
        <w:overflowPunct/>
        <w:topLinePunct w:val="0"/>
        <w:autoSpaceDE/>
        <w:autoSpaceDN/>
        <w:bidi w:val="0"/>
        <w:adjustRightInd/>
        <w:spacing w:before="0" w:beforeAutospacing="0" w:after="0" w:afterAutospacing="0" w:line="360" w:lineRule="auto"/>
        <w:ind w:firstLine="480"/>
        <w:jc w:val="both"/>
        <w:textAlignment w:val="auto"/>
        <w:rPr>
          <w:color w:val="auto"/>
          <w:highlight w:val="none"/>
        </w:rPr>
      </w:pPr>
      <w:r>
        <w:rPr>
          <w:rFonts w:hint="eastAsia"/>
          <w:color w:val="auto"/>
          <w:highlight w:val="none"/>
        </w:rPr>
        <w:t>2、投标产品制造商需从质量保证、环境影响、安全生产等方面加强生产经营全过程管控的能力，不断加强品质控制、环境保护、安全生产等方面的规范性。</w:t>
      </w:r>
    </w:p>
    <w:p w14:paraId="4EDC1F2D">
      <w:pPr>
        <w:pStyle w:val="48"/>
        <w:pageBreakBefore w:val="0"/>
        <w:widowControl w:val="0"/>
        <w:kinsoku/>
        <w:wordWrap/>
        <w:overflowPunct/>
        <w:topLinePunct w:val="0"/>
        <w:autoSpaceDE/>
        <w:autoSpaceDN/>
        <w:bidi w:val="0"/>
        <w:adjustRightInd/>
        <w:spacing w:before="0" w:beforeAutospacing="0" w:after="0" w:afterAutospacing="0" w:line="360" w:lineRule="auto"/>
        <w:ind w:firstLine="480"/>
        <w:jc w:val="both"/>
        <w:textAlignment w:val="auto"/>
        <w:rPr>
          <w:color w:val="auto"/>
          <w:highlight w:val="none"/>
        </w:rPr>
      </w:pPr>
      <w:r>
        <w:rPr>
          <w:rFonts w:hint="eastAsia"/>
          <w:color w:val="auto"/>
          <w:highlight w:val="none"/>
        </w:rPr>
        <w:t>3、</w:t>
      </w:r>
      <w:r>
        <w:rPr>
          <w:rFonts w:hint="eastAsia" w:ascii="宋体" w:hAnsi="宋体" w:eastAsia="宋体" w:cs="宋体"/>
          <w:b/>
          <w:bCs/>
          <w:color w:val="auto"/>
          <w:sz w:val="24"/>
          <w:szCs w:val="24"/>
          <w:highlight w:val="none"/>
          <w:shd w:val="clear" w:color="auto" w:fill="FFFFFF"/>
        </w:rPr>
        <w:t>采购标的的所属行业为</w:t>
      </w:r>
      <w:r>
        <w:rPr>
          <w:rFonts w:hint="eastAsia" w:ascii="宋体" w:hAnsi="宋体" w:cs="宋体"/>
          <w:b/>
          <w:bCs/>
          <w:color w:val="auto"/>
          <w:sz w:val="23"/>
          <w:szCs w:val="23"/>
          <w:highlight w:val="none"/>
          <w:u w:val="single"/>
          <w:lang w:val="en-US" w:eastAsia="zh-CN"/>
        </w:rPr>
        <w:t>其他未列明</w:t>
      </w:r>
      <w:r>
        <w:rPr>
          <w:rFonts w:hint="eastAsia" w:ascii="宋体" w:hAnsi="宋体" w:cs="宋体"/>
          <w:b/>
          <w:bCs/>
          <w:color w:val="auto"/>
          <w:sz w:val="23"/>
          <w:szCs w:val="23"/>
          <w:highlight w:val="none"/>
          <w:u w:val="single"/>
          <w:lang w:eastAsia="zh-CN"/>
        </w:rPr>
        <w:t>行业</w:t>
      </w:r>
      <w:r>
        <w:rPr>
          <w:rFonts w:hint="eastAsia" w:ascii="宋体" w:hAnsi="宋体" w:eastAsia="宋体" w:cs="宋体"/>
          <w:b/>
          <w:bCs/>
          <w:color w:val="auto"/>
          <w:sz w:val="24"/>
          <w:szCs w:val="24"/>
          <w:highlight w:val="none"/>
          <w:shd w:val="clear" w:color="auto" w:fill="FFFFFF"/>
        </w:rPr>
        <w:t>，根据《工业和信息化部、国家统计局、国家发展和改革委员会、财政部关于印发中小企业划型标准规定的通知》（工信部联企业[2011]300号）规定的划分标准填写</w:t>
      </w:r>
      <w:r>
        <w:rPr>
          <w:rFonts w:hint="eastAsia"/>
          <w:color w:val="auto"/>
          <w:highlight w:val="none"/>
        </w:rPr>
        <w:t>。</w:t>
      </w:r>
    </w:p>
    <w:p w14:paraId="1F8C1847">
      <w:pPr>
        <w:pStyle w:val="25"/>
        <w:ind w:left="0" w:leftChars="0"/>
        <w:rPr>
          <w:color w:val="auto"/>
          <w:highlight w:val="none"/>
        </w:rPr>
      </w:pPr>
    </w:p>
    <w:p w14:paraId="4BF6BCE8">
      <w:pPr>
        <w:keepNext w:val="0"/>
        <w:keepLines w:val="0"/>
        <w:pageBreakBefore/>
        <w:widowControl w:val="0"/>
        <w:kinsoku/>
        <w:wordWrap/>
        <w:overflowPunct/>
        <w:topLinePunct w:val="0"/>
        <w:autoSpaceDE/>
        <w:autoSpaceDN/>
        <w:bidi w:val="0"/>
        <w:adjustRightInd/>
        <w:snapToGrid/>
        <w:textAlignment w:val="auto"/>
        <w:rPr>
          <w:b/>
          <w:bCs/>
          <w:color w:val="auto"/>
          <w:sz w:val="28"/>
          <w:szCs w:val="36"/>
          <w:highlight w:val="none"/>
        </w:rPr>
      </w:pPr>
      <w:r>
        <w:rPr>
          <w:rFonts w:hint="eastAsia"/>
          <w:b/>
          <w:bCs/>
          <w:color w:val="auto"/>
          <w:sz w:val="28"/>
          <w:szCs w:val="36"/>
          <w:highlight w:val="none"/>
        </w:rPr>
        <w:t>分包二</w:t>
      </w:r>
    </w:p>
    <w:p w14:paraId="21B95B2A">
      <w:pPr>
        <w:pStyle w:val="3"/>
        <w:keepNext w:val="0"/>
        <w:keepLines w:val="0"/>
        <w:spacing w:before="0" w:after="0" w:line="400" w:lineRule="exact"/>
        <w:ind w:firstLine="480"/>
        <w:jc w:val="left"/>
        <w:rPr>
          <w:rFonts w:ascii="宋体" w:hAnsi="宋体" w:cs="宋体"/>
          <w:color w:val="auto"/>
          <w:highlight w:val="none"/>
        </w:rPr>
      </w:pPr>
      <w:r>
        <w:rPr>
          <w:rFonts w:hint="eastAsia" w:ascii="宋体" w:hAnsi="宋体" w:cs="宋体"/>
          <w:b w:val="0"/>
          <w:bCs w:val="0"/>
          <w:color w:val="auto"/>
          <w:sz w:val="24"/>
          <w:szCs w:val="24"/>
          <w:highlight w:val="none"/>
        </w:rPr>
        <w:t>一、项目属性：</w:t>
      </w:r>
      <w:r>
        <w:rPr>
          <w:rFonts w:hint="eastAsia" w:ascii="宋体" w:hAnsi="宋体" w:cs="宋体"/>
          <w:b w:val="0"/>
          <w:bCs w:val="0"/>
          <w:color w:val="auto"/>
          <w:sz w:val="24"/>
          <w:szCs w:val="24"/>
          <w:highlight w:val="none"/>
          <w:lang w:val="en-US" w:eastAsia="zh-CN"/>
        </w:rPr>
        <w:t>服务</w:t>
      </w:r>
      <w:r>
        <w:rPr>
          <w:rFonts w:hint="eastAsia" w:ascii="宋体" w:hAnsi="宋体" w:cs="宋体"/>
          <w:b w:val="0"/>
          <w:bCs w:val="0"/>
          <w:color w:val="auto"/>
          <w:sz w:val="24"/>
          <w:szCs w:val="24"/>
          <w:highlight w:val="none"/>
        </w:rPr>
        <w:t>类项目。</w:t>
      </w:r>
    </w:p>
    <w:p w14:paraId="3AE84435">
      <w:pPr>
        <w:pStyle w:val="48"/>
        <w:widowControl w:val="0"/>
        <w:spacing w:before="0" w:beforeAutospacing="0" w:after="0" w:afterAutospacing="0" w:line="400" w:lineRule="exact"/>
        <w:ind w:firstLine="480" w:firstLineChars="200"/>
        <w:jc w:val="both"/>
        <w:rPr>
          <w:b/>
          <w:bCs/>
          <w:color w:val="auto"/>
          <w:highlight w:val="none"/>
        </w:rPr>
      </w:pPr>
      <w:r>
        <w:rPr>
          <w:rFonts w:hint="eastAsia"/>
          <w:color w:val="auto"/>
          <w:highlight w:val="none"/>
        </w:rPr>
        <w:t>二、采购清单</w:t>
      </w:r>
      <w:r>
        <w:rPr>
          <w:rFonts w:hint="eastAsia"/>
          <w:bCs/>
          <w:color w:val="auto"/>
          <w:highlight w:val="none"/>
        </w:rPr>
        <w:t>（具体要求详见技术参数）</w:t>
      </w:r>
      <w:r>
        <w:rPr>
          <w:rFonts w:hint="eastAsia"/>
          <w:b/>
          <w:bCs/>
          <w:color w:val="auto"/>
          <w:highlight w:val="none"/>
        </w:rPr>
        <w:t>：</w:t>
      </w:r>
    </w:p>
    <w:p w14:paraId="6E439C9A">
      <w:pPr>
        <w:pStyle w:val="48"/>
        <w:widowControl w:val="0"/>
        <w:spacing w:before="0" w:beforeAutospacing="0" w:after="0" w:afterAutospacing="0" w:line="400" w:lineRule="exact"/>
        <w:ind w:firstLine="482" w:firstLineChars="200"/>
        <w:jc w:val="both"/>
        <w:rPr>
          <w:b/>
          <w:bCs/>
          <w:color w:val="auto"/>
          <w:highlight w:val="none"/>
        </w:rPr>
      </w:pPr>
      <w:r>
        <w:rPr>
          <w:rFonts w:hint="eastAsia"/>
          <w:b/>
          <w:bCs/>
          <w:color w:val="auto"/>
          <w:highlight w:val="none"/>
        </w:rPr>
        <w:t>三、技术参数：</w:t>
      </w:r>
    </w:p>
    <w:tbl>
      <w:tblPr>
        <w:tblStyle w:val="54"/>
        <w:tblpPr w:leftFromText="180" w:rightFromText="180" w:vertAnchor="text" w:horzAnchor="page" w:tblpX="1592" w:tblpY="184"/>
        <w:tblOverlap w:val="never"/>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994"/>
        <w:gridCol w:w="2416"/>
        <w:gridCol w:w="1447"/>
        <w:gridCol w:w="1349"/>
        <w:gridCol w:w="2072"/>
      </w:tblGrid>
      <w:tr w14:paraId="4708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35" w:type="pct"/>
            <w:vAlign w:val="center"/>
          </w:tcPr>
          <w:p w14:paraId="297AE956">
            <w:pPr>
              <w:pStyle w:val="48"/>
              <w:spacing w:beforeAutospacing="0" w:afterAutospacing="0"/>
              <w:jc w:val="center"/>
              <w:rPr>
                <w:b/>
                <w:bCs/>
                <w:color w:val="auto"/>
                <w:szCs w:val="28"/>
                <w:highlight w:val="none"/>
              </w:rPr>
            </w:pPr>
            <w:r>
              <w:rPr>
                <w:rFonts w:hint="eastAsia"/>
                <w:b/>
                <w:bCs/>
                <w:color w:val="auto"/>
                <w:szCs w:val="28"/>
                <w:highlight w:val="none"/>
              </w:rPr>
              <w:t>序号</w:t>
            </w:r>
          </w:p>
        </w:tc>
        <w:tc>
          <w:tcPr>
            <w:tcW w:w="1002" w:type="pct"/>
            <w:vAlign w:val="center"/>
          </w:tcPr>
          <w:p w14:paraId="10F2E79C">
            <w:pPr>
              <w:pStyle w:val="48"/>
              <w:spacing w:beforeAutospacing="0" w:afterAutospacing="0"/>
              <w:jc w:val="center"/>
              <w:rPr>
                <w:b/>
                <w:bCs/>
                <w:color w:val="auto"/>
                <w:szCs w:val="28"/>
                <w:highlight w:val="none"/>
              </w:rPr>
            </w:pPr>
            <w:r>
              <w:rPr>
                <w:rFonts w:hint="eastAsia"/>
                <w:b/>
                <w:bCs/>
                <w:color w:val="auto"/>
                <w:szCs w:val="28"/>
                <w:highlight w:val="none"/>
              </w:rPr>
              <w:t>名称</w:t>
            </w:r>
          </w:p>
        </w:tc>
        <w:tc>
          <w:tcPr>
            <w:tcW w:w="1214" w:type="pct"/>
            <w:vAlign w:val="center"/>
          </w:tcPr>
          <w:p w14:paraId="38E19C9D">
            <w:pPr>
              <w:pStyle w:val="48"/>
              <w:spacing w:beforeAutospacing="0" w:afterAutospacing="0"/>
              <w:jc w:val="center"/>
              <w:rPr>
                <w:rFonts w:hint="eastAsia" w:eastAsia="宋体"/>
                <w:b/>
                <w:bCs/>
                <w:color w:val="auto"/>
                <w:szCs w:val="28"/>
                <w:highlight w:val="none"/>
                <w:lang w:eastAsia="zh-CN"/>
              </w:rPr>
            </w:pPr>
            <w:r>
              <w:rPr>
                <w:rFonts w:hint="eastAsia"/>
                <w:b/>
                <w:bCs/>
                <w:color w:val="auto"/>
                <w:szCs w:val="28"/>
                <w:highlight w:val="none"/>
                <w:lang w:val="en-US" w:eastAsia="zh-CN"/>
              </w:rPr>
              <w:t>规格</w:t>
            </w:r>
          </w:p>
        </w:tc>
        <w:tc>
          <w:tcPr>
            <w:tcW w:w="727" w:type="pct"/>
          </w:tcPr>
          <w:p w14:paraId="57699830">
            <w:pPr>
              <w:pStyle w:val="48"/>
              <w:spacing w:beforeAutospacing="0" w:afterAutospacing="0"/>
              <w:jc w:val="center"/>
              <w:rPr>
                <w:b/>
                <w:bCs/>
                <w:color w:val="auto"/>
                <w:szCs w:val="28"/>
                <w:highlight w:val="none"/>
              </w:rPr>
            </w:pPr>
            <w:r>
              <w:rPr>
                <w:rFonts w:hint="eastAsia"/>
                <w:b/>
                <w:bCs/>
                <w:color w:val="auto"/>
                <w:szCs w:val="28"/>
                <w:highlight w:val="none"/>
              </w:rPr>
              <w:t>控制单价</w:t>
            </w:r>
            <w:r>
              <w:rPr>
                <w:rFonts w:hint="eastAsia"/>
                <w:b/>
                <w:bCs/>
                <w:color w:val="auto"/>
                <w:szCs w:val="28"/>
                <w:highlight w:val="none"/>
                <w:lang w:val="en-US" w:eastAsia="zh-CN"/>
              </w:rPr>
              <w:t xml:space="preserve">     </w:t>
            </w:r>
            <w:r>
              <w:rPr>
                <w:rFonts w:hint="eastAsia"/>
                <w:b/>
                <w:bCs/>
                <w:color w:val="auto"/>
                <w:szCs w:val="28"/>
                <w:highlight w:val="none"/>
              </w:rPr>
              <w:t>（元</w:t>
            </w:r>
            <w:r>
              <w:rPr>
                <w:rFonts w:hint="eastAsia"/>
                <w:b/>
                <w:bCs/>
                <w:color w:val="auto"/>
                <w:szCs w:val="28"/>
                <w:highlight w:val="none"/>
                <w:lang w:val="en-US" w:eastAsia="zh-CN"/>
              </w:rPr>
              <w:t>/㎡</w:t>
            </w:r>
            <w:r>
              <w:rPr>
                <w:rFonts w:hint="eastAsia"/>
                <w:b/>
                <w:bCs/>
                <w:color w:val="auto"/>
                <w:szCs w:val="28"/>
                <w:highlight w:val="none"/>
              </w:rPr>
              <w:t>）</w:t>
            </w:r>
          </w:p>
        </w:tc>
        <w:tc>
          <w:tcPr>
            <w:tcW w:w="678" w:type="pct"/>
            <w:vAlign w:val="center"/>
          </w:tcPr>
          <w:p w14:paraId="6E7143B3">
            <w:pPr>
              <w:pStyle w:val="48"/>
              <w:spacing w:beforeAutospacing="0" w:afterAutospacing="0"/>
              <w:jc w:val="center"/>
              <w:rPr>
                <w:rFonts w:hint="default" w:eastAsia="宋体"/>
                <w:b/>
                <w:bCs/>
                <w:color w:val="auto"/>
                <w:szCs w:val="28"/>
                <w:highlight w:val="none"/>
                <w:lang w:val="en-US" w:eastAsia="zh-CN"/>
              </w:rPr>
            </w:pPr>
            <w:r>
              <w:rPr>
                <w:rFonts w:hint="eastAsia"/>
                <w:b/>
                <w:bCs/>
                <w:color w:val="auto"/>
                <w:szCs w:val="28"/>
                <w:highlight w:val="none"/>
                <w:lang w:val="en-US" w:eastAsia="zh-CN"/>
              </w:rPr>
              <w:t>单价占比</w:t>
            </w:r>
          </w:p>
        </w:tc>
        <w:tc>
          <w:tcPr>
            <w:tcW w:w="1041" w:type="pct"/>
            <w:vAlign w:val="center"/>
          </w:tcPr>
          <w:p w14:paraId="08ECEAFF">
            <w:pPr>
              <w:pStyle w:val="48"/>
              <w:widowControl w:val="0"/>
              <w:spacing w:before="0" w:beforeAutospacing="0" w:after="0" w:afterAutospacing="0" w:line="400" w:lineRule="exact"/>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备注</w:t>
            </w:r>
          </w:p>
        </w:tc>
      </w:tr>
      <w:tr w14:paraId="324C6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335" w:type="pct"/>
            <w:vAlign w:val="center"/>
          </w:tcPr>
          <w:p w14:paraId="04491901">
            <w:pPr>
              <w:pStyle w:val="48"/>
              <w:spacing w:beforeAutospacing="0" w:afterAutospacing="0"/>
              <w:jc w:val="center"/>
              <w:rPr>
                <w:color w:val="auto"/>
                <w:szCs w:val="28"/>
                <w:highlight w:val="none"/>
              </w:rPr>
            </w:pPr>
            <w:r>
              <w:rPr>
                <w:rFonts w:hint="eastAsia"/>
                <w:color w:val="auto"/>
                <w:szCs w:val="28"/>
                <w:highlight w:val="none"/>
              </w:rPr>
              <w:t>1</w:t>
            </w:r>
          </w:p>
        </w:tc>
        <w:tc>
          <w:tcPr>
            <w:tcW w:w="1002" w:type="pct"/>
            <w:vAlign w:val="center"/>
          </w:tcPr>
          <w:p w14:paraId="36147314">
            <w:pPr>
              <w:pStyle w:val="48"/>
              <w:spacing w:beforeAutospacing="0" w:afterAutospacing="0"/>
              <w:jc w:val="center"/>
              <w:rPr>
                <w:rFonts w:hint="eastAsia" w:eastAsia="宋体"/>
                <w:color w:val="auto"/>
                <w:szCs w:val="28"/>
                <w:highlight w:val="none"/>
                <w:lang w:val="en-US" w:eastAsia="zh-CN"/>
              </w:rPr>
            </w:pPr>
            <w:r>
              <w:rPr>
                <w:rFonts w:hint="eastAsia" w:ascii="宋体" w:hAnsi="宋体"/>
                <w:color w:val="auto"/>
                <w:sz w:val="24"/>
                <w:highlight w:val="none"/>
              </w:rPr>
              <w:t>HDPE膜</w:t>
            </w:r>
          </w:p>
        </w:tc>
        <w:tc>
          <w:tcPr>
            <w:tcW w:w="1214" w:type="pct"/>
            <w:vAlign w:val="center"/>
          </w:tcPr>
          <w:p w14:paraId="345CE432">
            <w:pPr>
              <w:pStyle w:val="48"/>
              <w:spacing w:beforeAutospacing="0" w:afterAutospacing="0"/>
              <w:jc w:val="center"/>
              <w:rPr>
                <w:rFonts w:hint="default"/>
                <w:color w:val="auto"/>
                <w:szCs w:val="28"/>
                <w:highlight w:val="none"/>
                <w:lang w:val="en-US"/>
              </w:rPr>
            </w:pPr>
            <w:r>
              <w:rPr>
                <w:rFonts w:hint="eastAsia"/>
                <w:color w:val="auto"/>
                <w:szCs w:val="28"/>
                <w:highlight w:val="none"/>
                <w:lang w:val="en-US" w:eastAsia="zh-CN"/>
              </w:rPr>
              <w:t>厚度</w:t>
            </w:r>
            <w:r>
              <w:rPr>
                <w:rFonts w:hint="eastAsia" w:ascii="宋体" w:hAnsi="宋体"/>
                <w:color w:val="auto"/>
                <w:sz w:val="24"/>
                <w:highlight w:val="none"/>
              </w:rPr>
              <w:t>0.5mm</w:t>
            </w:r>
          </w:p>
        </w:tc>
        <w:tc>
          <w:tcPr>
            <w:tcW w:w="727" w:type="pct"/>
            <w:vAlign w:val="center"/>
          </w:tcPr>
          <w:p w14:paraId="49BF5C9C">
            <w:pPr>
              <w:pStyle w:val="48"/>
              <w:spacing w:beforeAutospacing="0" w:afterAutospacing="0"/>
              <w:jc w:val="center"/>
              <w:rPr>
                <w:rFonts w:hint="default" w:eastAsia="宋体"/>
                <w:color w:val="auto"/>
                <w:szCs w:val="28"/>
                <w:highlight w:val="none"/>
                <w:lang w:val="en-US" w:eastAsia="zh-CN"/>
              </w:rPr>
            </w:pPr>
            <w:r>
              <w:rPr>
                <w:rFonts w:hint="eastAsia"/>
                <w:color w:val="auto"/>
                <w:szCs w:val="28"/>
                <w:highlight w:val="none"/>
                <w:lang w:val="en-US" w:eastAsia="zh-CN"/>
              </w:rPr>
              <w:t>8.00</w:t>
            </w:r>
          </w:p>
        </w:tc>
        <w:tc>
          <w:tcPr>
            <w:tcW w:w="678" w:type="pct"/>
            <w:shd w:val="clear" w:color="auto" w:fill="auto"/>
            <w:vAlign w:val="center"/>
          </w:tcPr>
          <w:p w14:paraId="79163A4D">
            <w:pPr>
              <w:keepNext w:val="0"/>
              <w:keepLines w:val="0"/>
              <w:widowControl/>
              <w:suppressLineNumbers w:val="0"/>
              <w:jc w:val="center"/>
              <w:textAlignment w:val="center"/>
              <w:rPr>
                <w:rFonts w:hint="eastAsia"/>
                <w:color w:val="auto"/>
                <w:szCs w:val="28"/>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9.88%</w:t>
            </w:r>
          </w:p>
        </w:tc>
        <w:tc>
          <w:tcPr>
            <w:tcW w:w="1041" w:type="pct"/>
            <w:vMerge w:val="restart"/>
            <w:shd w:val="clear" w:color="auto" w:fill="auto"/>
            <w:vAlign w:val="center"/>
          </w:tcPr>
          <w:p w14:paraId="3946205C">
            <w:pPr>
              <w:pStyle w:val="313"/>
              <w:spacing w:line="420" w:lineRule="exact"/>
              <w:ind w:firstLine="105"/>
              <w:jc w:val="center"/>
              <w:rPr>
                <w:rFonts w:hint="default" w:ascii="宋体" w:hAnsi="宋体" w:eastAsia="宋体" w:cs="宋体"/>
                <w:color w:val="auto"/>
                <w:sz w:val="24"/>
                <w:szCs w:val="24"/>
                <w:highlight w:val="none"/>
                <w:lang w:val="en-US" w:eastAsia="zh-CN" w:bidi="ar-SA"/>
              </w:rPr>
            </w:pPr>
            <w:r>
              <w:rPr>
                <w:rFonts w:hint="eastAsia" w:hAnsi="宋体" w:eastAsia="宋体" w:cs="宋体"/>
                <w:color w:val="auto"/>
                <w:sz w:val="24"/>
                <w:szCs w:val="24"/>
                <w:highlight w:val="none"/>
                <w:lang w:val="en-US" w:eastAsia="zh-CN" w:bidi="ar-SA"/>
              </w:rPr>
              <w:t>合计单价81.00元/㎡。</w:t>
            </w:r>
          </w:p>
        </w:tc>
      </w:tr>
      <w:tr w14:paraId="7D99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335" w:type="pct"/>
            <w:vAlign w:val="center"/>
          </w:tcPr>
          <w:p w14:paraId="08CDBCBD">
            <w:pPr>
              <w:pStyle w:val="48"/>
              <w:spacing w:beforeAutospacing="0" w:afterAutospacing="0"/>
              <w:jc w:val="center"/>
              <w:rPr>
                <w:rFonts w:hint="eastAsia" w:eastAsia="宋体"/>
                <w:color w:val="auto"/>
                <w:szCs w:val="28"/>
                <w:highlight w:val="none"/>
                <w:lang w:val="en-US" w:eastAsia="zh-CN"/>
              </w:rPr>
            </w:pPr>
            <w:r>
              <w:rPr>
                <w:rFonts w:hint="eastAsia"/>
                <w:color w:val="auto"/>
                <w:szCs w:val="28"/>
                <w:highlight w:val="none"/>
                <w:lang w:val="en-US" w:eastAsia="zh-CN"/>
              </w:rPr>
              <w:t>2</w:t>
            </w:r>
          </w:p>
        </w:tc>
        <w:tc>
          <w:tcPr>
            <w:tcW w:w="1002" w:type="pct"/>
            <w:vAlign w:val="center"/>
          </w:tcPr>
          <w:p w14:paraId="6EA66A6B">
            <w:pPr>
              <w:spacing w:beforeAutospacing="0" w:afterAutospacing="0"/>
              <w:jc w:val="center"/>
              <w:rPr>
                <w:rFonts w:hint="eastAsia"/>
                <w:color w:val="auto"/>
                <w:szCs w:val="28"/>
                <w:highlight w:val="none"/>
                <w:lang w:val="en-US" w:eastAsia="zh-CN"/>
              </w:rPr>
            </w:pPr>
            <w:r>
              <w:rPr>
                <w:rFonts w:hint="eastAsia" w:ascii="宋体" w:hAnsi="宋体"/>
                <w:color w:val="auto"/>
                <w:sz w:val="24"/>
                <w:highlight w:val="none"/>
              </w:rPr>
              <w:t>HDPE膜</w:t>
            </w:r>
          </w:p>
        </w:tc>
        <w:tc>
          <w:tcPr>
            <w:tcW w:w="1214" w:type="pct"/>
            <w:vAlign w:val="center"/>
          </w:tcPr>
          <w:p w14:paraId="1942264E">
            <w:pPr>
              <w:pStyle w:val="48"/>
              <w:spacing w:beforeAutospacing="0" w:afterAutospacing="0"/>
              <w:jc w:val="center"/>
              <w:rPr>
                <w:rFonts w:hint="default"/>
                <w:color w:val="auto"/>
                <w:szCs w:val="28"/>
                <w:highlight w:val="none"/>
                <w:lang w:val="en-US"/>
              </w:rPr>
            </w:pPr>
            <w:r>
              <w:rPr>
                <w:rFonts w:hint="eastAsia"/>
                <w:color w:val="auto"/>
                <w:szCs w:val="28"/>
                <w:highlight w:val="none"/>
                <w:lang w:val="en-US" w:eastAsia="zh-CN"/>
              </w:rPr>
              <w:t>厚度</w:t>
            </w:r>
            <w:r>
              <w:rPr>
                <w:rFonts w:hint="eastAsia" w:ascii="宋体" w:hAnsi="宋体"/>
                <w:color w:val="auto"/>
                <w:sz w:val="24"/>
                <w:highlight w:val="none"/>
              </w:rPr>
              <w:t>1.0mm</w:t>
            </w:r>
          </w:p>
        </w:tc>
        <w:tc>
          <w:tcPr>
            <w:tcW w:w="727" w:type="pct"/>
            <w:vAlign w:val="center"/>
          </w:tcPr>
          <w:p w14:paraId="76B498C3">
            <w:pPr>
              <w:pStyle w:val="48"/>
              <w:spacing w:beforeAutospacing="0" w:afterAutospacing="0"/>
              <w:jc w:val="center"/>
              <w:rPr>
                <w:rFonts w:hint="default" w:eastAsia="宋体"/>
                <w:color w:val="auto"/>
                <w:szCs w:val="28"/>
                <w:highlight w:val="none"/>
                <w:lang w:val="en-US" w:eastAsia="zh-CN"/>
              </w:rPr>
            </w:pPr>
            <w:r>
              <w:rPr>
                <w:rFonts w:hint="eastAsia"/>
                <w:color w:val="auto"/>
                <w:szCs w:val="28"/>
                <w:highlight w:val="none"/>
                <w:lang w:val="en-US" w:eastAsia="zh-CN"/>
              </w:rPr>
              <w:t>14.00</w:t>
            </w:r>
          </w:p>
        </w:tc>
        <w:tc>
          <w:tcPr>
            <w:tcW w:w="678" w:type="pct"/>
            <w:shd w:val="clear" w:color="auto" w:fill="auto"/>
            <w:vAlign w:val="center"/>
          </w:tcPr>
          <w:p w14:paraId="67A46E5C">
            <w:pPr>
              <w:keepNext w:val="0"/>
              <w:keepLines w:val="0"/>
              <w:widowControl/>
              <w:suppressLineNumbers w:val="0"/>
              <w:jc w:val="center"/>
              <w:textAlignment w:val="center"/>
              <w:rPr>
                <w:rFonts w:hint="eastAsia"/>
                <w:color w:val="auto"/>
                <w:szCs w:val="28"/>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17.28%</w:t>
            </w:r>
          </w:p>
        </w:tc>
        <w:tc>
          <w:tcPr>
            <w:tcW w:w="1041" w:type="pct"/>
            <w:vMerge w:val="continue"/>
            <w:shd w:val="clear" w:color="auto" w:fill="auto"/>
          </w:tcPr>
          <w:p w14:paraId="73637296">
            <w:pPr>
              <w:pStyle w:val="48"/>
              <w:spacing w:beforeAutospacing="0" w:afterAutospacing="0"/>
              <w:jc w:val="left"/>
              <w:rPr>
                <w:color w:val="auto"/>
                <w:szCs w:val="28"/>
                <w:highlight w:val="none"/>
              </w:rPr>
            </w:pPr>
          </w:p>
        </w:tc>
      </w:tr>
      <w:tr w14:paraId="35B4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35" w:type="pct"/>
            <w:vAlign w:val="center"/>
          </w:tcPr>
          <w:p w14:paraId="0C49D1A1">
            <w:pPr>
              <w:pStyle w:val="48"/>
              <w:spacing w:beforeAutospacing="0" w:afterAutospacing="0"/>
              <w:jc w:val="center"/>
              <w:rPr>
                <w:rFonts w:hint="eastAsia" w:eastAsia="宋体"/>
                <w:color w:val="auto"/>
                <w:szCs w:val="28"/>
                <w:highlight w:val="none"/>
                <w:lang w:val="en-US" w:eastAsia="zh-CN"/>
              </w:rPr>
            </w:pPr>
            <w:r>
              <w:rPr>
                <w:rFonts w:hint="eastAsia"/>
                <w:color w:val="auto"/>
                <w:szCs w:val="28"/>
                <w:highlight w:val="none"/>
                <w:lang w:val="en-US" w:eastAsia="zh-CN"/>
              </w:rPr>
              <w:t>3</w:t>
            </w:r>
          </w:p>
        </w:tc>
        <w:tc>
          <w:tcPr>
            <w:tcW w:w="1002" w:type="pct"/>
            <w:vAlign w:val="center"/>
          </w:tcPr>
          <w:p w14:paraId="131DC4CE">
            <w:pPr>
              <w:spacing w:beforeAutospacing="0" w:afterAutospacing="0"/>
              <w:jc w:val="center"/>
              <w:rPr>
                <w:rFonts w:hint="eastAsia"/>
                <w:color w:val="auto"/>
                <w:szCs w:val="28"/>
                <w:highlight w:val="none"/>
                <w:lang w:val="en-US" w:eastAsia="zh-CN"/>
              </w:rPr>
            </w:pPr>
            <w:r>
              <w:rPr>
                <w:rFonts w:hint="eastAsia" w:ascii="宋体" w:hAnsi="宋体"/>
                <w:color w:val="auto"/>
                <w:sz w:val="24"/>
                <w:highlight w:val="none"/>
              </w:rPr>
              <w:t>HDPE膜</w:t>
            </w:r>
          </w:p>
        </w:tc>
        <w:tc>
          <w:tcPr>
            <w:tcW w:w="1214" w:type="pct"/>
            <w:vAlign w:val="center"/>
          </w:tcPr>
          <w:p w14:paraId="7AA23306">
            <w:pPr>
              <w:pStyle w:val="48"/>
              <w:spacing w:beforeAutospacing="0" w:afterAutospacing="0"/>
              <w:jc w:val="center"/>
              <w:rPr>
                <w:rFonts w:hint="default"/>
                <w:color w:val="auto"/>
                <w:szCs w:val="28"/>
                <w:highlight w:val="none"/>
                <w:lang w:val="en-US"/>
              </w:rPr>
            </w:pPr>
            <w:r>
              <w:rPr>
                <w:rFonts w:hint="eastAsia"/>
                <w:color w:val="auto"/>
                <w:szCs w:val="28"/>
                <w:highlight w:val="none"/>
                <w:lang w:val="en-US" w:eastAsia="zh-CN"/>
              </w:rPr>
              <w:t>厚度</w:t>
            </w:r>
            <w:r>
              <w:rPr>
                <w:rFonts w:hint="eastAsia" w:ascii="宋体" w:hAnsi="宋体"/>
                <w:color w:val="auto"/>
                <w:sz w:val="24"/>
                <w:highlight w:val="none"/>
              </w:rPr>
              <w:t>1.5mm</w:t>
            </w:r>
          </w:p>
        </w:tc>
        <w:tc>
          <w:tcPr>
            <w:tcW w:w="727" w:type="pct"/>
            <w:vAlign w:val="center"/>
          </w:tcPr>
          <w:p w14:paraId="4E139BEF">
            <w:pPr>
              <w:pStyle w:val="48"/>
              <w:spacing w:beforeAutospacing="0" w:afterAutospacing="0"/>
              <w:jc w:val="center"/>
              <w:rPr>
                <w:rFonts w:hint="default" w:eastAsia="宋体"/>
                <w:color w:val="auto"/>
                <w:szCs w:val="28"/>
                <w:highlight w:val="none"/>
                <w:lang w:val="en-US" w:eastAsia="zh-CN"/>
              </w:rPr>
            </w:pPr>
            <w:r>
              <w:rPr>
                <w:rFonts w:hint="eastAsia"/>
                <w:color w:val="auto"/>
                <w:szCs w:val="28"/>
                <w:highlight w:val="none"/>
                <w:lang w:val="en-US" w:eastAsia="zh-CN"/>
              </w:rPr>
              <w:t>23.00</w:t>
            </w:r>
          </w:p>
        </w:tc>
        <w:tc>
          <w:tcPr>
            <w:tcW w:w="678" w:type="pct"/>
            <w:shd w:val="clear" w:color="auto" w:fill="auto"/>
            <w:vAlign w:val="center"/>
          </w:tcPr>
          <w:p w14:paraId="0B3253C5">
            <w:pPr>
              <w:keepNext w:val="0"/>
              <w:keepLines w:val="0"/>
              <w:widowControl/>
              <w:suppressLineNumbers w:val="0"/>
              <w:jc w:val="center"/>
              <w:textAlignment w:val="center"/>
              <w:rPr>
                <w:rFonts w:hint="eastAsia"/>
                <w:color w:val="auto"/>
                <w:szCs w:val="28"/>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28.40%</w:t>
            </w:r>
          </w:p>
        </w:tc>
        <w:tc>
          <w:tcPr>
            <w:tcW w:w="1041" w:type="pct"/>
            <w:vMerge w:val="continue"/>
            <w:shd w:val="clear" w:color="auto" w:fill="auto"/>
          </w:tcPr>
          <w:p w14:paraId="25B7804C">
            <w:pPr>
              <w:pStyle w:val="48"/>
              <w:spacing w:beforeAutospacing="0" w:afterAutospacing="0"/>
              <w:jc w:val="left"/>
              <w:rPr>
                <w:color w:val="auto"/>
                <w:szCs w:val="28"/>
                <w:highlight w:val="none"/>
              </w:rPr>
            </w:pPr>
          </w:p>
        </w:tc>
      </w:tr>
      <w:tr w14:paraId="2BEE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335" w:type="pct"/>
            <w:vAlign w:val="center"/>
          </w:tcPr>
          <w:p w14:paraId="369A6D43">
            <w:pPr>
              <w:pStyle w:val="48"/>
              <w:spacing w:beforeAutospacing="0" w:afterAutospacing="0"/>
              <w:jc w:val="center"/>
              <w:rPr>
                <w:rFonts w:hint="default"/>
                <w:color w:val="auto"/>
                <w:szCs w:val="28"/>
                <w:highlight w:val="none"/>
                <w:lang w:val="en-US" w:eastAsia="zh-CN"/>
              </w:rPr>
            </w:pPr>
            <w:r>
              <w:rPr>
                <w:rFonts w:hint="eastAsia"/>
                <w:color w:val="auto"/>
                <w:szCs w:val="28"/>
                <w:highlight w:val="none"/>
                <w:lang w:val="en-US" w:eastAsia="zh-CN"/>
              </w:rPr>
              <w:t>4</w:t>
            </w:r>
          </w:p>
        </w:tc>
        <w:tc>
          <w:tcPr>
            <w:tcW w:w="1002" w:type="pct"/>
            <w:vAlign w:val="center"/>
          </w:tcPr>
          <w:p w14:paraId="5572F5C5">
            <w:pPr>
              <w:spacing w:beforeAutospacing="0" w:afterAutospacing="0"/>
              <w:jc w:val="center"/>
              <w:rPr>
                <w:rFonts w:hint="eastAsia" w:ascii="宋体" w:hAnsi="宋体" w:eastAsia="宋体"/>
                <w:color w:val="auto"/>
                <w:sz w:val="24"/>
                <w:highlight w:val="none"/>
                <w:lang w:eastAsia="zh-CN"/>
              </w:rPr>
            </w:pPr>
            <w:r>
              <w:rPr>
                <w:rFonts w:hint="eastAsia" w:ascii="宋体" w:hAnsi="宋体"/>
                <w:color w:val="auto"/>
                <w:sz w:val="24"/>
                <w:highlight w:val="none"/>
              </w:rPr>
              <w:t>HDPE膜</w:t>
            </w:r>
            <w:r>
              <w:rPr>
                <w:rFonts w:hint="eastAsia" w:ascii="宋体" w:hAnsi="宋体"/>
                <w:color w:val="auto"/>
                <w:sz w:val="24"/>
                <w:highlight w:val="none"/>
                <w:lang w:eastAsia="zh-CN"/>
              </w:rPr>
              <w:t>（单糙）</w:t>
            </w:r>
          </w:p>
        </w:tc>
        <w:tc>
          <w:tcPr>
            <w:tcW w:w="1214" w:type="pct"/>
            <w:vAlign w:val="center"/>
          </w:tcPr>
          <w:p w14:paraId="060E9B85">
            <w:pPr>
              <w:pStyle w:val="48"/>
              <w:spacing w:beforeAutospacing="0" w:afterAutospacing="0"/>
              <w:jc w:val="center"/>
              <w:rPr>
                <w:rFonts w:hint="eastAsia"/>
                <w:color w:val="auto"/>
                <w:szCs w:val="28"/>
                <w:highlight w:val="none"/>
                <w:lang w:val="en-US" w:eastAsia="zh-CN"/>
              </w:rPr>
            </w:pPr>
            <w:r>
              <w:rPr>
                <w:rFonts w:hint="eastAsia"/>
                <w:color w:val="auto"/>
                <w:szCs w:val="28"/>
                <w:highlight w:val="none"/>
                <w:lang w:val="en-US" w:eastAsia="zh-CN"/>
              </w:rPr>
              <w:t>厚度</w:t>
            </w:r>
            <w:r>
              <w:rPr>
                <w:rFonts w:hint="eastAsia"/>
                <w:color w:val="auto"/>
                <w:sz w:val="24"/>
                <w:highlight w:val="none"/>
                <w:lang w:val="en-US" w:eastAsia="zh-CN"/>
              </w:rPr>
              <w:t>2.0</w:t>
            </w:r>
            <w:r>
              <w:rPr>
                <w:rFonts w:hint="eastAsia" w:ascii="宋体" w:hAnsi="宋体"/>
                <w:color w:val="auto"/>
                <w:sz w:val="24"/>
                <w:highlight w:val="none"/>
              </w:rPr>
              <w:t>mm</w:t>
            </w:r>
          </w:p>
        </w:tc>
        <w:tc>
          <w:tcPr>
            <w:tcW w:w="727" w:type="pct"/>
            <w:vAlign w:val="center"/>
          </w:tcPr>
          <w:p w14:paraId="0C7C1E5A">
            <w:pPr>
              <w:pStyle w:val="48"/>
              <w:spacing w:beforeAutospacing="0" w:afterAutospacing="0"/>
              <w:jc w:val="center"/>
              <w:rPr>
                <w:rFonts w:hint="default"/>
                <w:color w:val="auto"/>
                <w:szCs w:val="28"/>
                <w:highlight w:val="none"/>
                <w:lang w:val="en-US" w:eastAsia="zh-CN"/>
              </w:rPr>
            </w:pPr>
            <w:r>
              <w:rPr>
                <w:rFonts w:hint="eastAsia"/>
                <w:color w:val="auto"/>
                <w:szCs w:val="28"/>
                <w:highlight w:val="none"/>
                <w:lang w:val="en-US" w:eastAsia="zh-CN"/>
              </w:rPr>
              <w:t>36.00</w:t>
            </w:r>
          </w:p>
        </w:tc>
        <w:tc>
          <w:tcPr>
            <w:tcW w:w="678" w:type="pct"/>
            <w:shd w:val="clear" w:color="auto" w:fill="auto"/>
            <w:vAlign w:val="center"/>
          </w:tcPr>
          <w:p w14:paraId="60AFE282">
            <w:pPr>
              <w:keepNext w:val="0"/>
              <w:keepLines w:val="0"/>
              <w:widowControl/>
              <w:suppressLineNumbers w:val="0"/>
              <w:jc w:val="center"/>
              <w:textAlignment w:val="center"/>
              <w:rPr>
                <w:rFonts w:hint="eastAsia"/>
                <w:color w:val="auto"/>
                <w:szCs w:val="28"/>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44.44%</w:t>
            </w:r>
          </w:p>
        </w:tc>
        <w:tc>
          <w:tcPr>
            <w:tcW w:w="1041" w:type="pct"/>
            <w:vMerge w:val="continue"/>
            <w:shd w:val="clear" w:color="auto" w:fill="auto"/>
          </w:tcPr>
          <w:p w14:paraId="23C3A201">
            <w:pPr>
              <w:pStyle w:val="48"/>
              <w:spacing w:beforeAutospacing="0" w:afterAutospacing="0"/>
              <w:jc w:val="left"/>
              <w:rPr>
                <w:color w:val="auto"/>
                <w:szCs w:val="28"/>
                <w:highlight w:val="none"/>
              </w:rPr>
            </w:pPr>
          </w:p>
        </w:tc>
      </w:tr>
    </w:tbl>
    <w:p w14:paraId="22CDE21E">
      <w:pPr>
        <w:pStyle w:val="48"/>
        <w:pageBreakBefore w:val="0"/>
        <w:widowControl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auto"/>
        <w:rPr>
          <w:b/>
          <w:bCs/>
          <w:color w:val="auto"/>
          <w:highlight w:val="none"/>
        </w:rPr>
      </w:pPr>
      <w:r>
        <w:rPr>
          <w:rFonts w:hint="eastAsia"/>
          <w:b/>
          <w:bCs/>
          <w:color w:val="auto"/>
          <w:highlight w:val="none"/>
        </w:rPr>
        <w:t>四、商务要求：</w:t>
      </w:r>
    </w:p>
    <w:p w14:paraId="1E58E372">
      <w:pPr>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rPr>
        <w:t>1、</w:t>
      </w:r>
      <w:r>
        <w:rPr>
          <w:rFonts w:hint="eastAsia" w:ascii="宋体" w:hAnsi="宋体" w:eastAsia="宋体" w:cs="宋体"/>
          <w:bCs/>
          <w:color w:val="auto"/>
          <w:sz w:val="24"/>
          <w:szCs w:val="24"/>
          <w:highlight w:val="none"/>
          <w:u w:val="none"/>
          <w:lang w:eastAsia="zh-CN"/>
        </w:rPr>
        <w:t>服务期要求：一年</w:t>
      </w:r>
      <w:r>
        <w:rPr>
          <w:rFonts w:hint="eastAsia" w:ascii="宋体" w:hAnsi="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rPr>
        <w:t>（合同期满后，甲方对乙方服务满意，经双方协商同意后，可以续签服务合同，续签不超过两年）。</w:t>
      </w:r>
    </w:p>
    <w:p w14:paraId="5D96177A">
      <w:pPr>
        <w:pStyle w:val="48"/>
        <w:pageBreakBefore w:val="0"/>
        <w:widowControl w:val="0"/>
        <w:kinsoku/>
        <w:wordWrap/>
        <w:overflowPunct/>
        <w:topLinePunct w:val="0"/>
        <w:autoSpaceDE/>
        <w:autoSpaceDN/>
        <w:bidi w:val="0"/>
        <w:adjustRightInd/>
        <w:snapToGrid/>
        <w:spacing w:before="0" w:beforeAutospacing="0" w:after="0" w:afterAutospacing="0" w:line="360" w:lineRule="auto"/>
        <w:ind w:firstLine="480"/>
        <w:jc w:val="both"/>
        <w:textAlignment w:val="auto"/>
        <w:rPr>
          <w:color w:val="auto"/>
          <w:highlight w:val="none"/>
        </w:rPr>
      </w:pPr>
      <w:r>
        <w:rPr>
          <w:rFonts w:hint="eastAsia"/>
          <w:color w:val="auto"/>
          <w:highlight w:val="none"/>
        </w:rPr>
        <w:t>2、交货地点：甲方指定地点。</w:t>
      </w:r>
    </w:p>
    <w:p w14:paraId="2661D0A9">
      <w:pPr>
        <w:pStyle w:val="48"/>
        <w:pageBreakBefore w:val="0"/>
        <w:widowControl w:val="0"/>
        <w:kinsoku/>
        <w:wordWrap/>
        <w:overflowPunct/>
        <w:topLinePunct w:val="0"/>
        <w:autoSpaceDE/>
        <w:autoSpaceDN/>
        <w:bidi w:val="0"/>
        <w:adjustRightInd/>
        <w:spacing w:before="0" w:beforeAutospacing="0" w:after="0" w:afterAutospacing="0" w:line="360" w:lineRule="auto"/>
        <w:ind w:firstLine="480"/>
        <w:jc w:val="both"/>
        <w:textAlignment w:val="auto"/>
        <w:rPr>
          <w:rFonts w:hint="eastAsia"/>
          <w:color w:val="auto"/>
          <w:highlight w:val="none"/>
        </w:rPr>
      </w:pPr>
      <w:r>
        <w:rPr>
          <w:rFonts w:hint="eastAsia" w:cs="宋体"/>
          <w:color w:val="auto"/>
          <w:highlight w:val="none"/>
          <w:lang w:val="en-US" w:eastAsia="zh-CN"/>
        </w:rPr>
        <w:t>3</w:t>
      </w:r>
      <w:r>
        <w:rPr>
          <w:rFonts w:hint="eastAsia" w:ascii="宋体" w:hAnsi="宋体" w:eastAsia="宋体" w:cs="宋体"/>
          <w:color w:val="auto"/>
          <w:highlight w:val="none"/>
        </w:rPr>
        <w:t>、</w:t>
      </w:r>
      <w:r>
        <w:rPr>
          <w:rFonts w:hint="eastAsia"/>
          <w:color w:val="auto"/>
          <w:highlight w:val="none"/>
        </w:rPr>
        <w:t>付款方式：</w:t>
      </w:r>
    </w:p>
    <w:p w14:paraId="0BADB100">
      <w:pPr>
        <w:keepNext w:val="0"/>
        <w:keepLines w:val="0"/>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合同签订后，支付合同总价的30%</w:t>
      </w:r>
      <w:r>
        <w:rPr>
          <w:rFonts w:hint="eastAsia" w:ascii="宋体" w:hAnsi="宋体" w:eastAsia="宋体" w:cs="宋体"/>
          <w:color w:val="auto"/>
          <w:sz w:val="24"/>
          <w:szCs w:val="24"/>
          <w:highlight w:val="none"/>
          <w:lang w:val="en-US" w:eastAsia="zh-CN"/>
        </w:rPr>
        <w:t>作为</w:t>
      </w:r>
      <w:r>
        <w:rPr>
          <w:rFonts w:hint="eastAsia" w:ascii="宋体" w:hAnsi="宋体" w:eastAsia="宋体" w:cs="宋体"/>
          <w:color w:val="auto"/>
          <w:sz w:val="24"/>
          <w:szCs w:val="24"/>
          <w:highlight w:val="none"/>
        </w:rPr>
        <w:t>预付款</w:t>
      </w:r>
      <w:r>
        <w:rPr>
          <w:rFonts w:hint="eastAsia" w:ascii="宋体" w:hAnsi="宋体" w:eastAsia="宋体" w:cs="宋体"/>
          <w:color w:val="auto"/>
          <w:sz w:val="24"/>
          <w:szCs w:val="24"/>
          <w:highlight w:val="none"/>
          <w:lang w:eastAsia="zh-CN"/>
        </w:rPr>
        <w:t>，验收合格后</w:t>
      </w:r>
      <w:r>
        <w:rPr>
          <w:rFonts w:hint="eastAsia" w:ascii="宋体" w:hAnsi="宋体" w:eastAsia="宋体" w:cs="宋体"/>
          <w:color w:val="auto"/>
          <w:sz w:val="24"/>
          <w:szCs w:val="24"/>
          <w:highlight w:val="none"/>
          <w:lang w:val="en-US" w:eastAsia="zh-CN"/>
        </w:rPr>
        <w:t>余款</w:t>
      </w:r>
      <w:r>
        <w:rPr>
          <w:rFonts w:hint="eastAsia" w:ascii="宋体" w:hAnsi="宋体" w:eastAsia="宋体" w:cs="宋体"/>
          <w:color w:val="auto"/>
          <w:sz w:val="24"/>
          <w:szCs w:val="24"/>
          <w:highlight w:val="none"/>
        </w:rPr>
        <w:t>乙方按</w:t>
      </w:r>
      <w:r>
        <w:rPr>
          <w:rFonts w:hint="eastAsia" w:ascii="宋体" w:hAnsi="宋体" w:eastAsia="宋体" w:cs="宋体"/>
          <w:color w:val="auto"/>
          <w:sz w:val="24"/>
          <w:szCs w:val="24"/>
          <w:highlight w:val="none"/>
          <w:lang w:eastAsia="zh-CN"/>
        </w:rPr>
        <w:t>实际供货量按</w:t>
      </w:r>
      <w:r>
        <w:rPr>
          <w:rFonts w:hint="eastAsia" w:ascii="宋体" w:hAnsi="宋体" w:cs="宋体"/>
          <w:color w:val="auto"/>
          <w:sz w:val="24"/>
          <w:szCs w:val="24"/>
          <w:highlight w:val="none"/>
          <w:lang w:eastAsia="zh-CN"/>
        </w:rPr>
        <w:t>年度</w:t>
      </w:r>
      <w:r>
        <w:rPr>
          <w:rFonts w:hint="eastAsia" w:ascii="宋体" w:hAnsi="宋体" w:eastAsia="宋体" w:cs="宋体"/>
          <w:color w:val="auto"/>
          <w:sz w:val="24"/>
          <w:szCs w:val="24"/>
          <w:highlight w:val="none"/>
          <w:lang w:val="en-US" w:eastAsia="zh-CN"/>
        </w:rPr>
        <w:t>开具</w:t>
      </w:r>
      <w:r>
        <w:rPr>
          <w:rFonts w:hint="eastAsia" w:ascii="宋体" w:hAnsi="宋体" w:eastAsia="宋体" w:cs="宋体"/>
          <w:color w:val="auto"/>
          <w:sz w:val="24"/>
          <w:szCs w:val="24"/>
          <w:highlight w:val="none"/>
        </w:rPr>
        <w:t>合法票据</w:t>
      </w:r>
      <w:r>
        <w:rPr>
          <w:rFonts w:hint="eastAsia" w:ascii="宋体" w:hAnsi="宋体" w:eastAsia="宋体" w:cs="宋体"/>
          <w:color w:val="auto"/>
          <w:sz w:val="24"/>
          <w:szCs w:val="24"/>
          <w:highlight w:val="none"/>
          <w:lang w:eastAsia="zh-CN"/>
        </w:rPr>
        <w:t>结清</w:t>
      </w:r>
      <w:r>
        <w:rPr>
          <w:rFonts w:hint="eastAsia" w:ascii="宋体" w:hAnsi="宋体" w:eastAsia="宋体" w:cs="宋体"/>
          <w:color w:val="auto"/>
          <w:sz w:val="24"/>
          <w:szCs w:val="24"/>
          <w:highlight w:val="none"/>
        </w:rPr>
        <w:t>。</w:t>
      </w:r>
    </w:p>
    <w:p w14:paraId="24675028">
      <w:pPr>
        <w:pStyle w:val="48"/>
        <w:pageBreakBefore w:val="0"/>
        <w:widowControl w:val="0"/>
        <w:kinsoku/>
        <w:wordWrap/>
        <w:overflowPunct/>
        <w:topLinePunct w:val="0"/>
        <w:autoSpaceDE/>
        <w:autoSpaceDN/>
        <w:bidi w:val="0"/>
        <w:adjustRightInd/>
        <w:snapToGrid/>
        <w:spacing w:before="0" w:beforeAutospacing="0" w:after="0" w:afterAutospacing="0" w:line="360" w:lineRule="auto"/>
        <w:ind w:firstLine="480"/>
        <w:jc w:val="both"/>
        <w:textAlignment w:val="auto"/>
        <w:rPr>
          <w:color w:val="auto"/>
          <w:highlight w:val="none"/>
        </w:rPr>
      </w:pPr>
      <w:r>
        <w:rPr>
          <w:rFonts w:hint="eastAsia"/>
          <w:color w:val="auto"/>
          <w:highlight w:val="none"/>
          <w:lang w:val="en-US" w:eastAsia="zh-CN"/>
        </w:rPr>
        <w:t>4</w:t>
      </w:r>
      <w:r>
        <w:rPr>
          <w:rFonts w:hint="eastAsia"/>
          <w:color w:val="auto"/>
          <w:highlight w:val="none"/>
        </w:rPr>
        <w:t>、包装和运输要求：供应商对于投标产品的商品包装、快递包装应按照《关于印发《商品包装政府采购需求标准（试行）》、《快递包装政府采购需求标准（试行）》的通知》（财办库〔2020〕123号）执行。</w:t>
      </w:r>
    </w:p>
    <w:p w14:paraId="644397BF">
      <w:pPr>
        <w:pStyle w:val="48"/>
        <w:pageBreakBefore w:val="0"/>
        <w:widowControl w:val="0"/>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color w:val="auto"/>
          <w:highlight w:val="none"/>
        </w:rPr>
      </w:pPr>
      <w:r>
        <w:rPr>
          <w:rFonts w:hint="eastAsia"/>
          <w:color w:val="auto"/>
          <w:highlight w:val="none"/>
          <w:lang w:val="en-US" w:eastAsia="zh-CN"/>
        </w:rPr>
        <w:t>5</w:t>
      </w:r>
      <w:r>
        <w:rPr>
          <w:rFonts w:hint="eastAsia"/>
          <w:color w:val="auto"/>
          <w:highlight w:val="none"/>
        </w:rPr>
        <w:t>、质量要求及验收标准：相关质量验收规范合格标准，验收执行国家或行业最新标准、招标文件各项技术参数指标、投标文件投标承诺所达到的各项技术参数指标（招标文件、投标文件、国家或行业标准不一致处以最高标准执行）。</w:t>
      </w:r>
    </w:p>
    <w:p w14:paraId="56A6911C">
      <w:pPr>
        <w:pStyle w:val="48"/>
        <w:pageBreakBefore w:val="0"/>
        <w:widowControl w:val="0"/>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default"/>
          <w:color w:val="auto"/>
          <w:highlight w:val="none"/>
          <w:lang w:val="en-US" w:eastAsia="zh-CN"/>
        </w:rPr>
      </w:pPr>
      <w:r>
        <w:rPr>
          <w:rFonts w:hint="eastAsia"/>
          <w:color w:val="auto"/>
          <w:highlight w:val="none"/>
          <w:lang w:val="en-US" w:eastAsia="zh-CN"/>
        </w:rPr>
        <w:t>6、服务期执行日期：合同签订后执行。</w:t>
      </w:r>
    </w:p>
    <w:p w14:paraId="527CC3F1">
      <w:pPr>
        <w:pStyle w:val="48"/>
        <w:pageBreakBefore w:val="0"/>
        <w:widowControl w:val="0"/>
        <w:kinsoku/>
        <w:wordWrap/>
        <w:overflowPunct/>
        <w:topLinePunct w:val="0"/>
        <w:autoSpaceDE/>
        <w:autoSpaceDN/>
        <w:bidi w:val="0"/>
        <w:adjustRightInd/>
        <w:snapToGrid/>
        <w:spacing w:before="0" w:beforeAutospacing="0" w:after="0" w:afterAutospacing="0" w:line="360" w:lineRule="auto"/>
        <w:ind w:firstLine="482"/>
        <w:jc w:val="both"/>
        <w:textAlignment w:val="auto"/>
        <w:rPr>
          <w:color w:val="auto"/>
          <w:highlight w:val="none"/>
        </w:rPr>
      </w:pPr>
      <w:r>
        <w:rPr>
          <w:rFonts w:hint="eastAsia"/>
          <w:b/>
          <w:bCs/>
          <w:color w:val="auto"/>
          <w:highlight w:val="none"/>
        </w:rPr>
        <w:t>五、其他内容</w:t>
      </w:r>
    </w:p>
    <w:p w14:paraId="3BBC15F3">
      <w:pPr>
        <w:pStyle w:val="48"/>
        <w:pageBreakBefore w:val="0"/>
        <w:widowControl w:val="0"/>
        <w:kinsoku/>
        <w:wordWrap/>
        <w:overflowPunct/>
        <w:topLinePunct w:val="0"/>
        <w:autoSpaceDE/>
        <w:autoSpaceDN/>
        <w:bidi w:val="0"/>
        <w:adjustRightInd/>
        <w:snapToGrid/>
        <w:spacing w:before="0" w:beforeAutospacing="0" w:after="0" w:afterAutospacing="0" w:line="360" w:lineRule="auto"/>
        <w:ind w:firstLine="480"/>
        <w:jc w:val="both"/>
        <w:textAlignment w:val="auto"/>
        <w:rPr>
          <w:color w:val="auto"/>
          <w:sz w:val="24"/>
          <w:szCs w:val="24"/>
          <w:highlight w:val="none"/>
        </w:rPr>
      </w:pPr>
      <w:r>
        <w:rPr>
          <w:rFonts w:hint="eastAsia"/>
          <w:color w:val="auto"/>
          <w:sz w:val="24"/>
          <w:szCs w:val="24"/>
          <w:highlight w:val="none"/>
        </w:rPr>
        <w:t>1、供应商应当优先采购节能、环境标志产品，供应商需提供实施方案和售后服务方案。</w:t>
      </w:r>
    </w:p>
    <w:p w14:paraId="5D8EE200">
      <w:pPr>
        <w:pStyle w:val="48"/>
        <w:pageBreakBefore w:val="0"/>
        <w:widowControl w:val="0"/>
        <w:kinsoku/>
        <w:wordWrap/>
        <w:overflowPunct/>
        <w:topLinePunct w:val="0"/>
        <w:autoSpaceDE/>
        <w:autoSpaceDN/>
        <w:bidi w:val="0"/>
        <w:adjustRightInd/>
        <w:snapToGrid/>
        <w:spacing w:before="0" w:beforeAutospacing="0" w:after="0" w:afterAutospacing="0" w:line="360" w:lineRule="auto"/>
        <w:ind w:firstLine="480"/>
        <w:jc w:val="both"/>
        <w:textAlignment w:val="auto"/>
        <w:rPr>
          <w:color w:val="auto"/>
          <w:sz w:val="24"/>
          <w:szCs w:val="24"/>
          <w:highlight w:val="none"/>
        </w:rPr>
      </w:pPr>
      <w:r>
        <w:rPr>
          <w:rFonts w:hint="eastAsia"/>
          <w:color w:val="auto"/>
          <w:sz w:val="24"/>
          <w:szCs w:val="24"/>
          <w:highlight w:val="none"/>
        </w:rPr>
        <w:t>2、投标产品制造商需从质量保证、环境影响、安全生产等方面加强生产经营全过程管控的能力，不断加强品质控制、环境保护、安全生产等方面的规范性。</w:t>
      </w:r>
    </w:p>
    <w:p w14:paraId="5DDB5EA2">
      <w:pPr>
        <w:pStyle w:val="48"/>
        <w:pageBreakBefore w:val="0"/>
        <w:widowControl w:val="0"/>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b/>
          <w:bCs/>
          <w:color w:val="auto"/>
          <w:sz w:val="24"/>
          <w:szCs w:val="24"/>
          <w:highlight w:val="none"/>
          <w:lang w:val="en-US" w:eastAsia="zh-CN"/>
        </w:rPr>
      </w:pPr>
      <w:r>
        <w:rPr>
          <w:rFonts w:hint="eastAsia"/>
          <w:b/>
          <w:bCs/>
          <w:color w:val="auto"/>
          <w:sz w:val="24"/>
          <w:szCs w:val="24"/>
          <w:highlight w:val="none"/>
        </w:rPr>
        <w:t>3、</w:t>
      </w:r>
      <w:r>
        <w:rPr>
          <w:rFonts w:hint="eastAsia" w:ascii="宋体" w:hAnsi="宋体" w:eastAsia="宋体" w:cs="宋体"/>
          <w:b/>
          <w:bCs/>
          <w:color w:val="auto"/>
          <w:sz w:val="24"/>
          <w:szCs w:val="24"/>
          <w:highlight w:val="none"/>
          <w:shd w:val="clear" w:color="auto" w:fill="FFFFFF"/>
        </w:rPr>
        <w:t>采购标的的所属行业为</w:t>
      </w:r>
      <w:r>
        <w:rPr>
          <w:rFonts w:hint="eastAsia" w:ascii="宋体" w:hAnsi="宋体" w:eastAsia="宋体" w:cs="宋体"/>
          <w:b/>
          <w:bCs/>
          <w:color w:val="auto"/>
          <w:sz w:val="24"/>
          <w:szCs w:val="24"/>
          <w:highlight w:val="none"/>
          <w:u w:val="single"/>
          <w:shd w:val="clear" w:color="auto" w:fill="FFFFFF"/>
        </w:rPr>
        <w:t>工业</w:t>
      </w:r>
      <w:r>
        <w:rPr>
          <w:rFonts w:hint="eastAsia" w:ascii="宋体" w:hAnsi="宋体" w:eastAsia="宋体" w:cs="宋体"/>
          <w:b/>
          <w:bCs/>
          <w:color w:val="auto"/>
          <w:sz w:val="24"/>
          <w:szCs w:val="24"/>
          <w:highlight w:val="none"/>
          <w:shd w:val="clear" w:color="auto" w:fill="FFFFFF"/>
        </w:rPr>
        <w:t>，根据《工业和信息化部、国家统计局、国家发展和改革委</w:t>
      </w:r>
      <w:r>
        <w:rPr>
          <w:rFonts w:hint="eastAsia"/>
          <w:b/>
          <w:bCs/>
          <w:color w:val="auto"/>
          <w:sz w:val="24"/>
          <w:szCs w:val="24"/>
          <w:highlight w:val="none"/>
        </w:rPr>
        <w:t>员会、财政部关于印发中小企业划型标准规定的通知》（工信部联企业[2011]300号）规定的划分标准填写。</w:t>
      </w:r>
    </w:p>
    <w:p w14:paraId="356DD42B">
      <w:pPr>
        <w:pStyle w:val="48"/>
        <w:pageBreakBefore w:val="0"/>
        <w:widowControl w:val="0"/>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default"/>
          <w:color w:val="auto"/>
          <w:sz w:val="24"/>
          <w:szCs w:val="24"/>
          <w:highlight w:val="none"/>
          <w:lang w:val="en-US" w:eastAsia="zh-CN"/>
        </w:rPr>
      </w:pPr>
      <w:r>
        <w:rPr>
          <w:rFonts w:hint="eastAsia"/>
          <w:color w:val="auto"/>
          <w:sz w:val="24"/>
          <w:szCs w:val="24"/>
          <w:highlight w:val="none"/>
          <w:lang w:val="en-US" w:eastAsia="zh-CN"/>
        </w:rPr>
        <w:t>4、本项目为足额采购，具体各类</w:t>
      </w:r>
      <w:r>
        <w:rPr>
          <w:rFonts w:hint="eastAsia" w:ascii="宋体" w:hAnsi="宋体"/>
          <w:color w:val="auto"/>
          <w:sz w:val="24"/>
          <w:highlight w:val="none"/>
        </w:rPr>
        <w:t>HDPE膜</w:t>
      </w:r>
      <w:r>
        <w:rPr>
          <w:rFonts w:hint="eastAsia"/>
          <w:color w:val="auto"/>
          <w:sz w:val="24"/>
          <w:highlight w:val="none"/>
          <w:lang w:val="en-US" w:eastAsia="zh-CN"/>
        </w:rPr>
        <w:t>的送货数量，根据采购人实际需求确定。</w:t>
      </w:r>
      <w:r>
        <w:rPr>
          <w:rFonts w:hint="eastAsia"/>
          <w:color w:val="auto"/>
          <w:sz w:val="24"/>
          <w:szCs w:val="24"/>
          <w:highlight w:val="none"/>
          <w:lang w:val="en-US" w:eastAsia="zh-CN"/>
        </w:rPr>
        <w:t>报价方式为总单价，即总单价为81.00</w:t>
      </w:r>
      <w:r>
        <w:rPr>
          <w:rFonts w:hint="eastAsia"/>
          <w:b/>
          <w:bCs/>
          <w:color w:val="auto"/>
          <w:szCs w:val="28"/>
          <w:highlight w:val="none"/>
        </w:rPr>
        <w:t>元</w:t>
      </w:r>
      <w:r>
        <w:rPr>
          <w:rFonts w:hint="eastAsia"/>
          <w:b/>
          <w:bCs/>
          <w:color w:val="auto"/>
          <w:szCs w:val="28"/>
          <w:highlight w:val="none"/>
          <w:lang w:val="en-US" w:eastAsia="zh-CN"/>
        </w:rPr>
        <w:t>/㎡</w:t>
      </w:r>
      <w:r>
        <w:rPr>
          <w:rFonts w:hint="eastAsia"/>
          <w:color w:val="auto"/>
          <w:sz w:val="24"/>
          <w:szCs w:val="24"/>
          <w:highlight w:val="none"/>
          <w:lang w:val="en-US" w:eastAsia="zh-CN"/>
        </w:rPr>
        <w:t>，最终结算按投标总单价*各单价占比=各结算单价（保留两位小数）。例如：投标总单价为50</w:t>
      </w:r>
      <w:r>
        <w:rPr>
          <w:rFonts w:hint="eastAsia"/>
          <w:b/>
          <w:bCs/>
          <w:color w:val="auto"/>
          <w:szCs w:val="28"/>
          <w:highlight w:val="none"/>
        </w:rPr>
        <w:t>元</w:t>
      </w:r>
      <w:r>
        <w:rPr>
          <w:rFonts w:hint="eastAsia"/>
          <w:b/>
          <w:bCs/>
          <w:color w:val="auto"/>
          <w:szCs w:val="28"/>
          <w:highlight w:val="none"/>
          <w:lang w:val="en-US" w:eastAsia="zh-CN"/>
        </w:rPr>
        <w:t>/㎡</w:t>
      </w:r>
      <w:r>
        <w:rPr>
          <w:rFonts w:hint="eastAsia"/>
          <w:color w:val="auto"/>
          <w:sz w:val="24"/>
          <w:szCs w:val="24"/>
          <w:highlight w:val="none"/>
          <w:lang w:val="en-US" w:eastAsia="zh-CN"/>
        </w:rPr>
        <w:t>，则</w:t>
      </w:r>
      <w:r>
        <w:rPr>
          <w:rFonts w:hint="eastAsia"/>
          <w:color w:val="auto"/>
          <w:szCs w:val="28"/>
          <w:highlight w:val="none"/>
          <w:lang w:val="en-US" w:eastAsia="zh-CN"/>
        </w:rPr>
        <w:t>厚度</w:t>
      </w:r>
      <w:r>
        <w:rPr>
          <w:rFonts w:hint="eastAsia" w:ascii="宋体" w:hAnsi="宋体"/>
          <w:color w:val="auto"/>
          <w:sz w:val="24"/>
          <w:highlight w:val="none"/>
        </w:rPr>
        <w:t>0.5mm</w:t>
      </w:r>
      <w:r>
        <w:rPr>
          <w:rFonts w:hint="eastAsia"/>
          <w:color w:val="auto"/>
          <w:szCs w:val="28"/>
          <w:highlight w:val="none"/>
          <w:lang w:val="en-US" w:eastAsia="zh-CN"/>
        </w:rPr>
        <w:t>厚度</w:t>
      </w:r>
      <w:r>
        <w:rPr>
          <w:rFonts w:hint="eastAsia" w:ascii="宋体" w:hAnsi="宋体"/>
          <w:color w:val="auto"/>
          <w:sz w:val="24"/>
          <w:highlight w:val="none"/>
        </w:rPr>
        <w:t>HDPE膜</w:t>
      </w:r>
      <w:r>
        <w:rPr>
          <w:rFonts w:hint="eastAsia"/>
          <w:color w:val="auto"/>
          <w:sz w:val="24"/>
          <w:highlight w:val="none"/>
          <w:lang w:eastAsia="zh-CN"/>
        </w:rPr>
        <w:t>、</w:t>
      </w:r>
      <w:r>
        <w:rPr>
          <w:rFonts w:hint="eastAsia" w:ascii="宋体" w:hAnsi="宋体"/>
          <w:color w:val="auto"/>
          <w:sz w:val="24"/>
          <w:highlight w:val="none"/>
        </w:rPr>
        <w:t>1.0mm</w:t>
      </w:r>
      <w:r>
        <w:rPr>
          <w:rFonts w:hint="eastAsia"/>
          <w:color w:val="auto"/>
          <w:szCs w:val="28"/>
          <w:highlight w:val="none"/>
          <w:lang w:val="en-US" w:eastAsia="zh-CN"/>
        </w:rPr>
        <w:t>厚度</w:t>
      </w:r>
      <w:r>
        <w:rPr>
          <w:rFonts w:hint="eastAsia" w:ascii="宋体" w:hAnsi="宋体"/>
          <w:color w:val="auto"/>
          <w:sz w:val="24"/>
          <w:highlight w:val="none"/>
        </w:rPr>
        <w:t>HDPE膜</w:t>
      </w:r>
      <w:r>
        <w:rPr>
          <w:rFonts w:hint="eastAsia"/>
          <w:color w:val="auto"/>
          <w:sz w:val="24"/>
          <w:highlight w:val="none"/>
          <w:lang w:eastAsia="zh-CN"/>
        </w:rPr>
        <w:t>、</w:t>
      </w:r>
      <w:r>
        <w:rPr>
          <w:rFonts w:hint="eastAsia" w:ascii="宋体" w:hAnsi="宋体"/>
          <w:color w:val="auto"/>
          <w:sz w:val="24"/>
          <w:highlight w:val="none"/>
        </w:rPr>
        <w:t>1.5mm</w:t>
      </w:r>
      <w:r>
        <w:rPr>
          <w:rFonts w:hint="eastAsia"/>
          <w:color w:val="auto"/>
          <w:szCs w:val="28"/>
          <w:highlight w:val="none"/>
          <w:lang w:val="en-US" w:eastAsia="zh-CN"/>
        </w:rPr>
        <w:t>厚度</w:t>
      </w:r>
      <w:r>
        <w:rPr>
          <w:rFonts w:hint="eastAsia" w:ascii="宋体" w:hAnsi="宋体"/>
          <w:color w:val="auto"/>
          <w:sz w:val="24"/>
          <w:highlight w:val="none"/>
        </w:rPr>
        <w:t>HDPE膜</w:t>
      </w:r>
      <w:r>
        <w:rPr>
          <w:rFonts w:hint="eastAsia"/>
          <w:color w:val="auto"/>
          <w:sz w:val="24"/>
          <w:highlight w:val="none"/>
          <w:lang w:eastAsia="zh-CN"/>
        </w:rPr>
        <w:t>、</w:t>
      </w:r>
      <w:r>
        <w:rPr>
          <w:rFonts w:hint="eastAsia"/>
          <w:color w:val="auto"/>
          <w:sz w:val="24"/>
          <w:highlight w:val="none"/>
          <w:lang w:val="en-US" w:eastAsia="zh-CN"/>
        </w:rPr>
        <w:t>2.0</w:t>
      </w:r>
      <w:r>
        <w:rPr>
          <w:rFonts w:hint="eastAsia" w:ascii="宋体" w:hAnsi="宋体"/>
          <w:color w:val="auto"/>
          <w:sz w:val="24"/>
          <w:highlight w:val="none"/>
        </w:rPr>
        <w:t>mmHDPE膜</w:t>
      </w:r>
      <w:r>
        <w:rPr>
          <w:rFonts w:hint="eastAsia" w:ascii="宋体" w:hAnsi="宋体"/>
          <w:color w:val="auto"/>
          <w:sz w:val="24"/>
          <w:highlight w:val="none"/>
          <w:lang w:eastAsia="zh-CN"/>
        </w:rPr>
        <w:t>（单糙）</w:t>
      </w:r>
      <w:r>
        <w:rPr>
          <w:rFonts w:hint="eastAsia"/>
          <w:color w:val="auto"/>
          <w:sz w:val="24"/>
          <w:highlight w:val="none"/>
          <w:lang w:eastAsia="zh-CN"/>
        </w:rPr>
        <w:t>，</w:t>
      </w:r>
      <w:r>
        <w:rPr>
          <w:rFonts w:hint="eastAsia"/>
          <w:color w:val="auto"/>
          <w:sz w:val="24"/>
          <w:highlight w:val="none"/>
          <w:lang w:val="en-US" w:eastAsia="zh-CN"/>
        </w:rPr>
        <w:t>结算单价为</w:t>
      </w:r>
      <w:r>
        <w:rPr>
          <w:rFonts w:hint="eastAsia" w:ascii="宋体" w:hAnsi="宋体" w:eastAsia="宋体" w:cs="宋体"/>
          <w:i w:val="0"/>
          <w:iCs w:val="0"/>
          <w:color w:val="auto"/>
          <w:kern w:val="0"/>
          <w:sz w:val="24"/>
          <w:szCs w:val="24"/>
          <w:highlight w:val="none"/>
          <w:u w:val="none"/>
          <w:lang w:val="en-US" w:eastAsia="zh-CN" w:bidi="ar"/>
        </w:rPr>
        <w:t>4.94</w:t>
      </w:r>
      <w:r>
        <w:rPr>
          <w:rFonts w:hint="eastAsia"/>
          <w:b/>
          <w:bCs/>
          <w:color w:val="auto"/>
          <w:szCs w:val="28"/>
          <w:highlight w:val="none"/>
        </w:rPr>
        <w:t>元</w:t>
      </w:r>
      <w:r>
        <w:rPr>
          <w:rFonts w:hint="eastAsia"/>
          <w:b/>
          <w:bCs/>
          <w:color w:val="auto"/>
          <w:szCs w:val="28"/>
          <w:highlight w:val="none"/>
          <w:lang w:val="en-US" w:eastAsia="zh-CN"/>
        </w:rPr>
        <w:t>/㎡</w:t>
      </w:r>
      <w:r>
        <w:rPr>
          <w:rFonts w:hint="eastAsia"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8.64</w:t>
      </w:r>
      <w:r>
        <w:rPr>
          <w:rFonts w:hint="eastAsia"/>
          <w:b/>
          <w:bCs/>
          <w:color w:val="auto"/>
          <w:szCs w:val="28"/>
          <w:highlight w:val="none"/>
        </w:rPr>
        <w:t>元</w:t>
      </w:r>
      <w:r>
        <w:rPr>
          <w:rFonts w:hint="eastAsia"/>
          <w:b/>
          <w:bCs/>
          <w:color w:val="auto"/>
          <w:szCs w:val="28"/>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 xml:space="preserve"> </w:t>
      </w:r>
      <w:r>
        <w:rPr>
          <w:rFonts w:hint="eastAsia"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14.20</w:t>
      </w:r>
      <w:r>
        <w:rPr>
          <w:rFonts w:hint="eastAsia"/>
          <w:b/>
          <w:bCs/>
          <w:color w:val="auto"/>
          <w:szCs w:val="28"/>
          <w:highlight w:val="none"/>
        </w:rPr>
        <w:t>元</w:t>
      </w:r>
      <w:r>
        <w:rPr>
          <w:rFonts w:hint="eastAsia"/>
          <w:b/>
          <w:bCs/>
          <w:color w:val="auto"/>
          <w:szCs w:val="28"/>
          <w:highlight w:val="none"/>
          <w:lang w:val="en-US" w:eastAsia="zh-CN"/>
        </w:rPr>
        <w:t>/㎡</w:t>
      </w:r>
      <w:r>
        <w:rPr>
          <w:rFonts w:hint="eastAsia"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22.22</w:t>
      </w:r>
      <w:r>
        <w:rPr>
          <w:rFonts w:hint="eastAsia"/>
          <w:b/>
          <w:bCs/>
          <w:color w:val="auto"/>
          <w:szCs w:val="28"/>
          <w:highlight w:val="none"/>
        </w:rPr>
        <w:t>元</w:t>
      </w:r>
      <w:r>
        <w:rPr>
          <w:rFonts w:hint="eastAsia"/>
          <w:b/>
          <w:bCs/>
          <w:color w:val="auto"/>
          <w:szCs w:val="28"/>
          <w:highlight w:val="none"/>
          <w:lang w:val="en-US" w:eastAsia="zh-CN"/>
        </w:rPr>
        <w:t>/㎡。</w:t>
      </w:r>
    </w:p>
    <w:p w14:paraId="4507F833">
      <w:pPr>
        <w:pStyle w:val="48"/>
        <w:pageBreakBefore w:val="0"/>
        <w:widowControl w:val="0"/>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color w:val="auto"/>
          <w:sz w:val="24"/>
          <w:szCs w:val="24"/>
          <w:highlight w:val="none"/>
        </w:rPr>
      </w:pPr>
    </w:p>
    <w:p w14:paraId="360FDC12">
      <w:pPr>
        <w:pStyle w:val="25"/>
        <w:ind w:left="1260"/>
        <w:rPr>
          <w:color w:val="auto"/>
          <w:highlight w:val="none"/>
        </w:rPr>
      </w:pPr>
    </w:p>
    <w:p w14:paraId="354A2CD1">
      <w:pPr>
        <w:keepNext w:val="0"/>
        <w:keepLines w:val="0"/>
        <w:pageBreakBefore/>
        <w:widowControl w:val="0"/>
        <w:kinsoku/>
        <w:wordWrap/>
        <w:overflowPunct/>
        <w:topLinePunct w:val="0"/>
        <w:autoSpaceDE/>
        <w:autoSpaceDN/>
        <w:bidi w:val="0"/>
        <w:adjustRightInd/>
        <w:snapToGrid/>
        <w:spacing w:line="360" w:lineRule="auto"/>
        <w:textAlignment w:val="auto"/>
        <w:rPr>
          <w:b/>
          <w:bCs/>
          <w:color w:val="auto"/>
          <w:sz w:val="28"/>
          <w:szCs w:val="36"/>
          <w:highlight w:val="none"/>
        </w:rPr>
      </w:pPr>
      <w:r>
        <w:rPr>
          <w:rFonts w:hint="eastAsia" w:ascii="宋体" w:hAnsi="宋体" w:cs="宋体"/>
          <w:b/>
          <w:bCs/>
          <w:color w:val="auto"/>
          <w:sz w:val="28"/>
          <w:szCs w:val="36"/>
          <w:highlight w:val="none"/>
        </w:rPr>
        <w:t>分包三</w:t>
      </w:r>
    </w:p>
    <w:p w14:paraId="343729A0">
      <w:pPr>
        <w:pStyle w:val="3"/>
        <w:keepNext w:val="0"/>
        <w:keepLines w:val="0"/>
        <w:widowControl w:val="0"/>
        <w:kinsoku/>
        <w:wordWrap/>
        <w:overflowPunct/>
        <w:topLinePunct w:val="0"/>
        <w:bidi w:val="0"/>
        <w:adjustRightInd/>
        <w:snapToGrid/>
        <w:spacing w:before="0" w:after="0" w:line="360" w:lineRule="auto"/>
        <w:ind w:firstLine="480"/>
        <w:jc w:val="left"/>
        <w:textAlignment w:val="auto"/>
        <w:rPr>
          <w:rFonts w:ascii="宋体" w:hAnsi="宋体" w:cs="宋体"/>
          <w:color w:val="auto"/>
          <w:highlight w:val="none"/>
        </w:rPr>
      </w:pPr>
      <w:r>
        <w:rPr>
          <w:rFonts w:hint="eastAsia" w:ascii="宋体" w:hAnsi="宋体" w:cs="宋体"/>
          <w:b w:val="0"/>
          <w:bCs w:val="0"/>
          <w:color w:val="auto"/>
          <w:sz w:val="24"/>
          <w:szCs w:val="24"/>
          <w:highlight w:val="none"/>
        </w:rPr>
        <w:t>一、项目属性：</w:t>
      </w:r>
      <w:r>
        <w:rPr>
          <w:rFonts w:hint="eastAsia" w:ascii="宋体" w:hAnsi="宋体" w:cs="宋体"/>
          <w:b w:val="0"/>
          <w:bCs w:val="0"/>
          <w:color w:val="auto"/>
          <w:sz w:val="24"/>
          <w:szCs w:val="24"/>
          <w:highlight w:val="none"/>
          <w:lang w:val="en-US" w:eastAsia="zh-CN"/>
        </w:rPr>
        <w:t>服务</w:t>
      </w:r>
      <w:r>
        <w:rPr>
          <w:rFonts w:hint="eastAsia" w:ascii="宋体" w:hAnsi="宋体" w:cs="宋体"/>
          <w:b w:val="0"/>
          <w:bCs w:val="0"/>
          <w:color w:val="auto"/>
          <w:sz w:val="24"/>
          <w:szCs w:val="24"/>
          <w:highlight w:val="none"/>
        </w:rPr>
        <w:t>类项目。</w:t>
      </w:r>
    </w:p>
    <w:p w14:paraId="1EEB754B">
      <w:pPr>
        <w:pStyle w:val="48"/>
        <w:keepNext w:val="0"/>
        <w:keepLines w:val="0"/>
        <w:widowControl w:val="0"/>
        <w:kinsoku/>
        <w:wordWrap/>
        <w:overflowPunct/>
        <w:topLinePunct w:val="0"/>
        <w:bidi w:val="0"/>
        <w:adjustRightInd/>
        <w:snapToGrid/>
        <w:spacing w:before="0" w:beforeAutospacing="0" w:after="0" w:afterAutospacing="0" w:line="360" w:lineRule="auto"/>
        <w:ind w:firstLine="480" w:firstLineChars="200"/>
        <w:jc w:val="both"/>
        <w:textAlignment w:val="auto"/>
        <w:rPr>
          <w:b/>
          <w:bCs/>
          <w:color w:val="auto"/>
          <w:highlight w:val="none"/>
        </w:rPr>
      </w:pPr>
      <w:r>
        <w:rPr>
          <w:rFonts w:hint="eastAsia"/>
          <w:color w:val="auto"/>
          <w:highlight w:val="none"/>
        </w:rPr>
        <w:t>二、</w:t>
      </w:r>
      <w:r>
        <w:rPr>
          <w:rFonts w:hint="eastAsia"/>
          <w:color w:val="auto"/>
          <w:highlight w:val="none"/>
          <w:lang w:val="en-US" w:eastAsia="zh-CN"/>
        </w:rPr>
        <w:t>服务需求</w:t>
      </w:r>
      <w:r>
        <w:rPr>
          <w:rFonts w:hint="eastAsia"/>
          <w:b/>
          <w:bCs/>
          <w:color w:val="auto"/>
          <w:highlight w:val="none"/>
        </w:rPr>
        <w:t>：</w:t>
      </w:r>
    </w:p>
    <w:p w14:paraId="716955F4">
      <w:pPr>
        <w:keepNext w:val="0"/>
        <w:keepLines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Times New Roman" w:eastAsia="宋体" w:cs="宋体"/>
          <w:b w:val="0"/>
          <w:bCs w:val="0"/>
          <w:color w:val="auto"/>
          <w:kern w:val="0"/>
          <w:sz w:val="24"/>
          <w:highlight w:val="none"/>
        </w:rPr>
      </w:pPr>
      <w:r>
        <w:rPr>
          <w:rFonts w:hint="eastAsia" w:ascii="宋体" w:hAnsi="Times New Roman" w:eastAsia="宋体" w:cs="宋体"/>
          <w:b w:val="0"/>
          <w:bCs w:val="0"/>
          <w:color w:val="auto"/>
          <w:kern w:val="0"/>
          <w:sz w:val="24"/>
          <w:highlight w:val="none"/>
          <w:lang w:val="en-US" w:eastAsia="zh-CN"/>
        </w:rPr>
        <w:t>1</w:t>
      </w:r>
      <w:r>
        <w:rPr>
          <w:rFonts w:hint="eastAsia" w:ascii="宋体" w:hAnsi="Times New Roman" w:eastAsia="宋体" w:cs="宋体"/>
          <w:b w:val="0"/>
          <w:bCs w:val="0"/>
          <w:color w:val="auto"/>
          <w:kern w:val="0"/>
          <w:sz w:val="24"/>
          <w:highlight w:val="none"/>
        </w:rPr>
        <w:t>、建设项目概况</w:t>
      </w:r>
    </w:p>
    <w:p w14:paraId="27C6C960">
      <w:pPr>
        <w:keepNext w:val="0"/>
        <w:keepLines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cs="宋体"/>
          <w:b w:val="0"/>
          <w:bCs w:val="0"/>
          <w:color w:val="auto"/>
          <w:kern w:val="0"/>
          <w:sz w:val="24"/>
          <w:highlight w:val="none"/>
        </w:rPr>
      </w:pPr>
      <w:r>
        <w:rPr>
          <w:rFonts w:hint="eastAsia" w:ascii="宋体" w:cs="宋体"/>
          <w:b w:val="0"/>
          <w:bCs w:val="0"/>
          <w:color w:val="auto"/>
          <w:kern w:val="0"/>
          <w:sz w:val="24"/>
          <w:highlight w:val="none"/>
        </w:rPr>
        <w:t>盐城市大丰区生活垃圾处理场及飞灰填埋运行服务项目，项目地点盐城市大丰区草庙镇静脉产业园。</w:t>
      </w:r>
    </w:p>
    <w:p w14:paraId="4A715AF1">
      <w:pPr>
        <w:keepNext w:val="0"/>
        <w:keepLines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2、验收执行标准</w:t>
      </w:r>
    </w:p>
    <w:p w14:paraId="75E13BA3">
      <w:pPr>
        <w:keepNext w:val="0"/>
        <w:keepLines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cs="宋体"/>
          <w:b w:val="0"/>
          <w:bCs w:val="0"/>
          <w:color w:val="auto"/>
          <w:kern w:val="0"/>
          <w:sz w:val="24"/>
          <w:highlight w:val="none"/>
        </w:rPr>
      </w:pPr>
      <w:r>
        <w:rPr>
          <w:rFonts w:hint="eastAsia" w:ascii="宋体" w:cs="宋体"/>
          <w:b w:val="0"/>
          <w:bCs w:val="0"/>
          <w:color w:val="auto"/>
          <w:kern w:val="0"/>
          <w:sz w:val="24"/>
          <w:highlight w:val="none"/>
        </w:rPr>
        <w:t>按环境要素列出验收执行的环境质量标准、国家或地方污染物排放标准标准等级和限值，主要污染物总量指标。</w:t>
      </w:r>
    </w:p>
    <w:p w14:paraId="543A0862">
      <w:pPr>
        <w:keepNext w:val="0"/>
        <w:keepLines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cs="宋体"/>
          <w:b w:val="0"/>
          <w:bCs w:val="0"/>
          <w:color w:val="auto"/>
          <w:kern w:val="0"/>
          <w:sz w:val="24"/>
          <w:highlight w:val="none"/>
        </w:rPr>
      </w:pPr>
      <w:r>
        <w:rPr>
          <w:rFonts w:hint="eastAsia" w:ascii="宋体" w:hAnsi="宋体" w:cs="宋体"/>
          <w:b w:val="0"/>
          <w:bCs w:val="0"/>
          <w:color w:val="auto"/>
          <w:kern w:val="0"/>
          <w:sz w:val="24"/>
          <w:highlight w:val="none"/>
        </w:rPr>
        <w:t>3、项目</w:t>
      </w:r>
      <w:r>
        <w:rPr>
          <w:rFonts w:hint="eastAsia" w:ascii="宋体" w:hAnsi="宋体" w:cs="宋体"/>
          <w:b w:val="0"/>
          <w:bCs w:val="0"/>
          <w:color w:val="auto"/>
          <w:kern w:val="0"/>
          <w:sz w:val="24"/>
          <w:highlight w:val="none"/>
          <w:lang w:eastAsia="zh-CN"/>
        </w:rPr>
        <w:t>检测</w:t>
      </w:r>
      <w:r>
        <w:rPr>
          <w:rFonts w:hint="eastAsia" w:ascii="宋体" w:hAnsi="宋体" w:cs="宋体"/>
          <w:b w:val="0"/>
          <w:bCs w:val="0"/>
          <w:color w:val="auto"/>
          <w:kern w:val="0"/>
          <w:sz w:val="24"/>
          <w:highlight w:val="none"/>
        </w:rPr>
        <w:t>依据</w:t>
      </w:r>
    </w:p>
    <w:p w14:paraId="6DDE6584">
      <w:pPr>
        <w:keepNext w:val="0"/>
        <w:keepLines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ascii="宋体" w:cs="宋体"/>
          <w:b w:val="0"/>
          <w:bCs w:val="0"/>
          <w:color w:val="auto"/>
          <w:kern w:val="0"/>
          <w:sz w:val="24"/>
          <w:highlight w:val="none"/>
        </w:rPr>
      </w:pPr>
      <w:r>
        <w:rPr>
          <w:rFonts w:hint="eastAsia" w:ascii="宋体" w:cs="宋体"/>
          <w:b w:val="0"/>
          <w:bCs w:val="0"/>
          <w:color w:val="auto"/>
          <w:kern w:val="0"/>
          <w:sz w:val="24"/>
          <w:highlight w:val="none"/>
        </w:rPr>
        <w:t>环境保护相关法律、法规和规章制度；</w:t>
      </w:r>
    </w:p>
    <w:p w14:paraId="02A3A2B5">
      <w:pPr>
        <w:keepNext w:val="0"/>
        <w:keepLines w:val="0"/>
        <w:widowControl w:val="0"/>
        <w:kinsoku/>
        <w:wordWrap/>
        <w:overflowPunct/>
        <w:topLinePunct w:val="0"/>
        <w:autoSpaceDE w:val="0"/>
        <w:autoSpaceDN w:val="0"/>
        <w:bidi w:val="0"/>
        <w:adjustRightInd/>
        <w:snapToGrid/>
        <w:spacing w:line="360" w:lineRule="auto"/>
        <w:jc w:val="left"/>
        <w:textAlignment w:val="auto"/>
        <w:rPr>
          <w:rFonts w:hint="eastAsia" w:ascii="宋体" w:cs="宋体"/>
          <w:b w:val="0"/>
          <w:bCs w:val="0"/>
          <w:color w:val="auto"/>
          <w:kern w:val="0"/>
          <w:sz w:val="24"/>
          <w:highlight w:val="none"/>
        </w:rPr>
      </w:pPr>
      <w:r>
        <w:rPr>
          <w:rFonts w:hint="eastAsia" w:ascii="宋体" w:cs="宋体"/>
          <w:b w:val="0"/>
          <w:bCs w:val="0"/>
          <w:color w:val="auto"/>
          <w:kern w:val="0"/>
          <w:sz w:val="24"/>
          <w:highlight w:val="none"/>
        </w:rPr>
        <w:t>（1）《生活垃圾填埋场污染控制标准》GB16889-2008</w:t>
      </w:r>
    </w:p>
    <w:p w14:paraId="513BCD63">
      <w:pPr>
        <w:keepNext w:val="0"/>
        <w:keepLines w:val="0"/>
        <w:widowControl w:val="0"/>
        <w:kinsoku/>
        <w:wordWrap/>
        <w:overflowPunct/>
        <w:topLinePunct w:val="0"/>
        <w:autoSpaceDE w:val="0"/>
        <w:autoSpaceDN w:val="0"/>
        <w:bidi w:val="0"/>
        <w:adjustRightInd/>
        <w:snapToGrid/>
        <w:spacing w:line="360" w:lineRule="auto"/>
        <w:jc w:val="left"/>
        <w:textAlignment w:val="auto"/>
        <w:rPr>
          <w:rFonts w:hint="eastAsia" w:ascii="宋体" w:cs="宋体"/>
          <w:b w:val="0"/>
          <w:bCs w:val="0"/>
          <w:color w:val="auto"/>
          <w:kern w:val="0"/>
          <w:sz w:val="24"/>
          <w:highlight w:val="none"/>
        </w:rPr>
      </w:pPr>
      <w:r>
        <w:rPr>
          <w:rFonts w:ascii="宋体" w:cs="宋体"/>
          <w:b w:val="0"/>
          <w:bCs w:val="0"/>
          <w:color w:val="auto"/>
          <w:kern w:val="0"/>
          <w:sz w:val="24"/>
          <w:highlight w:val="none"/>
        </w:rPr>
        <w:t>（</w:t>
      </w:r>
      <w:r>
        <w:rPr>
          <w:rFonts w:hint="eastAsia" w:ascii="宋体" w:cs="宋体"/>
          <w:b w:val="0"/>
          <w:bCs w:val="0"/>
          <w:color w:val="auto"/>
          <w:kern w:val="0"/>
          <w:sz w:val="24"/>
          <w:highlight w:val="none"/>
        </w:rPr>
        <w:t>2）《生活垃圾卫生填埋场环境监测技术要求》（</w:t>
      </w:r>
      <w:r>
        <w:rPr>
          <w:rFonts w:ascii="宋体" w:cs="宋体"/>
          <w:b w:val="0"/>
          <w:bCs w:val="0"/>
          <w:color w:val="auto"/>
          <w:kern w:val="0"/>
          <w:sz w:val="24"/>
          <w:highlight w:val="none"/>
        </w:rPr>
        <w:fldChar w:fldCharType="begin"/>
      </w:r>
      <w:r>
        <w:rPr>
          <w:rFonts w:ascii="宋体" w:cs="宋体"/>
          <w:b w:val="0"/>
          <w:bCs w:val="0"/>
          <w:color w:val="auto"/>
          <w:kern w:val="0"/>
          <w:sz w:val="24"/>
          <w:highlight w:val="none"/>
        </w:rPr>
        <w:instrText xml:space="preserve"> HYPERLINK "http://www.so.com/link?m=a88IX/3aSO3atvMOAsOhJ1NzB4IqwMCUitlhS96It/nHxxfQqyXPrtK+8Ut4ATj6DE0P1CutZALppOaXzF1LjchYxQu7WhPf5fd+Z6s4jFPxcFgiLHYBFxQR+m/zVxIPyhv11YNcz/mBkH/xXAhIbnyCWOPc86vKiRR2Xs2tEV4F2pO1rEDIIG1VtQNIajbChLH/+obSSYX5tsYG/MKVqSZgg/nR6M8SutdyYwQ==" \t "https://www.so.com/_blank" </w:instrText>
      </w:r>
      <w:r>
        <w:rPr>
          <w:rFonts w:ascii="宋体" w:cs="宋体"/>
          <w:b w:val="0"/>
          <w:bCs w:val="0"/>
          <w:color w:val="auto"/>
          <w:kern w:val="0"/>
          <w:sz w:val="24"/>
          <w:highlight w:val="none"/>
        </w:rPr>
        <w:fldChar w:fldCharType="separate"/>
      </w:r>
      <w:r>
        <w:rPr>
          <w:rStyle w:val="61"/>
          <w:rFonts w:ascii="宋体" w:cs="宋体"/>
          <w:b w:val="0"/>
          <w:bCs w:val="0"/>
          <w:color w:val="auto"/>
          <w:kern w:val="0"/>
          <w:sz w:val="24"/>
          <w:highlight w:val="none"/>
        </w:rPr>
        <w:t>GB T 18772-2017</w:t>
      </w:r>
      <w:r>
        <w:rPr>
          <w:rFonts w:ascii="宋体" w:cs="宋体"/>
          <w:b w:val="0"/>
          <w:bCs w:val="0"/>
          <w:color w:val="auto"/>
          <w:kern w:val="0"/>
          <w:sz w:val="24"/>
          <w:highlight w:val="none"/>
        </w:rPr>
        <w:fldChar w:fldCharType="end"/>
      </w:r>
      <w:r>
        <w:rPr>
          <w:rFonts w:hint="eastAsia" w:ascii="宋体" w:cs="宋体"/>
          <w:b w:val="0"/>
          <w:bCs w:val="0"/>
          <w:color w:val="auto"/>
          <w:kern w:val="0"/>
          <w:sz w:val="24"/>
          <w:highlight w:val="none"/>
        </w:rPr>
        <w:t>）；</w:t>
      </w:r>
    </w:p>
    <w:p w14:paraId="67ED3930">
      <w:pPr>
        <w:keepNext w:val="0"/>
        <w:keepLines w:val="0"/>
        <w:widowControl w:val="0"/>
        <w:kinsoku/>
        <w:wordWrap/>
        <w:overflowPunct/>
        <w:topLinePunct w:val="0"/>
        <w:autoSpaceDE w:val="0"/>
        <w:autoSpaceDN w:val="0"/>
        <w:bidi w:val="0"/>
        <w:adjustRightInd/>
        <w:snapToGrid/>
        <w:spacing w:line="360" w:lineRule="auto"/>
        <w:jc w:val="left"/>
        <w:textAlignment w:val="auto"/>
        <w:rPr>
          <w:rFonts w:hint="eastAsia" w:ascii="宋体" w:cs="宋体"/>
          <w:b w:val="0"/>
          <w:bCs w:val="0"/>
          <w:color w:val="auto"/>
          <w:kern w:val="0"/>
          <w:sz w:val="24"/>
          <w:highlight w:val="none"/>
        </w:rPr>
      </w:pPr>
      <w:r>
        <w:rPr>
          <w:rFonts w:hint="eastAsia" w:ascii="宋体" w:cs="宋体"/>
          <w:b w:val="0"/>
          <w:bCs w:val="0"/>
          <w:color w:val="auto"/>
          <w:kern w:val="0"/>
          <w:sz w:val="24"/>
          <w:highlight w:val="none"/>
        </w:rPr>
        <w:t>（3）</w:t>
      </w:r>
      <w:r>
        <w:rPr>
          <w:rFonts w:ascii="宋体" w:cs="宋体"/>
          <w:b w:val="0"/>
          <w:bCs w:val="0"/>
          <w:color w:val="auto"/>
          <w:kern w:val="0"/>
          <w:sz w:val="24"/>
          <w:highlight w:val="none"/>
        </w:rPr>
        <w:t>污水综合排放标准</w:t>
      </w:r>
      <w:r>
        <w:rPr>
          <w:rFonts w:hint="eastAsia" w:ascii="宋体" w:cs="宋体"/>
          <w:b w:val="0"/>
          <w:bCs w:val="0"/>
          <w:color w:val="auto"/>
          <w:kern w:val="0"/>
          <w:sz w:val="24"/>
          <w:highlight w:val="none"/>
        </w:rPr>
        <w:t>（</w:t>
      </w:r>
      <w:r>
        <w:rPr>
          <w:rFonts w:ascii="宋体" w:cs="宋体"/>
          <w:b w:val="0"/>
          <w:bCs w:val="0"/>
          <w:color w:val="auto"/>
          <w:kern w:val="0"/>
          <w:sz w:val="24"/>
          <w:highlight w:val="none"/>
        </w:rPr>
        <w:t>GB8978-1996</w:t>
      </w:r>
      <w:r>
        <w:rPr>
          <w:rFonts w:hint="eastAsia" w:ascii="宋体" w:cs="宋体"/>
          <w:b w:val="0"/>
          <w:bCs w:val="0"/>
          <w:color w:val="auto"/>
          <w:kern w:val="0"/>
          <w:sz w:val="24"/>
          <w:highlight w:val="none"/>
        </w:rPr>
        <w:t>）；</w:t>
      </w:r>
    </w:p>
    <w:p w14:paraId="537E5FCC">
      <w:pPr>
        <w:keepNext w:val="0"/>
        <w:keepLines w:val="0"/>
        <w:widowControl w:val="0"/>
        <w:kinsoku/>
        <w:wordWrap/>
        <w:overflowPunct/>
        <w:topLinePunct w:val="0"/>
        <w:autoSpaceDE w:val="0"/>
        <w:autoSpaceDN w:val="0"/>
        <w:bidi w:val="0"/>
        <w:adjustRightInd/>
        <w:snapToGrid/>
        <w:spacing w:line="360" w:lineRule="auto"/>
        <w:jc w:val="left"/>
        <w:textAlignment w:val="auto"/>
        <w:rPr>
          <w:rFonts w:ascii="宋体" w:cs="宋体"/>
          <w:b w:val="0"/>
          <w:bCs w:val="0"/>
          <w:color w:val="auto"/>
          <w:kern w:val="0"/>
          <w:sz w:val="24"/>
          <w:highlight w:val="none"/>
        </w:rPr>
      </w:pPr>
      <w:r>
        <w:rPr>
          <w:rFonts w:hint="eastAsia" w:ascii="宋体" w:cs="宋体"/>
          <w:b w:val="0"/>
          <w:bCs w:val="0"/>
          <w:color w:val="auto"/>
          <w:kern w:val="0"/>
          <w:sz w:val="24"/>
          <w:highlight w:val="none"/>
        </w:rPr>
        <w:t>（4）</w:t>
      </w:r>
      <w:r>
        <w:rPr>
          <w:rFonts w:ascii="宋体" w:cs="宋体"/>
          <w:b w:val="0"/>
          <w:bCs w:val="0"/>
          <w:color w:val="auto"/>
          <w:kern w:val="0"/>
          <w:sz w:val="24"/>
          <w:highlight w:val="none"/>
        </w:rPr>
        <w:t>生活垃圾焚烧污染控制标准</w:t>
      </w:r>
      <w:r>
        <w:rPr>
          <w:rFonts w:hint="eastAsia" w:ascii="宋体" w:cs="宋体"/>
          <w:b w:val="0"/>
          <w:bCs w:val="0"/>
          <w:color w:val="auto"/>
          <w:kern w:val="0"/>
          <w:sz w:val="24"/>
          <w:highlight w:val="none"/>
        </w:rPr>
        <w:t>（</w:t>
      </w:r>
      <w:r>
        <w:rPr>
          <w:rFonts w:ascii="宋体" w:cs="宋体"/>
          <w:b w:val="0"/>
          <w:bCs w:val="0"/>
          <w:color w:val="auto"/>
          <w:kern w:val="0"/>
          <w:sz w:val="24"/>
          <w:highlight w:val="none"/>
        </w:rPr>
        <w:t>GB 18485-2014</w:t>
      </w:r>
      <w:r>
        <w:rPr>
          <w:rFonts w:hint="eastAsia" w:ascii="宋体" w:cs="宋体"/>
          <w:b w:val="0"/>
          <w:bCs w:val="0"/>
          <w:color w:val="auto"/>
          <w:kern w:val="0"/>
          <w:sz w:val="24"/>
          <w:highlight w:val="none"/>
        </w:rPr>
        <w:t>）；</w:t>
      </w:r>
    </w:p>
    <w:p w14:paraId="25C6845E">
      <w:pPr>
        <w:keepNext w:val="0"/>
        <w:keepLines w:val="0"/>
        <w:widowControl w:val="0"/>
        <w:kinsoku/>
        <w:wordWrap/>
        <w:overflowPunct/>
        <w:topLinePunct w:val="0"/>
        <w:autoSpaceDE w:val="0"/>
        <w:autoSpaceDN w:val="0"/>
        <w:bidi w:val="0"/>
        <w:adjustRightInd/>
        <w:snapToGrid/>
        <w:spacing w:line="360" w:lineRule="auto"/>
        <w:jc w:val="left"/>
        <w:textAlignment w:val="auto"/>
        <w:rPr>
          <w:rFonts w:ascii="宋体" w:cs="宋体"/>
          <w:b w:val="0"/>
          <w:bCs w:val="0"/>
          <w:color w:val="auto"/>
          <w:kern w:val="0"/>
          <w:sz w:val="24"/>
          <w:highlight w:val="none"/>
        </w:rPr>
      </w:pPr>
      <w:r>
        <w:rPr>
          <w:rFonts w:hint="eastAsia" w:ascii="宋体" w:cs="宋体"/>
          <w:b w:val="0"/>
          <w:bCs w:val="0"/>
          <w:color w:val="auto"/>
          <w:kern w:val="0"/>
          <w:sz w:val="24"/>
          <w:highlight w:val="none"/>
        </w:rPr>
        <w:t>（5）江苏省地方标准《生活垃圾焚烧稳定化飞灰填埋处置技术标准》（</w:t>
      </w:r>
      <w:r>
        <w:rPr>
          <w:rFonts w:ascii="宋体" w:cs="宋体"/>
          <w:b w:val="0"/>
          <w:bCs w:val="0"/>
          <w:color w:val="auto"/>
          <w:kern w:val="0"/>
          <w:sz w:val="24"/>
          <w:highlight w:val="none"/>
        </w:rPr>
        <w:t>DB21/T4076-2021</w:t>
      </w:r>
      <w:r>
        <w:rPr>
          <w:rFonts w:hint="eastAsia" w:ascii="宋体" w:cs="宋体"/>
          <w:b w:val="0"/>
          <w:bCs w:val="0"/>
          <w:color w:val="auto"/>
          <w:kern w:val="0"/>
          <w:sz w:val="24"/>
          <w:highlight w:val="none"/>
        </w:rPr>
        <w:t>）；</w:t>
      </w:r>
    </w:p>
    <w:p w14:paraId="7E756071">
      <w:pPr>
        <w:keepNext w:val="0"/>
        <w:keepLines w:val="0"/>
        <w:widowControl w:val="0"/>
        <w:kinsoku/>
        <w:wordWrap/>
        <w:overflowPunct/>
        <w:topLinePunct w:val="0"/>
        <w:autoSpaceDE w:val="0"/>
        <w:autoSpaceDN w:val="0"/>
        <w:bidi w:val="0"/>
        <w:adjustRightInd/>
        <w:snapToGrid/>
        <w:spacing w:line="360" w:lineRule="auto"/>
        <w:jc w:val="left"/>
        <w:textAlignment w:val="auto"/>
        <w:rPr>
          <w:rFonts w:ascii="宋体" w:cs="宋体"/>
          <w:b w:val="0"/>
          <w:bCs w:val="0"/>
          <w:color w:val="auto"/>
          <w:kern w:val="0"/>
          <w:sz w:val="24"/>
          <w:highlight w:val="none"/>
        </w:rPr>
      </w:pPr>
      <w:r>
        <w:rPr>
          <w:rFonts w:ascii="宋体" w:cs="宋体"/>
          <w:b w:val="0"/>
          <w:bCs w:val="0"/>
          <w:color w:val="auto"/>
          <w:kern w:val="0"/>
          <w:sz w:val="24"/>
          <w:highlight w:val="none"/>
        </w:rPr>
        <w:t>（</w:t>
      </w:r>
      <w:r>
        <w:rPr>
          <w:rFonts w:hint="eastAsia" w:ascii="宋体" w:cs="宋体"/>
          <w:b w:val="0"/>
          <w:bCs w:val="0"/>
          <w:color w:val="auto"/>
          <w:kern w:val="0"/>
          <w:sz w:val="24"/>
          <w:highlight w:val="none"/>
        </w:rPr>
        <w:t>6</w:t>
      </w:r>
      <w:r>
        <w:rPr>
          <w:rFonts w:ascii="宋体" w:cs="宋体"/>
          <w:b w:val="0"/>
          <w:bCs w:val="0"/>
          <w:color w:val="auto"/>
          <w:kern w:val="0"/>
          <w:sz w:val="24"/>
          <w:highlight w:val="none"/>
        </w:rPr>
        <w:t>）</w:t>
      </w:r>
      <w:r>
        <w:rPr>
          <w:rFonts w:hint="eastAsia" w:ascii="宋体" w:cs="宋体"/>
          <w:b w:val="0"/>
          <w:bCs w:val="0"/>
          <w:color w:val="auto"/>
          <w:kern w:val="0"/>
          <w:sz w:val="24"/>
          <w:highlight w:val="none"/>
        </w:rPr>
        <w:t>大丰区垃圾处理场环评报告</w:t>
      </w:r>
      <w:r>
        <w:rPr>
          <w:rFonts w:ascii="宋体" w:cs="宋体"/>
          <w:b w:val="0"/>
          <w:bCs w:val="0"/>
          <w:color w:val="auto"/>
          <w:kern w:val="0"/>
          <w:sz w:val="24"/>
          <w:highlight w:val="none"/>
        </w:rPr>
        <w:t>；</w:t>
      </w:r>
    </w:p>
    <w:p w14:paraId="0769848A">
      <w:pPr>
        <w:pStyle w:val="48"/>
        <w:keepNext w:val="0"/>
        <w:keepLines w:val="0"/>
        <w:widowControl w:val="0"/>
        <w:kinsoku/>
        <w:wordWrap/>
        <w:overflowPunct/>
        <w:topLinePunct w:val="0"/>
        <w:bidi w:val="0"/>
        <w:adjustRightInd/>
        <w:snapToGrid/>
        <w:spacing w:before="0" w:beforeAutospacing="0" w:after="0" w:afterAutospacing="0" w:line="360" w:lineRule="auto"/>
        <w:jc w:val="both"/>
        <w:textAlignment w:val="auto"/>
        <w:rPr>
          <w:rFonts w:hint="eastAsia" w:ascii="宋体" w:cs="宋体"/>
          <w:b w:val="0"/>
          <w:bCs w:val="0"/>
          <w:color w:val="auto"/>
          <w:kern w:val="0"/>
          <w:sz w:val="24"/>
          <w:highlight w:val="none"/>
          <w:lang w:val="en-US" w:eastAsia="zh-CN"/>
        </w:rPr>
      </w:pPr>
      <w:r>
        <w:rPr>
          <w:rFonts w:ascii="宋体" w:cs="宋体"/>
          <w:b w:val="0"/>
          <w:bCs w:val="0"/>
          <w:color w:val="auto"/>
          <w:kern w:val="0"/>
          <w:sz w:val="24"/>
          <w:highlight w:val="none"/>
        </w:rPr>
        <w:t>（</w:t>
      </w:r>
      <w:r>
        <w:rPr>
          <w:rFonts w:hint="eastAsia" w:ascii="宋体" w:cs="宋体"/>
          <w:b w:val="0"/>
          <w:bCs w:val="0"/>
          <w:color w:val="auto"/>
          <w:kern w:val="0"/>
          <w:sz w:val="24"/>
          <w:highlight w:val="none"/>
        </w:rPr>
        <w:t>7</w:t>
      </w:r>
      <w:r>
        <w:rPr>
          <w:rFonts w:ascii="宋体" w:cs="宋体"/>
          <w:b w:val="0"/>
          <w:bCs w:val="0"/>
          <w:color w:val="auto"/>
          <w:kern w:val="0"/>
          <w:sz w:val="24"/>
          <w:highlight w:val="none"/>
        </w:rPr>
        <w:t>）</w:t>
      </w:r>
      <w:r>
        <w:rPr>
          <w:rFonts w:hint="eastAsia" w:ascii="宋体" w:cs="宋体"/>
          <w:b w:val="0"/>
          <w:bCs w:val="0"/>
          <w:color w:val="auto"/>
          <w:kern w:val="0"/>
          <w:sz w:val="24"/>
          <w:highlight w:val="none"/>
        </w:rPr>
        <w:t>盐城市大丰区垃圾处理场排污许可证的要</w:t>
      </w:r>
      <w:r>
        <w:rPr>
          <w:rFonts w:hint="eastAsia" w:ascii="宋体" w:cs="宋体"/>
          <w:b w:val="0"/>
          <w:bCs w:val="0"/>
          <w:color w:val="auto"/>
          <w:kern w:val="0"/>
          <w:sz w:val="24"/>
          <w:highlight w:val="none"/>
          <w:lang w:val="en-US" w:eastAsia="zh-CN"/>
        </w:rPr>
        <w:t>求</w:t>
      </w:r>
      <w:r>
        <w:rPr>
          <w:rFonts w:hint="eastAsia" w:cs="宋体"/>
          <w:b w:val="0"/>
          <w:bCs w:val="0"/>
          <w:color w:val="auto"/>
          <w:kern w:val="0"/>
          <w:sz w:val="24"/>
          <w:highlight w:val="none"/>
          <w:lang w:val="en-US" w:eastAsia="zh-CN"/>
        </w:rPr>
        <w:t>；</w:t>
      </w:r>
    </w:p>
    <w:p w14:paraId="6BBF584B">
      <w:pPr>
        <w:pStyle w:val="48"/>
        <w:keepNext w:val="0"/>
        <w:keepLines w:val="0"/>
        <w:widowControl w:val="0"/>
        <w:kinsoku/>
        <w:wordWrap/>
        <w:overflowPunct/>
        <w:topLinePunct w:val="0"/>
        <w:bidi w:val="0"/>
        <w:adjustRightInd/>
        <w:snapToGrid/>
        <w:spacing w:before="0" w:beforeAutospacing="0" w:after="0" w:afterAutospacing="0" w:line="360" w:lineRule="auto"/>
        <w:jc w:val="both"/>
        <w:textAlignment w:val="auto"/>
        <w:rPr>
          <w:rFonts w:hint="default" w:ascii="宋体" w:cs="宋体"/>
          <w:b w:val="0"/>
          <w:bCs w:val="0"/>
          <w:color w:val="auto"/>
          <w:kern w:val="0"/>
          <w:sz w:val="24"/>
          <w:highlight w:val="none"/>
          <w:lang w:val="en-US" w:eastAsia="zh-CN"/>
        </w:rPr>
      </w:pPr>
      <w:r>
        <w:rPr>
          <w:rFonts w:hint="eastAsia" w:cs="宋体"/>
          <w:b w:val="0"/>
          <w:bCs w:val="0"/>
          <w:color w:val="auto"/>
          <w:kern w:val="0"/>
          <w:sz w:val="24"/>
          <w:highlight w:val="none"/>
          <w:lang w:val="en-US" w:eastAsia="zh-CN"/>
        </w:rPr>
        <w:t>（8）国家、省、市、区，最新的检测要求及因子。</w:t>
      </w:r>
    </w:p>
    <w:p w14:paraId="71E69999">
      <w:pPr>
        <w:pStyle w:val="48"/>
        <w:keepNext w:val="0"/>
        <w:keepLines w:val="0"/>
        <w:widowControl w:val="0"/>
        <w:kinsoku/>
        <w:wordWrap/>
        <w:overflowPunct/>
        <w:topLinePunct w:val="0"/>
        <w:bidi w:val="0"/>
        <w:adjustRightInd/>
        <w:snapToGrid/>
        <w:spacing w:before="0" w:beforeAutospacing="0" w:after="0" w:afterAutospacing="0" w:line="360" w:lineRule="auto"/>
        <w:jc w:val="both"/>
        <w:textAlignment w:val="auto"/>
        <w:rPr>
          <w:rFonts w:hint="eastAsia" w:cs="宋体"/>
          <w:b w:val="0"/>
          <w:bCs w:val="0"/>
          <w:color w:val="auto"/>
          <w:kern w:val="0"/>
          <w:sz w:val="24"/>
          <w:highlight w:val="none"/>
          <w:lang w:val="en-US" w:eastAsia="zh-CN"/>
        </w:rPr>
      </w:pPr>
      <w:r>
        <w:rPr>
          <w:rFonts w:hint="eastAsia" w:cs="宋体"/>
          <w:b w:val="0"/>
          <w:bCs w:val="0"/>
          <w:color w:val="auto"/>
          <w:kern w:val="0"/>
          <w:sz w:val="24"/>
          <w:highlight w:val="none"/>
          <w:lang w:val="en-US" w:eastAsia="zh-CN"/>
        </w:rPr>
        <w:t>4、检测细则</w:t>
      </w:r>
    </w:p>
    <w:p w14:paraId="3B87442E">
      <w:pPr>
        <w:pStyle w:val="17"/>
        <w:spacing w:line="360" w:lineRule="auto"/>
        <w:rPr>
          <w:rFonts w:hint="eastAsia" w:eastAsia="宋体"/>
          <w:color w:val="auto"/>
          <w:sz w:val="24"/>
          <w:szCs w:val="24"/>
          <w:highlight w:val="none"/>
          <w:lang w:eastAsia="zh-CN"/>
        </w:rPr>
      </w:pPr>
      <w:r>
        <w:rPr>
          <w:rFonts w:hint="eastAsia"/>
          <w:color w:val="auto"/>
          <w:sz w:val="24"/>
          <w:szCs w:val="24"/>
          <w:highlight w:val="none"/>
        </w:rPr>
        <w:t>渗滤液处理设施入口及排放口：悬浮物、化学需氧量、五日生化需氧量、氨氮</w:t>
      </w:r>
      <w:r>
        <w:rPr>
          <w:rFonts w:hint="eastAsia"/>
          <w:color w:val="auto"/>
          <w:sz w:val="24"/>
          <w:szCs w:val="24"/>
          <w:highlight w:val="none"/>
          <w:lang w:eastAsia="zh-CN"/>
        </w:rPr>
        <w:t>；</w:t>
      </w:r>
    </w:p>
    <w:p w14:paraId="7C09D91C">
      <w:pPr>
        <w:pStyle w:val="17"/>
        <w:spacing w:line="360" w:lineRule="auto"/>
        <w:rPr>
          <w:rFonts w:hint="eastAsia" w:eastAsia="宋体"/>
          <w:color w:val="auto"/>
          <w:sz w:val="24"/>
          <w:szCs w:val="24"/>
          <w:highlight w:val="none"/>
          <w:lang w:eastAsia="zh-CN"/>
        </w:rPr>
      </w:pPr>
      <w:r>
        <w:rPr>
          <w:rFonts w:hint="eastAsia"/>
          <w:color w:val="auto"/>
          <w:sz w:val="24"/>
          <w:szCs w:val="24"/>
          <w:highlight w:val="none"/>
        </w:rPr>
        <w:t>填埋作业点噪声：昼夜噪声</w:t>
      </w:r>
      <w:r>
        <w:rPr>
          <w:rFonts w:hint="eastAsia"/>
          <w:color w:val="auto"/>
          <w:sz w:val="24"/>
          <w:szCs w:val="24"/>
          <w:highlight w:val="none"/>
          <w:lang w:eastAsia="zh-CN"/>
        </w:rPr>
        <w:t>；</w:t>
      </w:r>
    </w:p>
    <w:p w14:paraId="442E4B98">
      <w:pPr>
        <w:pStyle w:val="17"/>
        <w:spacing w:line="360" w:lineRule="auto"/>
        <w:rPr>
          <w:rFonts w:hint="eastAsia" w:eastAsia="宋体"/>
          <w:color w:val="auto"/>
          <w:sz w:val="24"/>
          <w:szCs w:val="24"/>
          <w:highlight w:val="none"/>
          <w:lang w:eastAsia="zh-CN"/>
        </w:rPr>
      </w:pPr>
      <w:r>
        <w:rPr>
          <w:rFonts w:hint="eastAsia"/>
          <w:color w:val="auto"/>
          <w:sz w:val="24"/>
          <w:szCs w:val="24"/>
          <w:highlight w:val="none"/>
        </w:rPr>
        <w:t>大气环境：二氧化硫、可吸入颗粒物、氮氧 化物、氨气、硫化氢</w:t>
      </w:r>
      <w:r>
        <w:rPr>
          <w:rFonts w:hint="eastAsia"/>
          <w:color w:val="auto"/>
          <w:sz w:val="24"/>
          <w:szCs w:val="24"/>
          <w:highlight w:val="none"/>
          <w:lang w:eastAsia="zh-CN"/>
        </w:rPr>
        <w:t>；</w:t>
      </w:r>
    </w:p>
    <w:p w14:paraId="43C6D40A">
      <w:pPr>
        <w:pStyle w:val="17"/>
        <w:spacing w:line="360" w:lineRule="auto"/>
        <w:rPr>
          <w:rFonts w:hint="eastAsia" w:eastAsia="宋体"/>
          <w:color w:val="auto"/>
          <w:sz w:val="24"/>
          <w:szCs w:val="24"/>
          <w:highlight w:val="none"/>
          <w:lang w:eastAsia="zh-CN"/>
        </w:rPr>
      </w:pPr>
      <w:r>
        <w:rPr>
          <w:rFonts w:hint="eastAsia"/>
          <w:color w:val="auto"/>
          <w:sz w:val="24"/>
          <w:szCs w:val="24"/>
          <w:highlight w:val="none"/>
        </w:rPr>
        <w:t>地表水：pH 值、化学需氧量、氨氮、总磷、六价铬、镉、镍、铅、 汞</w:t>
      </w:r>
      <w:r>
        <w:rPr>
          <w:rFonts w:hint="eastAsia"/>
          <w:color w:val="auto"/>
          <w:sz w:val="24"/>
          <w:szCs w:val="24"/>
          <w:highlight w:val="none"/>
          <w:lang w:eastAsia="zh-CN"/>
        </w:rPr>
        <w:t>；</w:t>
      </w:r>
    </w:p>
    <w:p w14:paraId="2987ED1D">
      <w:pPr>
        <w:pStyle w:val="17"/>
        <w:spacing w:line="360" w:lineRule="auto"/>
        <w:rPr>
          <w:rFonts w:hint="eastAsia" w:eastAsia="宋体"/>
          <w:color w:val="auto"/>
          <w:sz w:val="24"/>
          <w:szCs w:val="24"/>
          <w:highlight w:val="none"/>
          <w:lang w:eastAsia="zh-CN"/>
        </w:rPr>
      </w:pPr>
      <w:r>
        <w:rPr>
          <w:rFonts w:hint="eastAsia"/>
          <w:color w:val="auto"/>
          <w:sz w:val="24"/>
          <w:szCs w:val="24"/>
          <w:highlight w:val="none"/>
        </w:rPr>
        <w:t>土壤：监测因子同环评现状监测</w:t>
      </w:r>
      <w:r>
        <w:rPr>
          <w:rFonts w:hint="eastAsia"/>
          <w:color w:val="auto"/>
          <w:sz w:val="24"/>
          <w:szCs w:val="24"/>
          <w:highlight w:val="none"/>
          <w:lang w:eastAsia="zh-CN"/>
        </w:rPr>
        <w:t>；</w:t>
      </w:r>
    </w:p>
    <w:p w14:paraId="1E6F4743">
      <w:pPr>
        <w:pStyle w:val="17"/>
        <w:spacing w:line="360" w:lineRule="auto"/>
        <w:rPr>
          <w:rFonts w:hint="eastAsia" w:eastAsia="宋体"/>
          <w:color w:val="auto"/>
          <w:sz w:val="24"/>
          <w:szCs w:val="24"/>
          <w:highlight w:val="none"/>
          <w:lang w:eastAsia="zh-CN"/>
        </w:rPr>
      </w:pPr>
      <w:r>
        <w:rPr>
          <w:rFonts w:hint="eastAsia"/>
          <w:color w:val="auto"/>
          <w:sz w:val="24"/>
          <w:szCs w:val="24"/>
          <w:highlight w:val="none"/>
        </w:rPr>
        <w:t>废气：臭气浓度、氨（氨气）、硫化氢、TSP</w:t>
      </w:r>
      <w:r>
        <w:rPr>
          <w:rFonts w:hint="eastAsia"/>
          <w:color w:val="auto"/>
          <w:sz w:val="24"/>
          <w:szCs w:val="24"/>
          <w:highlight w:val="none"/>
          <w:lang w:eastAsia="zh-CN"/>
        </w:rPr>
        <w:t>；</w:t>
      </w:r>
    </w:p>
    <w:p w14:paraId="412F9AD4">
      <w:pPr>
        <w:pStyle w:val="17"/>
        <w:spacing w:line="360" w:lineRule="auto"/>
        <w:rPr>
          <w:rFonts w:hint="eastAsia" w:eastAsia="宋体"/>
          <w:color w:val="auto"/>
          <w:sz w:val="24"/>
          <w:szCs w:val="24"/>
          <w:highlight w:val="none"/>
          <w:lang w:eastAsia="zh-CN"/>
        </w:rPr>
      </w:pPr>
      <w:r>
        <w:rPr>
          <w:rFonts w:hint="eastAsia"/>
          <w:color w:val="auto"/>
          <w:sz w:val="24"/>
          <w:szCs w:val="24"/>
          <w:highlight w:val="none"/>
        </w:rPr>
        <w:t>雨水排口：悬浮物、化学需氧量</w:t>
      </w:r>
      <w:r>
        <w:rPr>
          <w:rFonts w:hint="eastAsia"/>
          <w:color w:val="auto"/>
          <w:sz w:val="24"/>
          <w:szCs w:val="24"/>
          <w:highlight w:val="none"/>
          <w:lang w:eastAsia="zh-CN"/>
        </w:rPr>
        <w:t>；</w:t>
      </w:r>
    </w:p>
    <w:p w14:paraId="189801D6">
      <w:pPr>
        <w:pStyle w:val="17"/>
        <w:spacing w:line="360" w:lineRule="auto"/>
        <w:rPr>
          <w:rFonts w:hint="eastAsia"/>
          <w:color w:val="auto"/>
          <w:sz w:val="24"/>
          <w:szCs w:val="24"/>
          <w:highlight w:val="none"/>
          <w:lang w:eastAsia="zh-CN"/>
        </w:rPr>
      </w:pPr>
      <w:r>
        <w:rPr>
          <w:rFonts w:hint="eastAsia"/>
          <w:color w:val="auto"/>
          <w:sz w:val="24"/>
          <w:szCs w:val="24"/>
          <w:highlight w:val="none"/>
        </w:rPr>
        <w:t>本底井：pH、浊度、肉眼可见物、嗅味、色度、硫酸盐、挥发酚、细菌总数、氟化物（以F-计）、氰化物、氯化物、硝酸盐（以N 计）、粪大肠菌群总硬度</w:t>
      </w:r>
      <w:r>
        <w:rPr>
          <w:rFonts w:hint="eastAsia"/>
          <w:color w:val="auto"/>
          <w:sz w:val="24"/>
          <w:szCs w:val="24"/>
          <w:highlight w:val="none"/>
          <w:lang w:eastAsia="zh-CN"/>
        </w:rPr>
        <w:t>、</w:t>
      </w:r>
      <w:r>
        <w:rPr>
          <w:rFonts w:hint="eastAsia"/>
          <w:color w:val="auto"/>
          <w:sz w:val="24"/>
          <w:szCs w:val="24"/>
          <w:highlight w:val="none"/>
        </w:rPr>
        <w:t>亚硝酸盐、氨氮、总铁、总锰、总锌、总铜、总铅、总砷、六价铬、总镉、总汞、高锰酸盐指数、溶解性总固体、总硬度</w:t>
      </w:r>
      <w:r>
        <w:rPr>
          <w:rFonts w:hint="eastAsia"/>
          <w:color w:val="auto"/>
          <w:sz w:val="24"/>
          <w:szCs w:val="24"/>
          <w:highlight w:val="none"/>
          <w:lang w:eastAsia="zh-CN"/>
        </w:rPr>
        <w:t>；</w:t>
      </w:r>
    </w:p>
    <w:p w14:paraId="103B438F">
      <w:pPr>
        <w:pStyle w:val="17"/>
        <w:spacing w:line="360" w:lineRule="auto"/>
        <w:rPr>
          <w:rFonts w:hint="eastAsia"/>
          <w:color w:val="auto"/>
          <w:sz w:val="24"/>
          <w:szCs w:val="24"/>
          <w:highlight w:val="none"/>
        </w:rPr>
      </w:pPr>
      <w:r>
        <w:rPr>
          <w:rFonts w:hint="eastAsia"/>
          <w:color w:val="auto"/>
          <w:sz w:val="24"/>
          <w:szCs w:val="24"/>
          <w:highlight w:val="none"/>
        </w:rPr>
        <w:t>污染源监测井01、污染源监测井 02、污染源扩散井01、污染源扩散井02： pH、浊度、肉眼可见物、嗅味、色度、硫酸盐、挥发酚、细菌总数、氟化物（以F-计）、氰化物、氯化物、硝酸盐（以N 计）、亚硝酸盐、氨氮、总铁、总锰、总锌、总铜、总铅、总砷、六价铬、总镉、总汞、高锰酸盐指数、溶解性总固体、总硬度、</w:t>
      </w:r>
      <w:r>
        <w:rPr>
          <w:rFonts w:hint="eastAsia" w:ascii="Times New Roman" w:hAnsi="Times New Roman" w:eastAsia="宋体" w:cs="Times New Roman"/>
          <w:color w:val="auto"/>
          <w:kern w:val="2"/>
          <w:sz w:val="24"/>
          <w:szCs w:val="24"/>
          <w:highlight w:val="none"/>
          <w:lang w:val="en-US" w:eastAsia="zh-CN" w:bidi="ar-SA"/>
        </w:rPr>
        <w:t>二恶英</w:t>
      </w:r>
      <w:r>
        <w:rPr>
          <w:rFonts w:hint="eastAsia" w:cs="Times New Roman"/>
          <w:color w:val="auto"/>
          <w:kern w:val="2"/>
          <w:sz w:val="24"/>
          <w:szCs w:val="24"/>
          <w:highlight w:val="none"/>
          <w:lang w:val="en-US" w:eastAsia="zh-CN" w:bidi="ar-SA"/>
        </w:rPr>
        <w:t>；</w:t>
      </w:r>
    </w:p>
    <w:p w14:paraId="07FD6834">
      <w:pPr>
        <w:spacing w:line="360" w:lineRule="auto"/>
        <w:rPr>
          <w:rFonts w:hint="default" w:cs="宋体"/>
          <w:b w:val="0"/>
          <w:bCs w:val="0"/>
          <w:color w:val="auto"/>
          <w:kern w:val="0"/>
          <w:sz w:val="24"/>
          <w:szCs w:val="24"/>
          <w:highlight w:val="none"/>
          <w:lang w:val="en-US" w:eastAsia="zh-CN"/>
        </w:rPr>
      </w:pPr>
      <w:r>
        <w:rPr>
          <w:rFonts w:hint="eastAsia"/>
          <w:color w:val="auto"/>
          <w:sz w:val="24"/>
          <w:szCs w:val="24"/>
          <w:highlight w:val="none"/>
        </w:rPr>
        <w:t>厂界噪声：昼夜噪声等</w:t>
      </w:r>
      <w:r>
        <w:rPr>
          <w:rFonts w:hint="eastAsia"/>
          <w:color w:val="auto"/>
          <w:sz w:val="24"/>
          <w:szCs w:val="24"/>
          <w:highlight w:val="none"/>
          <w:lang w:eastAsia="zh-CN"/>
        </w:rPr>
        <w:t>；</w:t>
      </w:r>
      <w:r>
        <w:rPr>
          <w:rFonts w:hint="eastAsia"/>
          <w:color w:val="auto"/>
          <w:sz w:val="24"/>
          <w:szCs w:val="24"/>
          <w:highlight w:val="none"/>
        </w:rPr>
        <w:t>检测的频次、项目、点位等必须满足：①《生活垃圾填埋场污染控制标准》GB16889-2008、②《生活垃圾焚烧稳定化飞灰填埋处置技术标准》（DB32/T4076-2021）、③</w:t>
      </w:r>
      <w:r>
        <w:rPr>
          <w:rFonts w:hint="eastAsia" w:ascii="Cambria" w:hAnsi="Cambria"/>
          <w:bCs/>
          <w:color w:val="auto"/>
          <w:kern w:val="28"/>
          <w:sz w:val="24"/>
          <w:szCs w:val="24"/>
          <w:highlight w:val="none"/>
        </w:rPr>
        <w:t>《生活垃圾卫生填埋场环境监测技术要求》（</w:t>
      </w:r>
      <w:r>
        <w:rPr>
          <w:rFonts w:ascii="Cambria" w:hAnsi="Cambria"/>
          <w:bCs/>
          <w:color w:val="auto"/>
          <w:kern w:val="28"/>
          <w:sz w:val="24"/>
          <w:szCs w:val="24"/>
          <w:highlight w:val="none"/>
        </w:rPr>
        <w:fldChar w:fldCharType="begin"/>
      </w:r>
      <w:r>
        <w:rPr>
          <w:rFonts w:ascii="Cambria" w:hAnsi="Cambria"/>
          <w:bCs/>
          <w:color w:val="auto"/>
          <w:kern w:val="28"/>
          <w:sz w:val="24"/>
          <w:szCs w:val="24"/>
          <w:highlight w:val="none"/>
        </w:rPr>
        <w:instrText xml:space="preserve"> HYPERLINK "http://www.so.com/link?m=a88IX/3aSO3atvMOAsOhJ1NzB4IqwMCUitlhS96It/nHxxfQqyXPrtK+8Ut4ATj6DE0P1CutZALppOaXzF1LjchYxQu7WhPf5fd+Z6s4jFPxcFgiLHYBFxQR+m/zVxIPyhv11YNcz/mBkH/xXAhIbnyCWOPc86vKiRR2Xs2tEV4F2pO1rEDIIG1VtQNIajbChLH/+obSSYX5tsYG/MKVqSZgg/nR6M8SutdyYwQ==" \t "https://www.so.com/_blank" </w:instrText>
      </w:r>
      <w:r>
        <w:rPr>
          <w:rFonts w:ascii="Cambria" w:hAnsi="Cambria"/>
          <w:bCs/>
          <w:color w:val="auto"/>
          <w:kern w:val="28"/>
          <w:sz w:val="24"/>
          <w:szCs w:val="24"/>
          <w:highlight w:val="none"/>
        </w:rPr>
        <w:fldChar w:fldCharType="separate"/>
      </w:r>
      <w:r>
        <w:rPr>
          <w:rFonts w:ascii="Cambria" w:hAnsi="Cambria"/>
          <w:bCs/>
          <w:color w:val="auto"/>
          <w:kern w:val="28"/>
          <w:sz w:val="24"/>
          <w:szCs w:val="24"/>
          <w:highlight w:val="none"/>
        </w:rPr>
        <w:t>GB T 18772-2017</w:t>
      </w:r>
      <w:r>
        <w:rPr>
          <w:rFonts w:ascii="Cambria" w:hAnsi="Cambria"/>
          <w:bCs/>
          <w:color w:val="auto"/>
          <w:kern w:val="28"/>
          <w:sz w:val="24"/>
          <w:szCs w:val="24"/>
          <w:highlight w:val="none"/>
        </w:rPr>
        <w:fldChar w:fldCharType="end"/>
      </w:r>
      <w:r>
        <w:rPr>
          <w:rFonts w:hint="eastAsia" w:ascii="Cambria" w:hAnsi="Cambria"/>
          <w:bCs/>
          <w:color w:val="auto"/>
          <w:kern w:val="28"/>
          <w:sz w:val="24"/>
          <w:szCs w:val="24"/>
          <w:highlight w:val="none"/>
        </w:rPr>
        <w:t>）、④</w:t>
      </w:r>
      <w:r>
        <w:rPr>
          <w:rFonts w:ascii="Cambria" w:hAnsi="Cambria"/>
          <w:bCs/>
          <w:color w:val="auto"/>
          <w:kern w:val="28"/>
          <w:sz w:val="24"/>
          <w:szCs w:val="24"/>
          <w:highlight w:val="none"/>
        </w:rPr>
        <w:t>污水综合排放标准</w:t>
      </w:r>
      <w:r>
        <w:rPr>
          <w:rFonts w:hint="eastAsia" w:ascii="Cambria" w:hAnsi="Cambria"/>
          <w:bCs/>
          <w:color w:val="auto"/>
          <w:kern w:val="28"/>
          <w:sz w:val="24"/>
          <w:szCs w:val="24"/>
          <w:highlight w:val="none"/>
        </w:rPr>
        <w:t>（</w:t>
      </w:r>
      <w:r>
        <w:rPr>
          <w:rFonts w:ascii="Cambria" w:hAnsi="Cambria"/>
          <w:bCs/>
          <w:color w:val="auto"/>
          <w:kern w:val="28"/>
          <w:sz w:val="24"/>
          <w:szCs w:val="24"/>
          <w:highlight w:val="none"/>
        </w:rPr>
        <w:t>GB8978-1996</w:t>
      </w:r>
      <w:r>
        <w:rPr>
          <w:rFonts w:hint="eastAsia" w:ascii="Cambria" w:hAnsi="Cambria"/>
          <w:bCs/>
          <w:color w:val="auto"/>
          <w:kern w:val="28"/>
          <w:sz w:val="24"/>
          <w:szCs w:val="24"/>
          <w:highlight w:val="none"/>
        </w:rPr>
        <w:t>）、⑤</w:t>
      </w:r>
      <w:r>
        <w:rPr>
          <w:rFonts w:ascii="Cambria" w:hAnsi="Cambria"/>
          <w:bCs/>
          <w:color w:val="auto"/>
          <w:kern w:val="28"/>
          <w:sz w:val="24"/>
          <w:szCs w:val="24"/>
          <w:highlight w:val="none"/>
        </w:rPr>
        <w:t>生活垃圾焚烧污染控制标准</w:t>
      </w:r>
      <w:r>
        <w:rPr>
          <w:rFonts w:hint="eastAsia" w:ascii="Cambria" w:hAnsi="Cambria"/>
          <w:bCs/>
          <w:color w:val="auto"/>
          <w:kern w:val="28"/>
          <w:sz w:val="24"/>
          <w:szCs w:val="24"/>
          <w:highlight w:val="none"/>
        </w:rPr>
        <w:t>（</w:t>
      </w:r>
      <w:r>
        <w:rPr>
          <w:rFonts w:ascii="Cambria" w:hAnsi="Cambria"/>
          <w:bCs/>
          <w:color w:val="auto"/>
          <w:kern w:val="28"/>
          <w:sz w:val="24"/>
          <w:szCs w:val="24"/>
          <w:highlight w:val="none"/>
        </w:rPr>
        <w:t>GB 18485-2014</w:t>
      </w:r>
      <w:r>
        <w:rPr>
          <w:rFonts w:hint="eastAsia" w:ascii="Cambria" w:hAnsi="Cambria"/>
          <w:bCs/>
          <w:color w:val="auto"/>
          <w:kern w:val="28"/>
          <w:sz w:val="24"/>
          <w:szCs w:val="24"/>
          <w:highlight w:val="none"/>
        </w:rPr>
        <w:t>）、⑥</w:t>
      </w:r>
      <w:r>
        <w:rPr>
          <w:rFonts w:hint="eastAsia"/>
          <w:color w:val="auto"/>
          <w:sz w:val="24"/>
          <w:szCs w:val="24"/>
          <w:highlight w:val="none"/>
        </w:rPr>
        <w:t>大丰区垃圾处理场环评报告、⑦盐城市大丰区垃圾处理场排污许可证的要求。并负责协助指导甲方填报全国排污许可管理信息平台的所有数据及内容。</w:t>
      </w:r>
    </w:p>
    <w:p w14:paraId="3CC155FD">
      <w:pPr>
        <w:pStyle w:val="48"/>
        <w:keepNext w:val="0"/>
        <w:keepLines w:val="0"/>
        <w:widowControl w:val="0"/>
        <w:kinsoku/>
        <w:wordWrap/>
        <w:overflowPunct/>
        <w:topLinePunct w:val="0"/>
        <w:bidi w:val="0"/>
        <w:adjustRightInd/>
        <w:snapToGrid/>
        <w:spacing w:before="0" w:beforeAutospacing="0" w:after="0" w:afterAutospacing="0" w:line="360" w:lineRule="auto"/>
        <w:ind w:firstLine="480" w:firstLineChars="200"/>
        <w:jc w:val="both"/>
        <w:textAlignment w:val="auto"/>
        <w:rPr>
          <w:b w:val="0"/>
          <w:bCs w:val="0"/>
          <w:color w:val="auto"/>
          <w:highlight w:val="none"/>
        </w:rPr>
      </w:pPr>
      <w:r>
        <w:rPr>
          <w:rFonts w:hint="eastAsia"/>
          <w:b w:val="0"/>
          <w:bCs w:val="0"/>
          <w:color w:val="auto"/>
          <w:highlight w:val="none"/>
        </w:rPr>
        <w:t>四、商务要求：</w:t>
      </w:r>
    </w:p>
    <w:p w14:paraId="768902EA">
      <w:pPr>
        <w:keepNext w:val="0"/>
        <w:keepLines w:val="0"/>
        <w:widowControl w:val="0"/>
        <w:kinsoku/>
        <w:wordWrap/>
        <w:overflowPunct/>
        <w:topLinePunct w:val="0"/>
        <w:bidi w:val="0"/>
        <w:adjustRightInd/>
        <w:snapToGrid/>
        <w:spacing w:line="360" w:lineRule="auto"/>
        <w:ind w:firstLine="420" w:firstLineChars="200"/>
        <w:textAlignment w:val="auto"/>
        <w:rPr>
          <w:b w:val="0"/>
          <w:bCs w:val="0"/>
          <w:color w:val="auto"/>
          <w:highlight w:val="none"/>
        </w:rPr>
      </w:pPr>
      <w:r>
        <w:rPr>
          <w:rFonts w:hint="eastAsia"/>
          <w:b w:val="0"/>
          <w:bCs w:val="0"/>
          <w:color w:val="auto"/>
          <w:highlight w:val="none"/>
        </w:rPr>
        <w:t>1、</w:t>
      </w:r>
      <w:r>
        <w:rPr>
          <w:rFonts w:hint="eastAsia" w:ascii="宋体" w:hAnsi="宋体" w:eastAsia="宋体" w:cs="宋体"/>
          <w:bCs/>
          <w:color w:val="auto"/>
          <w:sz w:val="24"/>
          <w:szCs w:val="24"/>
          <w:highlight w:val="none"/>
          <w:u w:val="none"/>
          <w:lang w:eastAsia="zh-CN"/>
        </w:rPr>
        <w:t>服务期要求：一年</w:t>
      </w:r>
      <w:r>
        <w:rPr>
          <w:rFonts w:hint="eastAsia" w:ascii="宋体" w:hAnsi="宋体" w:eastAsia="宋体" w:cs="宋体"/>
          <w:bCs/>
          <w:color w:val="auto"/>
          <w:sz w:val="24"/>
          <w:szCs w:val="24"/>
          <w:highlight w:val="none"/>
          <w:u w:val="none"/>
        </w:rPr>
        <w:t>。（合同期满后，经双方协商同意后，可以续签服务合同，续签不超过两年）。</w:t>
      </w:r>
    </w:p>
    <w:p w14:paraId="7D6A0C82">
      <w:pPr>
        <w:pStyle w:val="48"/>
        <w:keepNext w:val="0"/>
        <w:keepLines w:val="0"/>
        <w:widowControl w:val="0"/>
        <w:kinsoku/>
        <w:wordWrap/>
        <w:overflowPunct/>
        <w:topLinePunct w:val="0"/>
        <w:bidi w:val="0"/>
        <w:adjustRightInd/>
        <w:snapToGrid/>
        <w:spacing w:before="0" w:beforeAutospacing="0" w:after="0" w:afterAutospacing="0" w:line="360" w:lineRule="auto"/>
        <w:ind w:firstLine="480"/>
        <w:jc w:val="both"/>
        <w:textAlignment w:val="auto"/>
        <w:rPr>
          <w:b w:val="0"/>
          <w:bCs w:val="0"/>
          <w:color w:val="auto"/>
          <w:highlight w:val="none"/>
        </w:rPr>
      </w:pPr>
      <w:r>
        <w:rPr>
          <w:rFonts w:hint="eastAsia"/>
          <w:b w:val="0"/>
          <w:bCs w:val="0"/>
          <w:color w:val="auto"/>
          <w:highlight w:val="none"/>
        </w:rPr>
        <w:t>2、</w:t>
      </w:r>
      <w:r>
        <w:rPr>
          <w:rFonts w:hint="eastAsia"/>
          <w:b w:val="0"/>
          <w:bCs w:val="0"/>
          <w:color w:val="auto"/>
          <w:highlight w:val="none"/>
          <w:lang w:eastAsia="zh-CN"/>
        </w:rPr>
        <w:t>服务</w:t>
      </w:r>
      <w:r>
        <w:rPr>
          <w:rFonts w:hint="eastAsia"/>
          <w:b w:val="0"/>
          <w:bCs w:val="0"/>
          <w:color w:val="auto"/>
          <w:highlight w:val="none"/>
        </w:rPr>
        <w:t>地点：甲方指定地点。</w:t>
      </w:r>
    </w:p>
    <w:p w14:paraId="4CA2079C">
      <w:pPr>
        <w:pStyle w:val="48"/>
        <w:keepNext w:val="0"/>
        <w:keepLines w:val="0"/>
        <w:widowControl w:val="0"/>
        <w:kinsoku/>
        <w:wordWrap/>
        <w:overflowPunct/>
        <w:topLinePunct w:val="0"/>
        <w:bidi w:val="0"/>
        <w:adjustRightInd/>
        <w:snapToGrid/>
        <w:spacing w:before="0" w:beforeAutospacing="0" w:after="0" w:afterAutospacing="0" w:line="360" w:lineRule="auto"/>
        <w:ind w:firstLine="480"/>
        <w:jc w:val="both"/>
        <w:textAlignment w:val="auto"/>
        <w:rPr>
          <w:rFonts w:hint="eastAsia"/>
          <w:color w:val="auto"/>
          <w:highlight w:val="none"/>
        </w:rPr>
      </w:pPr>
      <w:r>
        <w:rPr>
          <w:rFonts w:hint="eastAsia"/>
          <w:b w:val="0"/>
          <w:bCs w:val="0"/>
          <w:color w:val="auto"/>
          <w:highlight w:val="none"/>
          <w:lang w:val="en-US" w:eastAsia="zh-CN"/>
        </w:rPr>
        <w:t>3</w:t>
      </w:r>
      <w:r>
        <w:rPr>
          <w:rFonts w:hint="eastAsia"/>
          <w:b w:val="0"/>
          <w:bCs w:val="0"/>
          <w:color w:val="auto"/>
          <w:highlight w:val="none"/>
        </w:rPr>
        <w:t>、</w:t>
      </w:r>
      <w:r>
        <w:rPr>
          <w:rFonts w:hint="eastAsia"/>
          <w:color w:val="auto"/>
          <w:highlight w:val="none"/>
        </w:rPr>
        <w:t>付款方式：</w:t>
      </w:r>
    </w:p>
    <w:p w14:paraId="208D1CB2">
      <w:pPr>
        <w:keepNext w:val="0"/>
        <w:keepLines w:val="0"/>
        <w:pageBreakBefore w:val="0"/>
        <w:widowControl w:val="0"/>
        <w:kinsoku/>
        <w:wordWrap/>
        <w:overflowPunct/>
        <w:topLinePunct w:val="0"/>
        <w:bidi w:val="0"/>
        <w:adjustRightInd/>
        <w:snapToGrid/>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合同签订后，支付合同总价的30%</w:t>
      </w:r>
      <w:r>
        <w:rPr>
          <w:rFonts w:hint="eastAsia" w:ascii="宋体" w:hAnsi="宋体" w:cs="宋体"/>
          <w:color w:val="auto"/>
          <w:sz w:val="24"/>
          <w:szCs w:val="24"/>
          <w:highlight w:val="none"/>
          <w:lang w:val="en-US" w:eastAsia="zh-CN"/>
        </w:rPr>
        <w:t>作为</w:t>
      </w:r>
      <w:r>
        <w:rPr>
          <w:rFonts w:hint="eastAsia" w:ascii="宋体" w:hAnsi="宋体" w:eastAsia="宋体" w:cs="宋体"/>
          <w:color w:val="auto"/>
          <w:sz w:val="24"/>
          <w:szCs w:val="24"/>
          <w:highlight w:val="none"/>
        </w:rPr>
        <w:t>预付款。</w:t>
      </w:r>
    </w:p>
    <w:p w14:paraId="0F0C07EE">
      <w:pPr>
        <w:pStyle w:val="48"/>
        <w:keepNext w:val="0"/>
        <w:keepLines w:val="0"/>
        <w:widowControl w:val="0"/>
        <w:kinsoku/>
        <w:wordWrap/>
        <w:overflowPunct/>
        <w:topLinePunct w:val="0"/>
        <w:bidi w:val="0"/>
        <w:adjustRightInd/>
        <w:snapToGrid/>
        <w:spacing w:before="0" w:beforeAutospacing="0" w:after="0" w:afterAutospacing="0" w:line="360" w:lineRule="auto"/>
        <w:ind w:firstLine="480"/>
        <w:jc w:val="both"/>
        <w:textAlignment w:val="auto"/>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lang w:val="en-US" w:eastAsia="zh-CN"/>
        </w:rPr>
        <w:t>余款</w:t>
      </w:r>
      <w:r>
        <w:rPr>
          <w:rFonts w:hint="eastAsia" w:cs="宋体"/>
          <w:b w:val="0"/>
          <w:bCs w:val="0"/>
          <w:color w:val="auto"/>
          <w:highlight w:val="none"/>
          <w:lang w:eastAsia="zh-CN"/>
        </w:rPr>
        <w:t>服务期满一年</w:t>
      </w:r>
      <w:r>
        <w:rPr>
          <w:rFonts w:hint="eastAsia" w:ascii="宋体" w:hAnsi="宋体" w:eastAsia="宋体" w:cs="宋体"/>
          <w:b w:val="0"/>
          <w:bCs w:val="0"/>
          <w:color w:val="auto"/>
          <w:highlight w:val="none"/>
        </w:rPr>
        <w:t>（第一次须扣除预付款30%，不足部分在下次支付时继续扣除），乙方</w:t>
      </w:r>
      <w:r>
        <w:rPr>
          <w:rFonts w:hint="eastAsia" w:ascii="宋体" w:hAnsi="宋体" w:eastAsia="宋体" w:cs="宋体"/>
          <w:b w:val="0"/>
          <w:bCs w:val="0"/>
          <w:color w:val="auto"/>
          <w:highlight w:val="none"/>
          <w:lang w:val="en-US" w:eastAsia="zh-CN"/>
        </w:rPr>
        <w:t>开具</w:t>
      </w:r>
      <w:r>
        <w:rPr>
          <w:rFonts w:hint="eastAsia" w:ascii="宋体" w:hAnsi="宋体" w:eastAsia="宋体" w:cs="宋体"/>
          <w:b w:val="0"/>
          <w:bCs w:val="0"/>
          <w:color w:val="auto"/>
          <w:highlight w:val="none"/>
        </w:rPr>
        <w:t>合法票据</w:t>
      </w:r>
      <w:r>
        <w:rPr>
          <w:rFonts w:hint="eastAsia" w:cs="宋体"/>
          <w:b w:val="0"/>
          <w:bCs w:val="0"/>
          <w:color w:val="auto"/>
          <w:highlight w:val="none"/>
          <w:lang w:eastAsia="zh-CN"/>
        </w:rPr>
        <w:t>后付清</w:t>
      </w:r>
      <w:r>
        <w:rPr>
          <w:rFonts w:hint="eastAsia" w:ascii="宋体" w:hAnsi="宋体" w:eastAsia="宋体" w:cs="宋体"/>
          <w:b w:val="0"/>
          <w:bCs w:val="0"/>
          <w:color w:val="auto"/>
          <w:highlight w:val="none"/>
        </w:rPr>
        <w:t>服务费。</w:t>
      </w:r>
    </w:p>
    <w:p w14:paraId="4A426FEB">
      <w:pPr>
        <w:pStyle w:val="48"/>
        <w:pageBreakBefore w:val="0"/>
        <w:widowControl w:val="0"/>
        <w:numPr>
          <w:ilvl w:val="0"/>
          <w:numId w:val="4"/>
        </w:numPr>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eastAsia"/>
          <w:color w:val="auto"/>
          <w:highlight w:val="none"/>
          <w:lang w:val="en-US" w:eastAsia="zh-CN"/>
        </w:rPr>
      </w:pPr>
      <w:r>
        <w:rPr>
          <w:rFonts w:hint="eastAsia"/>
          <w:color w:val="auto"/>
          <w:highlight w:val="none"/>
          <w:lang w:val="en-US" w:eastAsia="zh-CN"/>
        </w:rPr>
        <w:t>服务期执行日期：2025年8月1日执行。</w:t>
      </w:r>
    </w:p>
    <w:p w14:paraId="6D98D3F2">
      <w:pPr>
        <w:pStyle w:val="48"/>
        <w:pageBreakBefore w:val="0"/>
        <w:widowControl w:val="0"/>
        <w:numPr>
          <w:ilvl w:val="0"/>
          <w:numId w:val="4"/>
        </w:numPr>
        <w:kinsoku/>
        <w:wordWrap/>
        <w:overflowPunct/>
        <w:topLinePunct w:val="0"/>
        <w:autoSpaceDE/>
        <w:autoSpaceDN/>
        <w:bidi w:val="0"/>
        <w:adjustRightInd/>
        <w:snapToGrid/>
        <w:spacing w:before="0" w:beforeAutospacing="0" w:after="0" w:afterAutospacing="0" w:line="360" w:lineRule="auto"/>
        <w:ind w:firstLine="480"/>
        <w:jc w:val="both"/>
        <w:textAlignment w:val="auto"/>
        <w:rPr>
          <w:rFonts w:hint="default"/>
          <w:color w:val="auto"/>
          <w:highlight w:val="none"/>
          <w:lang w:val="en-US" w:eastAsia="zh-CN"/>
        </w:rPr>
      </w:pPr>
      <w:r>
        <w:rPr>
          <w:rFonts w:hint="eastAsia"/>
          <w:color w:val="auto"/>
          <w:highlight w:val="none"/>
          <w:lang w:val="en-US" w:eastAsia="zh-CN"/>
        </w:rPr>
        <w:t>验收要求参照苏财规〔2024〕7号的要求执行。</w:t>
      </w:r>
    </w:p>
    <w:p w14:paraId="3C6C5F5F">
      <w:pPr>
        <w:pStyle w:val="48"/>
        <w:keepNext w:val="0"/>
        <w:keepLines w:val="0"/>
        <w:widowControl w:val="0"/>
        <w:kinsoku/>
        <w:wordWrap/>
        <w:overflowPunct/>
        <w:topLinePunct w:val="0"/>
        <w:bidi w:val="0"/>
        <w:adjustRightInd/>
        <w:snapToGrid/>
        <w:spacing w:before="0" w:beforeAutospacing="0" w:after="0" w:afterAutospacing="0" w:line="360" w:lineRule="auto"/>
        <w:ind w:firstLine="482"/>
        <w:jc w:val="both"/>
        <w:textAlignment w:val="auto"/>
        <w:rPr>
          <w:b w:val="0"/>
          <w:bCs w:val="0"/>
          <w:color w:val="auto"/>
          <w:highlight w:val="none"/>
        </w:rPr>
      </w:pPr>
      <w:r>
        <w:rPr>
          <w:rFonts w:hint="eastAsia"/>
          <w:b w:val="0"/>
          <w:bCs w:val="0"/>
          <w:color w:val="auto"/>
          <w:highlight w:val="none"/>
        </w:rPr>
        <w:t>五、其他内容</w:t>
      </w:r>
    </w:p>
    <w:p w14:paraId="6AB6FAFD">
      <w:pPr>
        <w:pStyle w:val="48"/>
        <w:keepNext w:val="0"/>
        <w:keepLines w:val="0"/>
        <w:widowControl w:val="0"/>
        <w:kinsoku/>
        <w:wordWrap/>
        <w:overflowPunct/>
        <w:topLinePunct w:val="0"/>
        <w:bidi w:val="0"/>
        <w:adjustRightInd/>
        <w:snapToGrid/>
        <w:spacing w:before="0" w:beforeAutospacing="0" w:after="0" w:afterAutospacing="0" w:line="360" w:lineRule="auto"/>
        <w:ind w:firstLine="480"/>
        <w:jc w:val="both"/>
        <w:textAlignment w:val="auto"/>
        <w:rPr>
          <w:b w:val="0"/>
          <w:bCs w:val="0"/>
          <w:color w:val="auto"/>
          <w:highlight w:val="none"/>
        </w:rPr>
      </w:pPr>
      <w:r>
        <w:rPr>
          <w:rFonts w:hint="eastAsia"/>
          <w:b w:val="0"/>
          <w:bCs w:val="0"/>
          <w:color w:val="auto"/>
          <w:highlight w:val="none"/>
        </w:rPr>
        <w:t>1、供应商应当优先采购节能、环境标志产品，供应商需提供实施方案和售后服务方案。</w:t>
      </w:r>
    </w:p>
    <w:p w14:paraId="66824E9A">
      <w:pPr>
        <w:pStyle w:val="48"/>
        <w:keepNext w:val="0"/>
        <w:keepLines w:val="0"/>
        <w:widowControl w:val="0"/>
        <w:kinsoku/>
        <w:wordWrap/>
        <w:overflowPunct/>
        <w:topLinePunct w:val="0"/>
        <w:bidi w:val="0"/>
        <w:adjustRightInd/>
        <w:snapToGrid/>
        <w:spacing w:before="0" w:beforeAutospacing="0" w:after="0" w:afterAutospacing="0" w:line="360" w:lineRule="auto"/>
        <w:ind w:firstLine="480"/>
        <w:jc w:val="both"/>
        <w:textAlignment w:val="auto"/>
        <w:rPr>
          <w:rFonts w:hint="eastAsia"/>
          <w:b w:val="0"/>
          <w:bCs w:val="0"/>
          <w:color w:val="auto"/>
          <w:highlight w:val="none"/>
        </w:rPr>
      </w:pPr>
      <w:r>
        <w:rPr>
          <w:rFonts w:hint="eastAsia"/>
          <w:b w:val="0"/>
          <w:bCs w:val="0"/>
          <w:color w:val="auto"/>
          <w:highlight w:val="none"/>
        </w:rPr>
        <w:t>2、投标产品制造商需从质量保证、环境影响、安全生产等方面加强生产经营全过程管控的能力，不断加强品质控制、环境保护、安全生产等方面的规范性。</w:t>
      </w:r>
    </w:p>
    <w:p w14:paraId="2CCF1D0A">
      <w:pPr>
        <w:pStyle w:val="48"/>
        <w:pageBreakBefore w:val="0"/>
        <w:widowControl w:val="0"/>
        <w:kinsoku/>
        <w:wordWrap/>
        <w:overflowPunct/>
        <w:topLinePunct w:val="0"/>
        <w:autoSpaceDE/>
        <w:autoSpaceDN/>
        <w:bidi w:val="0"/>
        <w:adjustRightInd/>
        <w:spacing w:before="0" w:beforeAutospacing="0" w:after="0" w:afterAutospacing="0" w:line="360" w:lineRule="auto"/>
        <w:ind w:firstLine="480"/>
        <w:jc w:val="both"/>
        <w:textAlignment w:val="auto"/>
        <w:rPr>
          <w:rFonts w:hint="eastAsia" w:eastAsia="宋体"/>
          <w:b w:val="0"/>
          <w:bCs w:val="0"/>
          <w:color w:val="auto"/>
          <w:highlight w:val="none"/>
          <w:lang w:eastAsia="zh-CN"/>
        </w:rPr>
      </w:pPr>
      <w:r>
        <w:rPr>
          <w:rFonts w:hint="eastAsia" w:ascii="宋体" w:hAnsi="宋体" w:eastAsia="宋体" w:cs="Times New Roman"/>
          <w:b w:val="0"/>
          <w:bCs w:val="0"/>
          <w:color w:val="auto"/>
          <w:highlight w:val="none"/>
          <w:lang w:val="en-US" w:eastAsia="zh-CN"/>
        </w:rPr>
        <w:t>3、</w:t>
      </w:r>
      <w:r>
        <w:rPr>
          <w:rFonts w:hint="eastAsia" w:ascii="宋体" w:hAnsi="宋体" w:eastAsia="宋体" w:cs="宋体"/>
          <w:b/>
          <w:bCs/>
          <w:color w:val="auto"/>
          <w:sz w:val="24"/>
          <w:szCs w:val="24"/>
          <w:highlight w:val="none"/>
          <w:shd w:val="clear" w:color="auto" w:fill="FFFFFF"/>
        </w:rPr>
        <w:t>采购标的的所属行业为</w:t>
      </w:r>
      <w:r>
        <w:rPr>
          <w:rFonts w:hint="eastAsia" w:ascii="宋体" w:hAnsi="宋体" w:cs="宋体"/>
          <w:b/>
          <w:bCs/>
          <w:color w:val="auto"/>
          <w:sz w:val="23"/>
          <w:szCs w:val="23"/>
          <w:highlight w:val="none"/>
          <w:u w:val="single"/>
          <w:lang w:val="en-US" w:eastAsia="zh-CN"/>
        </w:rPr>
        <w:t>其他未列明</w:t>
      </w:r>
      <w:r>
        <w:rPr>
          <w:rFonts w:hint="eastAsia" w:ascii="宋体" w:hAnsi="宋体" w:cs="宋体"/>
          <w:b/>
          <w:bCs/>
          <w:color w:val="auto"/>
          <w:sz w:val="23"/>
          <w:szCs w:val="23"/>
          <w:highlight w:val="none"/>
          <w:u w:val="single"/>
          <w:lang w:eastAsia="zh-CN"/>
        </w:rPr>
        <w:t>行业</w:t>
      </w:r>
      <w:r>
        <w:rPr>
          <w:rFonts w:hint="eastAsia" w:ascii="宋体" w:hAnsi="宋体" w:eastAsia="宋体" w:cs="宋体"/>
          <w:b/>
          <w:bCs/>
          <w:color w:val="auto"/>
          <w:sz w:val="24"/>
          <w:szCs w:val="24"/>
          <w:highlight w:val="none"/>
          <w:shd w:val="clear" w:color="auto" w:fill="FFFFFF"/>
        </w:rPr>
        <w:t>，根据《工业和信息化部、国家统计局、国家发展和改革委员会、财政部关于印发中小企业划型标准规定的通知》（工信部联企业[2011]300号）规定的划分标准填写</w:t>
      </w:r>
      <w:r>
        <w:rPr>
          <w:rFonts w:hint="eastAsia" w:cs="宋体"/>
          <w:b/>
          <w:bCs/>
          <w:color w:val="auto"/>
          <w:sz w:val="24"/>
          <w:szCs w:val="24"/>
          <w:highlight w:val="none"/>
          <w:shd w:val="clear" w:color="auto" w:fill="FFFFFF"/>
          <w:lang w:eastAsia="zh-CN"/>
        </w:rPr>
        <w:t>。</w:t>
      </w:r>
    </w:p>
    <w:bookmarkEnd w:id="150"/>
    <w:bookmarkEnd w:id="151"/>
    <w:p w14:paraId="1B7A11EA">
      <w:pPr>
        <w:pStyle w:val="3"/>
        <w:keepNext w:val="0"/>
        <w:keepLines/>
        <w:pageBreakBefore/>
        <w:widowControl w:val="0"/>
        <w:kinsoku/>
        <w:wordWrap/>
        <w:overflowPunct/>
        <w:topLinePunct w:val="0"/>
        <w:autoSpaceDE/>
        <w:autoSpaceDN/>
        <w:bidi w:val="0"/>
        <w:adjustRightInd/>
        <w:snapToGrid/>
        <w:spacing w:before="0" w:after="0" w:line="360" w:lineRule="auto"/>
        <w:textAlignment w:val="auto"/>
        <w:rPr>
          <w:rFonts w:ascii="宋体" w:hAnsi="宋体" w:cs="宋体"/>
          <w:color w:val="auto"/>
          <w:highlight w:val="none"/>
        </w:rPr>
      </w:pPr>
      <w:r>
        <w:rPr>
          <w:rFonts w:hint="eastAsia" w:ascii="宋体" w:hAnsi="宋体" w:cs="宋体"/>
          <w:color w:val="auto"/>
          <w:highlight w:val="none"/>
        </w:rPr>
        <w:t>第五章  评标方法与评标标准</w:t>
      </w:r>
    </w:p>
    <w:p w14:paraId="364E2785">
      <w:pPr>
        <w:pStyle w:val="48"/>
        <w:widowControl w:val="0"/>
        <w:spacing w:before="0" w:beforeAutospacing="0" w:after="0" w:afterAutospacing="0" w:line="400" w:lineRule="exact"/>
        <w:ind w:firstLine="480"/>
        <w:rPr>
          <w:rFonts w:hint="eastAsia" w:ascii="宋体" w:hAnsi="宋体"/>
          <w:color w:val="auto"/>
          <w:highlight w:val="none"/>
        </w:rPr>
      </w:pPr>
      <w:r>
        <w:rPr>
          <w:rFonts w:hint="eastAsia"/>
          <w:color w:val="auto"/>
          <w:highlight w:val="none"/>
          <w:lang w:val="en-US" w:eastAsia="zh-CN"/>
        </w:rPr>
        <w:t>分包一/分包三</w:t>
      </w:r>
      <w:r>
        <w:rPr>
          <w:rFonts w:hint="eastAsia"/>
          <w:color w:val="auto"/>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选取1名中标候选人。</w:t>
      </w:r>
    </w:p>
    <w:p w14:paraId="7563767F">
      <w:pPr>
        <w:pStyle w:val="48"/>
        <w:widowControl w:val="0"/>
        <w:spacing w:before="0" w:beforeAutospacing="0" w:after="0" w:afterAutospacing="0" w:line="400" w:lineRule="exact"/>
        <w:ind w:firstLine="480"/>
        <w:rPr>
          <w:rFonts w:hint="eastAsia" w:ascii="宋体" w:hAnsi="宋体"/>
          <w:color w:val="auto"/>
          <w:highlight w:val="none"/>
        </w:rPr>
      </w:pPr>
      <w:r>
        <w:rPr>
          <w:rFonts w:hint="eastAsia"/>
          <w:color w:val="auto"/>
          <w:highlight w:val="none"/>
          <w:lang w:val="en-US" w:eastAsia="zh-CN"/>
        </w:rPr>
        <w:t>分包二</w:t>
      </w:r>
      <w:r>
        <w:rPr>
          <w:rFonts w:hint="eastAsia" w:ascii="宋体" w:hAnsi="宋体"/>
          <w:color w:val="auto"/>
          <w:highlight w:val="none"/>
        </w:rPr>
        <w:t>采用最低评标价法。评标委员会对满足招标文件全部实质性要求，按投标</w:t>
      </w:r>
      <w:r>
        <w:rPr>
          <w:rFonts w:hint="eastAsia"/>
          <w:color w:val="auto"/>
          <w:highlight w:val="none"/>
          <w:lang w:val="en-US" w:eastAsia="zh-CN"/>
        </w:rPr>
        <w:t>总单价</w:t>
      </w:r>
      <w:r>
        <w:rPr>
          <w:rFonts w:hint="eastAsia" w:ascii="宋体" w:hAnsi="宋体" w:cs="宋体"/>
          <w:color w:val="auto"/>
          <w:highlight w:val="none"/>
        </w:rPr>
        <w:t>由低至高推荐有排序的1-3名中标侯选人</w:t>
      </w:r>
      <w:r>
        <w:rPr>
          <w:rFonts w:hint="eastAsia" w:ascii="宋体" w:hAnsi="宋体"/>
          <w:color w:val="auto"/>
          <w:highlight w:val="none"/>
        </w:rPr>
        <w:t>。如不同投标人的最低</w:t>
      </w:r>
      <w:r>
        <w:rPr>
          <w:rFonts w:hint="eastAsia"/>
          <w:color w:val="auto"/>
          <w:highlight w:val="none"/>
          <w:lang w:val="en-US" w:eastAsia="zh-CN"/>
        </w:rPr>
        <w:t>价</w:t>
      </w:r>
      <w:r>
        <w:rPr>
          <w:rFonts w:hint="eastAsia" w:ascii="宋体" w:hAnsi="宋体"/>
          <w:color w:val="auto"/>
          <w:highlight w:val="none"/>
        </w:rPr>
        <w:t>相同的</w:t>
      </w:r>
      <w:r>
        <w:rPr>
          <w:rFonts w:ascii="宋体" w:hAnsi="宋体" w:cs="宋体"/>
          <w:color w:val="auto"/>
          <w:sz w:val="22"/>
          <w:highlight w:val="none"/>
        </w:rPr>
        <w:t>则</w:t>
      </w:r>
      <w:r>
        <w:rPr>
          <w:rFonts w:hint="eastAsia" w:ascii="宋体" w:hAnsi="宋体"/>
          <w:color w:val="auto"/>
          <w:highlight w:val="none"/>
        </w:rPr>
        <w:t>由由采购人或评标委员会采取随机抽取方式确定排序。</w:t>
      </w:r>
    </w:p>
    <w:p w14:paraId="4DF9C935">
      <w:pPr>
        <w:pStyle w:val="48"/>
        <w:widowControl w:val="0"/>
        <w:spacing w:before="0" w:beforeAutospacing="0" w:after="0" w:afterAutospacing="0" w:line="400" w:lineRule="exact"/>
        <w:ind w:firstLine="482"/>
        <w:rPr>
          <w:color w:val="auto"/>
          <w:highlight w:val="none"/>
        </w:rPr>
      </w:pPr>
      <w:r>
        <w:rPr>
          <w:rFonts w:hint="eastAsia"/>
          <w:b/>
          <w:color w:val="auto"/>
          <w:highlight w:val="none"/>
        </w:rPr>
        <w:t>政府采购政策功能落实</w:t>
      </w:r>
    </w:p>
    <w:p w14:paraId="681BED5C">
      <w:pPr>
        <w:pStyle w:val="48"/>
        <w:widowControl w:val="0"/>
        <w:spacing w:before="0" w:beforeAutospacing="0" w:after="0" w:afterAutospacing="0" w:line="400" w:lineRule="exact"/>
        <w:ind w:firstLine="480"/>
        <w:rPr>
          <w:color w:val="auto"/>
          <w:highlight w:val="none"/>
        </w:rPr>
      </w:pPr>
      <w:r>
        <w:rPr>
          <w:rFonts w:hint="eastAsia"/>
          <w:color w:val="auto"/>
          <w:highlight w:val="none"/>
        </w:rPr>
        <w:t>1、小微型企业价格扣除</w:t>
      </w:r>
    </w:p>
    <w:p w14:paraId="45E38818">
      <w:pPr>
        <w:pStyle w:val="48"/>
        <w:widowControl w:val="0"/>
        <w:spacing w:before="0" w:beforeAutospacing="0" w:after="0" w:afterAutospacing="0" w:line="400" w:lineRule="exact"/>
        <w:ind w:firstLine="480"/>
        <w:rPr>
          <w:color w:val="auto"/>
          <w:highlight w:val="none"/>
        </w:rPr>
      </w:pPr>
      <w:r>
        <w:rPr>
          <w:rFonts w:hint="eastAsia"/>
          <w:color w:val="auto"/>
          <w:highlight w:val="none"/>
        </w:rPr>
        <w:t>（1）本项目对小型和微型企业提供的服务给予</w:t>
      </w:r>
      <w:r>
        <w:rPr>
          <w:rFonts w:hint="eastAsia"/>
          <w:b/>
          <w:bCs/>
          <w:color w:val="auto"/>
          <w:highlight w:val="none"/>
          <w:u w:val="single"/>
        </w:rPr>
        <w:t>20%</w:t>
      </w:r>
      <w:r>
        <w:rPr>
          <w:rFonts w:hint="eastAsia"/>
          <w:color w:val="auto"/>
          <w:highlight w:val="none"/>
        </w:rPr>
        <w:t>的扣除价格，用扣除后的价格参与评审。</w:t>
      </w:r>
    </w:p>
    <w:p w14:paraId="2ED7D73C">
      <w:pPr>
        <w:pStyle w:val="48"/>
        <w:widowControl w:val="0"/>
        <w:spacing w:before="0" w:beforeAutospacing="0" w:after="0" w:afterAutospacing="0" w:line="400" w:lineRule="exact"/>
        <w:ind w:firstLine="480"/>
        <w:rPr>
          <w:color w:val="auto"/>
          <w:highlight w:val="none"/>
        </w:rPr>
      </w:pPr>
      <w:r>
        <w:rPr>
          <w:rFonts w:hint="eastAsia"/>
          <w:color w:val="auto"/>
          <w:highlight w:val="none"/>
        </w:rPr>
        <w:t>（2）供应商需按照采购文件的要求提供相应的《小微企业声明函》。</w:t>
      </w:r>
    </w:p>
    <w:p w14:paraId="7FD158A0">
      <w:pPr>
        <w:pStyle w:val="48"/>
        <w:widowControl w:val="0"/>
        <w:spacing w:before="0" w:beforeAutospacing="0" w:after="0" w:afterAutospacing="0" w:line="400" w:lineRule="exact"/>
        <w:ind w:firstLine="480"/>
        <w:rPr>
          <w:color w:val="auto"/>
          <w:highlight w:val="none"/>
        </w:rPr>
      </w:pPr>
      <w:r>
        <w:rPr>
          <w:rFonts w:hint="eastAsia"/>
          <w:color w:val="auto"/>
          <w:highlight w:val="none"/>
        </w:rPr>
        <w:t>（3）企业标准请参照《关于印发中小企业划型标准规定的通知》（工信部联企业[2011]300号）文件规定自行填写。</w:t>
      </w:r>
    </w:p>
    <w:p w14:paraId="1304A4CA">
      <w:pPr>
        <w:pStyle w:val="48"/>
        <w:widowControl w:val="0"/>
        <w:spacing w:before="0" w:beforeAutospacing="0" w:after="0" w:afterAutospacing="0" w:line="400" w:lineRule="exact"/>
        <w:ind w:firstLine="480"/>
        <w:rPr>
          <w:color w:val="auto"/>
          <w:highlight w:val="none"/>
        </w:rPr>
      </w:pPr>
      <w:r>
        <w:rPr>
          <w:rFonts w:hint="eastAsia"/>
          <w:color w:val="auto"/>
          <w:highlight w:val="none"/>
        </w:rPr>
        <w:t>2、残疾人福利单位价格扣除</w:t>
      </w:r>
    </w:p>
    <w:p w14:paraId="56B76973">
      <w:pPr>
        <w:pStyle w:val="48"/>
        <w:widowControl w:val="0"/>
        <w:spacing w:before="0" w:beforeAutospacing="0" w:after="0" w:afterAutospacing="0" w:line="400" w:lineRule="exact"/>
        <w:ind w:firstLine="480"/>
        <w:rPr>
          <w:color w:val="auto"/>
          <w:highlight w:val="none"/>
          <w:u w:val="single"/>
        </w:rPr>
      </w:pPr>
      <w:r>
        <w:rPr>
          <w:rFonts w:hint="eastAsia"/>
          <w:color w:val="auto"/>
          <w:highlight w:val="none"/>
        </w:rPr>
        <w:t>（1）本项目对残疾人福利性单位视同小型、微型企业，给予</w:t>
      </w:r>
      <w:r>
        <w:rPr>
          <w:rFonts w:hint="eastAsia"/>
          <w:b/>
          <w:bCs/>
          <w:color w:val="auto"/>
          <w:highlight w:val="none"/>
          <w:u w:val="single"/>
        </w:rPr>
        <w:t>20%。</w:t>
      </w:r>
    </w:p>
    <w:p w14:paraId="5476B74E">
      <w:pPr>
        <w:pStyle w:val="48"/>
        <w:widowControl w:val="0"/>
        <w:spacing w:before="0" w:beforeAutospacing="0" w:after="0" w:afterAutospacing="0" w:line="400" w:lineRule="exact"/>
        <w:ind w:firstLine="480"/>
        <w:rPr>
          <w:color w:val="auto"/>
          <w:highlight w:val="none"/>
        </w:rPr>
      </w:pPr>
      <w:r>
        <w:rPr>
          <w:rFonts w:hint="eastAsia"/>
          <w:color w:val="auto"/>
          <w:highlight w:val="none"/>
        </w:rPr>
        <w:t>（2）残疾人福利单位需按照采购文件的要求提供《残疾人福利性单位声明函》。</w:t>
      </w:r>
    </w:p>
    <w:p w14:paraId="4ABFF752">
      <w:pPr>
        <w:pStyle w:val="48"/>
        <w:widowControl w:val="0"/>
        <w:spacing w:before="0" w:beforeAutospacing="0" w:after="0" w:afterAutospacing="0" w:line="400" w:lineRule="exact"/>
        <w:ind w:firstLine="480"/>
        <w:rPr>
          <w:color w:val="auto"/>
          <w:highlight w:val="none"/>
        </w:rPr>
      </w:pPr>
      <w:r>
        <w:rPr>
          <w:rFonts w:hint="eastAsia"/>
          <w:color w:val="auto"/>
          <w:highlight w:val="none"/>
        </w:rPr>
        <w:t>（3）残疾人福利单位标准请参照《关于促进残疾人就业政府采购政策的通知》（财库〔2017〕141号）。</w:t>
      </w:r>
    </w:p>
    <w:p w14:paraId="70EE9BC6">
      <w:pPr>
        <w:pStyle w:val="48"/>
        <w:widowControl w:val="0"/>
        <w:spacing w:before="0" w:beforeAutospacing="0" w:after="0" w:afterAutospacing="0" w:line="400" w:lineRule="exact"/>
        <w:ind w:firstLine="480"/>
        <w:rPr>
          <w:color w:val="auto"/>
          <w:highlight w:val="none"/>
        </w:rPr>
      </w:pPr>
      <w:r>
        <w:rPr>
          <w:rFonts w:hint="eastAsia"/>
          <w:color w:val="auto"/>
          <w:highlight w:val="none"/>
        </w:rPr>
        <w:t>3、监狱和戒毒企业价格扣除</w:t>
      </w:r>
    </w:p>
    <w:p w14:paraId="342C9338">
      <w:pPr>
        <w:pStyle w:val="48"/>
        <w:widowControl w:val="0"/>
        <w:spacing w:before="0" w:beforeAutospacing="0" w:after="0" w:afterAutospacing="0" w:line="400" w:lineRule="exact"/>
        <w:ind w:firstLine="480"/>
        <w:rPr>
          <w:color w:val="auto"/>
          <w:highlight w:val="none"/>
          <w:u w:val="single"/>
        </w:rPr>
      </w:pPr>
      <w:r>
        <w:rPr>
          <w:rFonts w:hint="eastAsia"/>
          <w:color w:val="auto"/>
          <w:highlight w:val="none"/>
        </w:rPr>
        <w:t>（1）本项目对监狱和戒毒企业（简称监狱企业）视同小型、微型企业，给予</w:t>
      </w:r>
      <w:r>
        <w:rPr>
          <w:rFonts w:hint="eastAsia"/>
          <w:b/>
          <w:bCs/>
          <w:color w:val="auto"/>
          <w:highlight w:val="none"/>
          <w:u w:val="single"/>
        </w:rPr>
        <w:t>20%。</w:t>
      </w:r>
    </w:p>
    <w:p w14:paraId="49FFB5E0">
      <w:pPr>
        <w:pStyle w:val="48"/>
        <w:widowControl w:val="0"/>
        <w:spacing w:before="0" w:beforeAutospacing="0" w:after="0" w:afterAutospacing="0" w:line="400" w:lineRule="exact"/>
        <w:ind w:firstLine="480"/>
        <w:rPr>
          <w:color w:val="auto"/>
          <w:highlight w:val="none"/>
        </w:rPr>
      </w:pPr>
      <w:r>
        <w:rPr>
          <w:rFonts w:hint="eastAsia"/>
          <w:color w:val="auto"/>
          <w:highlight w:val="none"/>
        </w:rPr>
        <w:t>（2）监狱企业参加政府采购活动时，需提供由省级以上监狱管理局、戒毒管理局(含新疆生产建设兵团)出具的属于监狱企业的证明文件。供应商如不提供上述证明文件，价格将不做相应扣除。</w:t>
      </w:r>
    </w:p>
    <w:p w14:paraId="4AD49790">
      <w:pPr>
        <w:pStyle w:val="48"/>
        <w:widowControl w:val="0"/>
        <w:spacing w:before="0" w:beforeAutospacing="0" w:after="0" w:afterAutospacing="0" w:line="400" w:lineRule="exact"/>
        <w:ind w:firstLine="480"/>
        <w:rPr>
          <w:color w:val="auto"/>
          <w:highlight w:val="none"/>
        </w:rPr>
      </w:pPr>
      <w:r>
        <w:rPr>
          <w:rFonts w:hint="eastAsia"/>
          <w:color w:val="auto"/>
          <w:highlight w:val="none"/>
        </w:rPr>
        <w:t>（3）监狱企业标准请参照《关于政府采购具备监狱企业发展有关问题的通知》（财库[2014]68号）。</w:t>
      </w:r>
    </w:p>
    <w:p w14:paraId="374A52DA">
      <w:pPr>
        <w:pStyle w:val="48"/>
        <w:widowControl w:val="0"/>
        <w:spacing w:before="0" w:beforeAutospacing="0" w:after="0" w:afterAutospacing="0" w:line="400" w:lineRule="exact"/>
        <w:ind w:firstLine="480"/>
        <w:rPr>
          <w:color w:val="auto"/>
          <w:highlight w:val="none"/>
        </w:rPr>
      </w:pPr>
      <w:r>
        <w:rPr>
          <w:rFonts w:hint="eastAsia"/>
          <w:color w:val="auto"/>
          <w:highlight w:val="none"/>
        </w:rPr>
        <w:t>4、残疾人福利单位、监狱企业属于小型、微型企业的，不重复享受政策。</w:t>
      </w:r>
    </w:p>
    <w:p w14:paraId="78F10595">
      <w:pPr>
        <w:pStyle w:val="48"/>
        <w:widowControl w:val="0"/>
        <w:spacing w:before="0" w:beforeAutospacing="0" w:after="0" w:afterAutospacing="0" w:line="400" w:lineRule="exact"/>
        <w:ind w:firstLine="480"/>
        <w:rPr>
          <w:b/>
          <w:bCs/>
          <w:color w:val="auto"/>
          <w:highlight w:val="none"/>
        </w:rPr>
      </w:pPr>
      <w:r>
        <w:rPr>
          <w:rFonts w:hint="eastAsia"/>
          <w:color w:val="auto"/>
          <w:highlight w:val="none"/>
        </w:rPr>
        <w:t>5、联合体各方均为小型、微型企业（残疾人福利单位、监狱企业）的，联合体享受</w:t>
      </w:r>
      <w:r>
        <w:rPr>
          <w:rFonts w:hint="eastAsia"/>
          <w:color w:val="auto"/>
          <w:highlight w:val="none"/>
          <w:u w:val="single"/>
        </w:rPr>
        <w:t>20%</w:t>
      </w:r>
      <w:r>
        <w:rPr>
          <w:rFonts w:hint="eastAsia"/>
          <w:color w:val="auto"/>
          <w:highlight w:val="none"/>
          <w:u w:val="none"/>
        </w:rPr>
        <w:t>。</w:t>
      </w:r>
    </w:p>
    <w:p w14:paraId="32F567B4">
      <w:pPr>
        <w:spacing w:line="400" w:lineRule="exact"/>
        <w:ind w:firstLine="482"/>
        <w:jc w:val="left"/>
        <w:rPr>
          <w:rFonts w:ascii="宋体" w:hAnsi="宋体" w:cs="宋体"/>
          <w:b/>
          <w:bCs/>
          <w:color w:val="auto"/>
          <w:sz w:val="24"/>
          <w:highlight w:val="none"/>
        </w:rPr>
      </w:pPr>
    </w:p>
    <w:p w14:paraId="555FED02">
      <w:pPr>
        <w:rPr>
          <w:color w:val="auto"/>
          <w:highlight w:val="none"/>
        </w:rPr>
      </w:pPr>
    </w:p>
    <w:p w14:paraId="0000C52C">
      <w:pPr>
        <w:spacing w:line="400" w:lineRule="exact"/>
        <w:ind w:firstLine="482"/>
        <w:jc w:val="center"/>
        <w:rPr>
          <w:rFonts w:hint="eastAsia" w:ascii="宋体" w:hAnsi="宋体" w:cs="宋体"/>
          <w:b/>
          <w:bCs/>
          <w:color w:val="auto"/>
          <w:sz w:val="24"/>
          <w:highlight w:val="none"/>
        </w:rPr>
      </w:pPr>
      <w:bookmarkStart w:id="153" w:name="_Toc508216954"/>
      <w:bookmarkStart w:id="154" w:name="_Toc7525"/>
      <w:bookmarkStart w:id="155" w:name="_Toc397928630"/>
    </w:p>
    <w:p w14:paraId="0C88159C">
      <w:pPr>
        <w:spacing w:line="400" w:lineRule="exact"/>
        <w:ind w:firstLine="482"/>
        <w:jc w:val="center"/>
        <w:rPr>
          <w:rFonts w:hint="eastAsia" w:ascii="宋体" w:hAnsi="宋体" w:cs="宋体"/>
          <w:b/>
          <w:bCs/>
          <w:color w:val="auto"/>
          <w:sz w:val="24"/>
          <w:highlight w:val="none"/>
        </w:rPr>
      </w:pPr>
    </w:p>
    <w:p w14:paraId="66635A78">
      <w:pPr>
        <w:spacing w:line="400" w:lineRule="exact"/>
        <w:ind w:firstLine="482"/>
        <w:jc w:val="center"/>
        <w:rPr>
          <w:rFonts w:ascii="宋体" w:hAnsi="宋体" w:cs="宋体"/>
          <w:b/>
          <w:bCs/>
          <w:color w:val="auto"/>
          <w:sz w:val="24"/>
          <w:highlight w:val="none"/>
        </w:rPr>
      </w:pPr>
      <w:r>
        <w:rPr>
          <w:rFonts w:hint="eastAsia" w:ascii="宋体" w:hAnsi="宋体" w:cs="宋体"/>
          <w:b/>
          <w:bCs/>
          <w:color w:val="auto"/>
          <w:sz w:val="24"/>
          <w:highlight w:val="none"/>
        </w:rPr>
        <w:t>分包一评标标准</w:t>
      </w:r>
    </w:p>
    <w:tbl>
      <w:tblPr>
        <w:tblStyle w:val="53"/>
        <w:tblW w:w="10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836"/>
        <w:gridCol w:w="8383"/>
      </w:tblGrid>
      <w:tr w14:paraId="4D76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tcBorders>
              <w:top w:val="single" w:color="auto" w:sz="4" w:space="0"/>
              <w:left w:val="single" w:color="auto" w:sz="4" w:space="0"/>
              <w:bottom w:val="single" w:color="auto" w:sz="4" w:space="0"/>
              <w:right w:val="single" w:color="auto" w:sz="4" w:space="0"/>
            </w:tcBorders>
            <w:vAlign w:val="center"/>
          </w:tcPr>
          <w:p w14:paraId="6646E97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分项</w:t>
            </w:r>
          </w:p>
        </w:tc>
        <w:tc>
          <w:tcPr>
            <w:tcW w:w="836" w:type="dxa"/>
            <w:tcBorders>
              <w:top w:val="single" w:color="auto" w:sz="4" w:space="0"/>
              <w:left w:val="single" w:color="auto" w:sz="4" w:space="0"/>
              <w:bottom w:val="single" w:color="auto" w:sz="4" w:space="0"/>
              <w:right w:val="single" w:color="auto" w:sz="4" w:space="0"/>
            </w:tcBorders>
            <w:vAlign w:val="center"/>
          </w:tcPr>
          <w:p w14:paraId="5B623CBE">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分值</w:t>
            </w:r>
          </w:p>
        </w:tc>
        <w:tc>
          <w:tcPr>
            <w:tcW w:w="8383" w:type="dxa"/>
            <w:tcBorders>
              <w:top w:val="single" w:color="auto" w:sz="4" w:space="0"/>
              <w:left w:val="single" w:color="auto" w:sz="4" w:space="0"/>
              <w:bottom w:val="single" w:color="auto" w:sz="4" w:space="0"/>
              <w:right w:val="single" w:color="auto" w:sz="4" w:space="0"/>
            </w:tcBorders>
            <w:vAlign w:val="center"/>
          </w:tcPr>
          <w:p w14:paraId="7063246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评分标准</w:t>
            </w:r>
          </w:p>
        </w:tc>
      </w:tr>
      <w:tr w14:paraId="6EA7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tcBorders>
              <w:top w:val="single" w:color="auto" w:sz="4" w:space="0"/>
              <w:left w:val="single" w:color="auto" w:sz="4" w:space="0"/>
              <w:bottom w:val="single" w:color="auto" w:sz="4" w:space="0"/>
              <w:right w:val="single" w:color="auto" w:sz="4" w:space="0"/>
            </w:tcBorders>
            <w:vAlign w:val="center"/>
          </w:tcPr>
          <w:p w14:paraId="295D492E">
            <w:pPr>
              <w:widowControl/>
              <w:spacing w:line="360" w:lineRule="auto"/>
              <w:jc w:val="center"/>
              <w:textAlignment w:val="center"/>
              <w:rPr>
                <w:rFonts w:hint="eastAsia" w:ascii="宋体" w:hAnsi="宋体" w:eastAsia="宋体" w:cs="宋体"/>
                <w:color w:val="auto"/>
                <w:sz w:val="24"/>
                <w:szCs w:val="24"/>
                <w:highlight w:val="none"/>
              </w:rPr>
            </w:pPr>
          </w:p>
          <w:p w14:paraId="07E669F9">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p w14:paraId="056F2C6A">
            <w:pPr>
              <w:widowControl/>
              <w:spacing w:line="360" w:lineRule="auto"/>
              <w:jc w:val="center"/>
              <w:textAlignment w:val="center"/>
              <w:rPr>
                <w:rFonts w:hint="eastAsia" w:ascii="宋体" w:hAnsi="宋体" w:eastAsia="宋体" w:cs="宋体"/>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14:paraId="38D51F8C">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8383" w:type="dxa"/>
            <w:tcBorders>
              <w:top w:val="single" w:color="auto" w:sz="4" w:space="0"/>
              <w:left w:val="single" w:color="auto" w:sz="4" w:space="0"/>
              <w:bottom w:val="single" w:color="auto" w:sz="4" w:space="0"/>
              <w:right w:val="single" w:color="auto" w:sz="4" w:space="0"/>
            </w:tcBorders>
            <w:vAlign w:val="center"/>
          </w:tcPr>
          <w:p w14:paraId="3115E3FC">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满足招标文件要求且投标价格最低的投标报价为评标基准价，投标报价得分=（评标基准价／投标报价）×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，计算分数时四舍五入取小数点后两位。（按四舍五入取至小数点后两位）。</w:t>
            </w:r>
          </w:p>
        </w:tc>
      </w:tr>
      <w:tr w14:paraId="29BD4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tcBorders>
              <w:top w:val="single" w:color="auto" w:sz="4" w:space="0"/>
              <w:left w:val="single" w:color="auto" w:sz="4" w:space="0"/>
              <w:bottom w:val="single" w:color="auto" w:sz="4" w:space="0"/>
              <w:right w:val="single" w:color="auto" w:sz="4" w:space="0"/>
            </w:tcBorders>
            <w:vAlign w:val="center"/>
          </w:tcPr>
          <w:p w14:paraId="03772C7D">
            <w:pPr>
              <w:widowControl/>
              <w:spacing w:line="360" w:lineRule="auto"/>
              <w:jc w:val="center"/>
              <w:textAlignment w:val="center"/>
              <w:rPr>
                <w:rFonts w:hint="eastAsia" w:ascii="宋体" w:hAnsi="宋体" w:eastAsia="宋体" w:cs="宋体"/>
                <w:color w:val="auto"/>
                <w:sz w:val="24"/>
                <w:szCs w:val="24"/>
                <w:highlight w:val="none"/>
              </w:rPr>
            </w:pPr>
          </w:p>
          <w:p w14:paraId="483FD16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w:t>
            </w:r>
          </w:p>
          <w:p w14:paraId="49C540CA">
            <w:pPr>
              <w:widowControl/>
              <w:spacing w:line="360" w:lineRule="auto"/>
              <w:jc w:val="center"/>
              <w:textAlignment w:val="center"/>
              <w:rPr>
                <w:rFonts w:hint="eastAsia" w:ascii="宋体" w:hAnsi="宋体" w:eastAsia="宋体" w:cs="宋体"/>
                <w:color w:val="auto"/>
                <w:sz w:val="24"/>
                <w:szCs w:val="24"/>
                <w:highlight w:val="none"/>
              </w:rPr>
            </w:pPr>
          </w:p>
        </w:tc>
        <w:tc>
          <w:tcPr>
            <w:tcW w:w="836" w:type="dxa"/>
            <w:tcBorders>
              <w:top w:val="single" w:color="auto" w:sz="4" w:space="0"/>
              <w:left w:val="single" w:color="auto" w:sz="4" w:space="0"/>
              <w:bottom w:val="single" w:color="auto" w:sz="4" w:space="0"/>
              <w:right w:val="single" w:color="auto" w:sz="4" w:space="0"/>
            </w:tcBorders>
            <w:vAlign w:val="center"/>
          </w:tcPr>
          <w:p w14:paraId="7726BB4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57</w:t>
            </w:r>
            <w:r>
              <w:rPr>
                <w:rFonts w:hint="eastAsia" w:ascii="宋体" w:hAnsi="宋体" w:eastAsia="宋体" w:cs="宋体"/>
                <w:color w:val="auto"/>
                <w:sz w:val="24"/>
                <w:szCs w:val="24"/>
                <w:highlight w:val="none"/>
              </w:rPr>
              <w:t>分</w:t>
            </w:r>
          </w:p>
        </w:tc>
        <w:tc>
          <w:tcPr>
            <w:tcW w:w="8383" w:type="dxa"/>
            <w:tcBorders>
              <w:top w:val="single" w:color="auto" w:sz="4" w:space="0"/>
              <w:left w:val="single" w:color="auto" w:sz="4" w:space="0"/>
              <w:bottom w:val="single" w:color="auto" w:sz="4" w:space="0"/>
              <w:right w:val="single" w:color="auto" w:sz="4" w:space="0"/>
            </w:tcBorders>
            <w:vAlign w:val="center"/>
          </w:tcPr>
          <w:p w14:paraId="61AC431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评标委员会根据投标人的服务技术方案进行评分，该项得分取所有评委评分的算术平均值，如缺少某项评分点，该评分点不得分。</w:t>
            </w:r>
          </w:p>
          <w:p w14:paraId="4523B93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zh-CN"/>
              </w:rPr>
              <w:t>总体运营方案</w:t>
            </w:r>
          </w:p>
          <w:p w14:paraId="4C831EB7">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val="en-US" w:eastAsia="zh-CN"/>
              </w:rPr>
              <w:t>投标人</w:t>
            </w:r>
            <w:r>
              <w:rPr>
                <w:rFonts w:hint="eastAsia" w:ascii="宋体" w:hAnsi="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lang w:val="zh-CN"/>
              </w:rPr>
              <w:t>完善的填埋作业区日常填埋作业</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4分；</w:t>
            </w:r>
          </w:p>
          <w:p w14:paraId="6CA3131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投标人</w:t>
            </w:r>
            <w:r>
              <w:rPr>
                <w:rFonts w:hint="eastAsia" w:ascii="宋体" w:hAnsi="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lang w:val="zh-CN"/>
              </w:rPr>
              <w:t>完善的运营人员组织架构和培训计划</w:t>
            </w:r>
            <w:r>
              <w:rPr>
                <w:rFonts w:hint="eastAsia" w:ascii="宋体" w:hAnsi="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lang w:val="en-US" w:eastAsia="zh-CN"/>
              </w:rPr>
              <w:t>得4分；</w:t>
            </w:r>
          </w:p>
          <w:p w14:paraId="268EFF0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3）</w:t>
            </w:r>
            <w:r>
              <w:rPr>
                <w:rFonts w:hint="eastAsia" w:ascii="宋体" w:hAnsi="宋体" w:eastAsia="宋体" w:cs="宋体"/>
                <w:b w:val="0"/>
                <w:bCs w:val="0"/>
                <w:color w:val="auto"/>
                <w:sz w:val="24"/>
                <w:szCs w:val="24"/>
                <w:highlight w:val="none"/>
                <w:lang w:val="en-US" w:eastAsia="zh-CN"/>
              </w:rPr>
              <w:t>投标人</w:t>
            </w:r>
            <w:r>
              <w:rPr>
                <w:rFonts w:hint="eastAsia" w:ascii="宋体" w:hAnsi="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lang w:val="zh-CN"/>
              </w:rPr>
              <w:t>完善的雨污分流方案、临时</w:t>
            </w:r>
            <w:r>
              <w:rPr>
                <w:rFonts w:hint="eastAsia" w:ascii="宋体" w:hAnsi="宋体" w:cs="宋体"/>
                <w:b w:val="0"/>
                <w:bCs w:val="0"/>
                <w:color w:val="auto"/>
                <w:sz w:val="24"/>
                <w:szCs w:val="24"/>
                <w:highlight w:val="none"/>
                <w:lang w:val="en-US" w:eastAsia="zh-CN"/>
              </w:rPr>
              <w:t>方案</w:t>
            </w:r>
            <w:r>
              <w:rPr>
                <w:rFonts w:hint="eastAsia" w:ascii="宋体" w:hAnsi="宋体" w:cs="宋体"/>
                <w:b w:val="0"/>
                <w:bCs w:val="0"/>
                <w:color w:val="auto"/>
                <w:sz w:val="24"/>
                <w:szCs w:val="24"/>
                <w:highlight w:val="none"/>
                <w:lang w:val="zh-CN"/>
              </w:rPr>
              <w:t>、中间</w:t>
            </w:r>
            <w:r>
              <w:rPr>
                <w:rFonts w:hint="eastAsia" w:ascii="宋体" w:hAnsi="宋体" w:eastAsia="宋体" w:cs="宋体"/>
                <w:b w:val="0"/>
                <w:bCs w:val="0"/>
                <w:color w:val="auto"/>
                <w:sz w:val="24"/>
                <w:szCs w:val="24"/>
                <w:highlight w:val="none"/>
                <w:lang w:val="zh-CN"/>
              </w:rPr>
              <w:t>覆盖方案、渗滤液抽排</w:t>
            </w:r>
            <w:r>
              <w:rPr>
                <w:rFonts w:hint="eastAsia" w:ascii="宋体" w:hAnsi="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lang w:val="zh-CN"/>
              </w:rPr>
              <w:t>膜上雨水抽排方案、HDPE膜焊接技术</w:t>
            </w:r>
            <w:r>
              <w:rPr>
                <w:rFonts w:hint="eastAsia" w:ascii="宋体" w:hAnsi="宋体" w:cs="宋体"/>
                <w:b w:val="0"/>
                <w:bCs w:val="0"/>
                <w:color w:val="auto"/>
                <w:sz w:val="24"/>
                <w:szCs w:val="24"/>
                <w:highlight w:val="none"/>
                <w:lang w:val="en-US" w:eastAsia="zh-CN"/>
              </w:rPr>
              <w:t>方案</w:t>
            </w:r>
            <w:r>
              <w:rPr>
                <w:rFonts w:hint="eastAsia" w:ascii="宋体" w:hAnsi="宋体" w:eastAsia="宋体" w:cs="宋体"/>
                <w:b w:val="0"/>
                <w:bCs w:val="0"/>
                <w:color w:val="auto"/>
                <w:sz w:val="24"/>
                <w:szCs w:val="24"/>
                <w:highlight w:val="none"/>
                <w:lang w:val="zh-CN"/>
              </w:rPr>
              <w:t>和风险防控各环节</w:t>
            </w:r>
            <w:r>
              <w:rPr>
                <w:rFonts w:hint="eastAsia" w:ascii="宋体" w:hAnsi="宋体" w:cs="宋体"/>
                <w:b w:val="0"/>
                <w:bCs w:val="0"/>
                <w:color w:val="auto"/>
                <w:sz w:val="24"/>
                <w:szCs w:val="24"/>
                <w:highlight w:val="none"/>
                <w:lang w:val="en-US" w:eastAsia="zh-CN"/>
              </w:rPr>
              <w:t>方案</w:t>
            </w:r>
            <w:r>
              <w:rPr>
                <w:rFonts w:hint="eastAsia" w:ascii="宋体" w:hAnsi="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zh-CN"/>
              </w:rPr>
              <w:t>各项管理规章制度及档案台账及资料管理</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lang w:val="zh-CN" w:eastAsia="zh-CN"/>
              </w:rPr>
              <w:t>；</w:t>
            </w:r>
          </w:p>
          <w:p w14:paraId="22D77D5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rPr>
              <w:t>4）</w:t>
            </w:r>
            <w:r>
              <w:rPr>
                <w:rFonts w:hint="eastAsia" w:ascii="宋体" w:hAnsi="宋体" w:eastAsia="宋体" w:cs="宋体"/>
                <w:b w:val="0"/>
                <w:bCs w:val="0"/>
                <w:color w:val="auto"/>
                <w:sz w:val="24"/>
                <w:szCs w:val="24"/>
                <w:highlight w:val="none"/>
                <w:lang w:val="en-US" w:eastAsia="zh-CN"/>
              </w:rPr>
              <w:t>投标人</w:t>
            </w:r>
            <w:r>
              <w:rPr>
                <w:rFonts w:hint="eastAsia" w:ascii="宋体" w:hAnsi="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lang w:val="zh-CN"/>
              </w:rPr>
              <w:t>环境管控方案</w:t>
            </w:r>
            <w:r>
              <w:rPr>
                <w:rFonts w:hint="eastAsia" w:ascii="宋体" w:hAnsi="宋体" w:cs="宋体"/>
                <w:b w:val="0"/>
                <w:bCs w:val="0"/>
                <w:color w:val="auto"/>
                <w:sz w:val="24"/>
                <w:szCs w:val="24"/>
                <w:highlight w:val="none"/>
                <w:lang w:val="en-US" w:eastAsia="zh-CN"/>
              </w:rPr>
              <w:t>得3分</w:t>
            </w:r>
          </w:p>
          <w:p w14:paraId="5BD5F2A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highlight w:val="none"/>
                <w:lang w:val="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投标人</w:t>
            </w:r>
            <w:r>
              <w:rPr>
                <w:rFonts w:hint="eastAsia" w:ascii="宋体" w:hAnsi="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lang w:val="zh-CN"/>
              </w:rPr>
              <w:t>运营基本配备的消毒灭杀设备的数量及性能</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分</w:t>
            </w:r>
            <w:r>
              <w:rPr>
                <w:rFonts w:hint="eastAsia" w:ascii="宋体" w:hAnsi="宋体" w:eastAsia="宋体" w:cs="宋体"/>
                <w:b w:val="0"/>
                <w:bCs w:val="0"/>
                <w:color w:val="auto"/>
                <w:sz w:val="24"/>
                <w:szCs w:val="24"/>
                <w:highlight w:val="none"/>
                <w:lang w:val="zh-CN"/>
              </w:rPr>
              <w:t>；</w:t>
            </w:r>
          </w:p>
          <w:p w14:paraId="39652A1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6）投标人有完善的飞灰渗滤液处理方案和执行措施的得6分。 </w:t>
            </w:r>
          </w:p>
          <w:p w14:paraId="2798DA1F">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rPr>
              <w:t>2、</w:t>
            </w:r>
            <w:r>
              <w:rPr>
                <w:rFonts w:hint="eastAsia" w:ascii="宋体" w:hAnsi="宋体" w:eastAsia="宋体" w:cs="宋体"/>
                <w:b w:val="0"/>
                <w:bCs w:val="0"/>
                <w:color w:val="auto"/>
                <w:sz w:val="24"/>
                <w:szCs w:val="24"/>
                <w:highlight w:val="none"/>
                <w:lang w:val="en-US" w:eastAsia="zh-CN"/>
              </w:rPr>
              <w:t>投标人</w:t>
            </w:r>
            <w:r>
              <w:rPr>
                <w:rFonts w:hint="eastAsia" w:ascii="宋体" w:hAnsi="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lang w:val="zh-CN"/>
              </w:rPr>
              <w:t>应急措施</w:t>
            </w:r>
            <w:r>
              <w:rPr>
                <w:rFonts w:hint="eastAsia" w:ascii="宋体" w:hAnsi="宋体" w:cs="宋体"/>
                <w:b w:val="0"/>
                <w:bCs w:val="0"/>
                <w:color w:val="auto"/>
                <w:sz w:val="24"/>
                <w:szCs w:val="24"/>
                <w:highlight w:val="none"/>
                <w:lang w:val="en-US" w:eastAsia="zh-CN"/>
              </w:rPr>
              <w:t>包含</w:t>
            </w:r>
            <w:r>
              <w:rPr>
                <w:rFonts w:hint="eastAsia" w:ascii="宋体" w:hAnsi="宋体" w:eastAsia="宋体" w:cs="宋体"/>
                <w:b w:val="0"/>
                <w:bCs w:val="0"/>
                <w:color w:val="auto"/>
                <w:sz w:val="24"/>
                <w:szCs w:val="24"/>
                <w:highlight w:val="none"/>
                <w:lang w:val="zh-CN"/>
              </w:rPr>
              <w:t>：针对台风、暴雨、大雪、高温等恶劣天气影响，重大接待任务，重大节假日或活动等特殊情况制定应急处置方案，</w:t>
            </w:r>
            <w:r>
              <w:rPr>
                <w:rFonts w:hint="eastAsia" w:ascii="宋体" w:hAnsi="宋体" w:cs="宋体"/>
                <w:b w:val="0"/>
                <w:bCs w:val="0"/>
                <w:color w:val="auto"/>
                <w:sz w:val="24"/>
                <w:szCs w:val="24"/>
                <w:highlight w:val="none"/>
                <w:lang w:val="en-US" w:eastAsia="zh-CN"/>
              </w:rPr>
              <w:t>得6分。</w:t>
            </w:r>
            <w:r>
              <w:rPr>
                <w:rFonts w:hint="eastAsia" w:ascii="宋体" w:hAnsi="宋体" w:eastAsia="宋体" w:cs="宋体"/>
                <w:b w:val="0"/>
                <w:bCs w:val="0"/>
                <w:color w:val="auto"/>
                <w:sz w:val="24"/>
                <w:szCs w:val="24"/>
                <w:highlight w:val="none"/>
                <w:lang w:val="zh-CN"/>
              </w:rPr>
              <w:t>包括传达机制、人员</w:t>
            </w:r>
            <w:r>
              <w:rPr>
                <w:rFonts w:hint="eastAsia" w:ascii="宋体" w:hAnsi="宋体" w:cs="宋体"/>
                <w:b w:val="0"/>
                <w:bCs w:val="0"/>
                <w:color w:val="auto"/>
                <w:sz w:val="24"/>
                <w:szCs w:val="24"/>
                <w:highlight w:val="none"/>
                <w:lang w:val="zh-CN"/>
              </w:rPr>
              <w:t>、</w:t>
            </w:r>
            <w:r>
              <w:rPr>
                <w:rFonts w:hint="eastAsia" w:ascii="宋体" w:hAnsi="宋体" w:eastAsia="宋体" w:cs="宋体"/>
                <w:b w:val="0"/>
                <w:bCs w:val="0"/>
                <w:color w:val="auto"/>
                <w:sz w:val="24"/>
                <w:szCs w:val="24"/>
                <w:highlight w:val="none"/>
                <w:lang w:val="zh-CN"/>
              </w:rPr>
              <w:t>设备调配、责任分工</w:t>
            </w:r>
            <w:r>
              <w:rPr>
                <w:rFonts w:hint="eastAsia" w:ascii="宋体" w:hAnsi="宋体" w:cs="宋体"/>
                <w:b w:val="0"/>
                <w:bCs w:val="0"/>
                <w:color w:val="auto"/>
                <w:sz w:val="24"/>
                <w:szCs w:val="24"/>
                <w:highlight w:val="none"/>
                <w:lang w:val="en-US" w:eastAsia="zh-CN"/>
              </w:rPr>
              <w:t>的得4分</w:t>
            </w:r>
            <w:r>
              <w:rPr>
                <w:rFonts w:hint="eastAsia" w:ascii="宋体" w:hAnsi="宋体" w:cs="宋体"/>
                <w:b w:val="0"/>
                <w:bCs w:val="0"/>
                <w:color w:val="auto"/>
                <w:sz w:val="24"/>
                <w:szCs w:val="24"/>
                <w:highlight w:val="none"/>
                <w:lang w:val="zh-CN" w:eastAsia="zh-CN"/>
              </w:rPr>
              <w:t>。</w:t>
            </w:r>
            <w:r>
              <w:rPr>
                <w:rFonts w:hint="eastAsia" w:ascii="宋体" w:hAnsi="宋体" w:cs="宋体"/>
                <w:b w:val="0"/>
                <w:bCs w:val="0"/>
                <w:color w:val="auto"/>
                <w:sz w:val="24"/>
                <w:szCs w:val="24"/>
                <w:highlight w:val="none"/>
                <w:lang w:val="en-US" w:eastAsia="zh-CN"/>
              </w:rPr>
              <w:t>本项最高得10分；</w:t>
            </w:r>
          </w:p>
          <w:p w14:paraId="05927221">
            <w:pPr>
              <w:keepNext w:val="0"/>
              <w:keepLines w:val="0"/>
              <w:pageBreakBefore w:val="0"/>
              <w:widowControl w:val="0"/>
              <w:numPr>
                <w:ilvl w:val="0"/>
                <w:numId w:val="5"/>
              </w:numPr>
              <w:kinsoku/>
              <w:wordWrap/>
              <w:overflowPunct/>
              <w:topLinePunct w:val="0"/>
              <w:autoSpaceDE/>
              <w:autoSpaceDN/>
              <w:bidi w:val="0"/>
              <w:adjustRightInd/>
              <w:snapToGrid/>
              <w:spacing w:line="420" w:lineRule="exac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投标人</w:t>
            </w:r>
            <w:r>
              <w:rPr>
                <w:rFonts w:hint="eastAsia" w:ascii="宋体" w:hAnsi="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lang w:val="zh-CN"/>
              </w:rPr>
              <w:t>质量控制方案：</w:t>
            </w: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lang w:val="zh-CN"/>
              </w:rPr>
              <w:t>提供的质量目标切实可行且有详细的保证措施</w:t>
            </w:r>
            <w:r>
              <w:rPr>
                <w:rFonts w:hint="eastAsia" w:ascii="宋体" w:hAnsi="宋体" w:eastAsia="宋体" w:cs="宋体"/>
                <w:b w:val="0"/>
                <w:bCs w:val="0"/>
                <w:color w:val="auto"/>
                <w:sz w:val="24"/>
                <w:szCs w:val="24"/>
                <w:highlight w:val="none"/>
                <w:lang w:val="en-US" w:eastAsia="zh-CN"/>
              </w:rPr>
              <w:t>的得5分</w:t>
            </w:r>
            <w:r>
              <w:rPr>
                <w:rFonts w:hint="eastAsia" w:ascii="宋体" w:hAnsi="宋体" w:cs="宋体"/>
                <w:b w:val="0"/>
                <w:bCs w:val="0"/>
                <w:color w:val="auto"/>
                <w:sz w:val="24"/>
                <w:szCs w:val="24"/>
                <w:highlight w:val="none"/>
                <w:lang w:val="en-US" w:eastAsia="zh-CN"/>
              </w:rPr>
              <w:t>；</w:t>
            </w:r>
          </w:p>
          <w:p w14:paraId="19712CA1">
            <w:pPr>
              <w:widowControl/>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lang w:val="en-US" w:eastAsia="zh-CN"/>
              </w:rPr>
              <w:t>投标人</w:t>
            </w:r>
            <w:r>
              <w:rPr>
                <w:rFonts w:hint="eastAsia" w:ascii="宋体" w:hAnsi="宋体" w:cs="宋体"/>
                <w:b w:val="0"/>
                <w:bCs w:val="0"/>
                <w:color w:val="auto"/>
                <w:sz w:val="24"/>
                <w:szCs w:val="24"/>
                <w:highlight w:val="none"/>
                <w:lang w:val="en-US" w:eastAsia="zh-CN"/>
              </w:rPr>
              <w:t>提供</w:t>
            </w:r>
            <w:r>
              <w:rPr>
                <w:rFonts w:hint="eastAsia" w:ascii="宋体" w:hAnsi="宋体" w:eastAsia="宋体" w:cs="宋体"/>
                <w:b w:val="0"/>
                <w:bCs w:val="0"/>
                <w:color w:val="auto"/>
                <w:sz w:val="24"/>
                <w:szCs w:val="24"/>
                <w:highlight w:val="none"/>
                <w:lang w:val="zh-CN"/>
              </w:rPr>
              <w:t>安全保障管理方案：</w:t>
            </w:r>
            <w:r>
              <w:rPr>
                <w:rFonts w:hint="eastAsia" w:ascii="宋体" w:hAnsi="宋体" w:eastAsia="宋体" w:cs="宋体"/>
                <w:b w:val="0"/>
                <w:bCs w:val="0"/>
                <w:color w:val="auto"/>
                <w:sz w:val="24"/>
                <w:szCs w:val="24"/>
                <w:highlight w:val="none"/>
                <w:lang w:val="en-US" w:eastAsia="zh-CN"/>
              </w:rPr>
              <w:t>投标人</w:t>
            </w:r>
            <w:r>
              <w:rPr>
                <w:rFonts w:hint="eastAsia" w:ascii="宋体" w:hAnsi="宋体" w:eastAsia="宋体" w:cs="宋体"/>
                <w:b w:val="0"/>
                <w:bCs w:val="0"/>
                <w:color w:val="auto"/>
                <w:sz w:val="24"/>
                <w:szCs w:val="24"/>
                <w:highlight w:val="none"/>
              </w:rPr>
              <w:t>提供的安全保障管理方案</w:t>
            </w:r>
            <w:r>
              <w:rPr>
                <w:rFonts w:hint="eastAsia" w:ascii="宋体" w:hAnsi="宋体" w:cs="宋体"/>
                <w:b w:val="0"/>
                <w:bCs w:val="0"/>
                <w:color w:val="auto"/>
                <w:sz w:val="24"/>
                <w:szCs w:val="24"/>
                <w:highlight w:val="none"/>
                <w:lang w:val="en-US" w:eastAsia="zh-CN"/>
              </w:rPr>
              <w:t>的得3分，</w:t>
            </w:r>
            <w:r>
              <w:rPr>
                <w:rFonts w:hint="eastAsia" w:ascii="宋体" w:hAnsi="宋体" w:eastAsia="宋体" w:cs="宋体"/>
                <w:b w:val="0"/>
                <w:bCs w:val="0"/>
                <w:color w:val="auto"/>
                <w:sz w:val="24"/>
                <w:szCs w:val="24"/>
                <w:highlight w:val="none"/>
              </w:rPr>
              <w:t>有详细的保障措施、</w:t>
            </w:r>
            <w:r>
              <w:rPr>
                <w:rFonts w:hint="eastAsia" w:ascii="宋体" w:hAnsi="宋体" w:cs="宋体"/>
                <w:b w:val="0"/>
                <w:bCs w:val="0"/>
                <w:color w:val="auto"/>
                <w:sz w:val="24"/>
                <w:szCs w:val="24"/>
                <w:highlight w:val="none"/>
                <w:lang w:eastAsia="zh-CN"/>
              </w:rPr>
              <w:t>安全计划、</w:t>
            </w:r>
            <w:r>
              <w:rPr>
                <w:rFonts w:hint="eastAsia" w:ascii="宋体" w:hAnsi="宋体" w:eastAsia="宋体" w:cs="宋体"/>
                <w:b w:val="0"/>
                <w:bCs w:val="0"/>
                <w:color w:val="auto"/>
                <w:sz w:val="24"/>
                <w:szCs w:val="24"/>
                <w:highlight w:val="none"/>
              </w:rPr>
              <w:t>安全教育、安全培训、安全演练</w:t>
            </w:r>
            <w:r>
              <w:rPr>
                <w:rFonts w:hint="eastAsia" w:ascii="宋体" w:hAnsi="宋体" w:cs="宋体"/>
                <w:b w:val="0"/>
                <w:bCs w:val="0"/>
                <w:color w:val="auto"/>
                <w:sz w:val="24"/>
                <w:szCs w:val="24"/>
                <w:highlight w:val="none"/>
                <w:lang w:eastAsia="zh-CN"/>
              </w:rPr>
              <w:t>并有效实施</w:t>
            </w:r>
            <w:r>
              <w:rPr>
                <w:rFonts w:hint="eastAsia" w:ascii="宋体" w:hAnsi="宋体" w:eastAsia="宋体" w:cs="宋体"/>
                <w:b w:val="0"/>
                <w:bCs w:val="0"/>
                <w:color w:val="auto"/>
                <w:sz w:val="24"/>
                <w:szCs w:val="24"/>
                <w:highlight w:val="none"/>
              </w:rPr>
              <w:t>及台账措施</w:t>
            </w:r>
            <w:r>
              <w:rPr>
                <w:rFonts w:hint="eastAsia" w:ascii="宋体" w:hAnsi="宋体" w:eastAsia="宋体" w:cs="宋体"/>
                <w:b w:val="0"/>
                <w:bCs w:val="0"/>
                <w:color w:val="auto"/>
                <w:sz w:val="24"/>
                <w:szCs w:val="24"/>
                <w:highlight w:val="none"/>
                <w:lang w:val="en-US" w:eastAsia="zh-CN"/>
              </w:rPr>
              <w:t>得</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本项最高得10分。</w:t>
            </w:r>
          </w:p>
        </w:tc>
      </w:tr>
      <w:tr w14:paraId="0DFD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tcBorders>
              <w:top w:val="single" w:color="auto" w:sz="4" w:space="0"/>
              <w:left w:val="single" w:color="auto" w:sz="4" w:space="0"/>
              <w:bottom w:val="single" w:color="auto" w:sz="4" w:space="0"/>
              <w:right w:val="single" w:color="auto" w:sz="4" w:space="0"/>
            </w:tcBorders>
            <w:vAlign w:val="center"/>
          </w:tcPr>
          <w:p w14:paraId="4DC7B16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项目组成人员配备</w:t>
            </w:r>
          </w:p>
        </w:tc>
        <w:tc>
          <w:tcPr>
            <w:tcW w:w="836" w:type="dxa"/>
            <w:tcBorders>
              <w:top w:val="single" w:color="auto" w:sz="4" w:space="0"/>
              <w:left w:val="single" w:color="auto" w:sz="4" w:space="0"/>
              <w:bottom w:val="single" w:color="auto" w:sz="4" w:space="0"/>
              <w:right w:val="single" w:color="auto" w:sz="4" w:space="0"/>
            </w:tcBorders>
            <w:vAlign w:val="center"/>
          </w:tcPr>
          <w:p w14:paraId="34A185AB">
            <w:pPr>
              <w:spacing w:line="48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c>
          <w:tcPr>
            <w:tcW w:w="8383" w:type="dxa"/>
            <w:tcBorders>
              <w:top w:val="single" w:color="auto" w:sz="4" w:space="0"/>
              <w:left w:val="single" w:color="auto" w:sz="4" w:space="0"/>
              <w:bottom w:val="single" w:color="auto" w:sz="4" w:space="0"/>
              <w:right w:val="single" w:color="auto" w:sz="4" w:space="0"/>
            </w:tcBorders>
            <w:vAlign w:val="center"/>
          </w:tcPr>
          <w:p w14:paraId="03FC3A51">
            <w:pPr>
              <w:spacing w:line="48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1、拟委派担任本项目的负</w:t>
            </w:r>
            <w:r>
              <w:rPr>
                <w:rFonts w:hint="eastAsia" w:ascii="宋体" w:hAnsi="宋体" w:eastAsia="宋体" w:cs="宋体"/>
                <w:color w:val="auto"/>
                <w:sz w:val="24"/>
                <w:szCs w:val="24"/>
                <w:highlight w:val="none"/>
                <w:shd w:val="clear"/>
                <w:lang w:val="zh-CN" w:eastAsia="zh-CN"/>
              </w:rPr>
              <w:t>责人具有环境类中级及以上工程师职称，</w:t>
            </w:r>
            <w:r>
              <w:rPr>
                <w:rFonts w:hint="eastAsia" w:hAnsi="宋体" w:cs="宋体"/>
                <w:color w:val="auto"/>
                <w:sz w:val="24"/>
                <w:szCs w:val="24"/>
                <w:highlight w:val="none"/>
                <w:lang w:val="en-US" w:eastAsia="zh-CN"/>
              </w:rPr>
              <w:t>提供原件</w:t>
            </w:r>
            <w:r>
              <w:rPr>
                <w:rFonts w:hint="eastAsia" w:ascii="宋体" w:hAnsi="宋体" w:cs="宋体"/>
                <w:color w:val="auto"/>
                <w:sz w:val="24"/>
                <w:szCs w:val="24"/>
                <w:highlight w:val="none"/>
                <w:lang w:val="en-US" w:eastAsia="zh-CN"/>
              </w:rPr>
              <w:t>扫描件加盖投标人公章的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val="zh-CN" w:eastAsia="zh-CN"/>
              </w:rPr>
              <w:t>，具有</w:t>
            </w:r>
            <w:r>
              <w:rPr>
                <w:rFonts w:hint="eastAsia" w:ascii="宋体" w:hAnsi="宋体" w:eastAsia="宋体" w:cs="宋体"/>
                <w:color w:val="auto"/>
                <w:sz w:val="24"/>
                <w:szCs w:val="24"/>
                <w:highlight w:val="none"/>
                <w:lang w:val="en-US" w:eastAsia="zh-CN"/>
              </w:rPr>
              <w:t>机电工程</w:t>
            </w:r>
            <w:r>
              <w:rPr>
                <w:rFonts w:hint="eastAsia" w:ascii="宋体" w:hAnsi="宋体" w:eastAsia="宋体" w:cs="宋体"/>
                <w:color w:val="auto"/>
                <w:sz w:val="24"/>
                <w:szCs w:val="24"/>
                <w:highlight w:val="none"/>
                <w:lang w:val="zh-CN" w:eastAsia="zh-CN"/>
              </w:rPr>
              <w:t>一级建造师证书的</w:t>
            </w:r>
            <w:r>
              <w:rPr>
                <w:rFonts w:hint="eastAsia" w:hAnsi="宋体" w:cs="宋体"/>
                <w:color w:val="auto"/>
                <w:sz w:val="24"/>
                <w:szCs w:val="24"/>
                <w:highlight w:val="none"/>
                <w:lang w:val="en-US" w:eastAsia="zh-CN"/>
              </w:rPr>
              <w:t>提供原件</w:t>
            </w:r>
            <w:r>
              <w:rPr>
                <w:rFonts w:hint="eastAsia" w:ascii="宋体" w:hAnsi="宋体" w:cs="宋体"/>
                <w:color w:val="auto"/>
                <w:sz w:val="24"/>
                <w:szCs w:val="24"/>
                <w:highlight w:val="none"/>
                <w:lang w:val="en-US" w:eastAsia="zh-CN"/>
              </w:rPr>
              <w:t>扫描件加盖投标人公章的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en-US" w:eastAsia="zh-CN"/>
              </w:rPr>
              <w:t>此项最高得分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459F7D4">
            <w:pPr>
              <w:spacing w:line="480" w:lineRule="exac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、拟</w:t>
            </w:r>
            <w:r>
              <w:rPr>
                <w:rFonts w:hint="eastAsia" w:ascii="宋体" w:hAnsi="宋体" w:cs="宋体"/>
                <w:color w:val="auto"/>
                <w:sz w:val="24"/>
                <w:szCs w:val="24"/>
                <w:highlight w:val="none"/>
                <w:lang w:val="zh-CN" w:eastAsia="zh-CN"/>
              </w:rPr>
              <w:t>委派</w:t>
            </w:r>
            <w:r>
              <w:rPr>
                <w:rFonts w:hint="eastAsia" w:ascii="宋体" w:hAnsi="宋体" w:eastAsia="宋体" w:cs="宋体"/>
                <w:color w:val="auto"/>
                <w:sz w:val="24"/>
                <w:szCs w:val="24"/>
                <w:highlight w:val="none"/>
                <w:lang w:val="zh-CN" w:eastAsia="zh-CN"/>
              </w:rPr>
              <w:t>安全管理负责人</w:t>
            </w:r>
            <w:r>
              <w:rPr>
                <w:rFonts w:hint="eastAsia" w:ascii="宋体" w:hAnsi="宋体" w:cs="宋体"/>
                <w:color w:val="auto"/>
                <w:sz w:val="24"/>
                <w:szCs w:val="24"/>
                <w:highlight w:val="none"/>
                <w:lang w:val="en-US" w:eastAsia="zh-CN"/>
              </w:rPr>
              <w:t>具有注册安全工程师的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r>
              <w:rPr>
                <w:rFonts w:hint="eastAsia" w:hAnsi="宋体" w:cs="宋体"/>
                <w:color w:val="auto"/>
                <w:sz w:val="24"/>
                <w:szCs w:val="24"/>
                <w:highlight w:val="none"/>
                <w:lang w:val="en-US" w:eastAsia="zh-CN"/>
              </w:rPr>
              <w:t>提供原件</w:t>
            </w:r>
            <w:r>
              <w:rPr>
                <w:rFonts w:hint="eastAsia" w:ascii="宋体" w:hAnsi="宋体" w:cs="宋体"/>
                <w:color w:val="auto"/>
                <w:sz w:val="24"/>
                <w:szCs w:val="24"/>
                <w:highlight w:val="none"/>
                <w:lang w:val="en-US" w:eastAsia="zh-CN"/>
              </w:rPr>
              <w:t>扫描件加盖投标人公章</w:t>
            </w:r>
            <w:r>
              <w:rPr>
                <w:rFonts w:hint="eastAsia" w:ascii="宋体" w:hAnsi="宋体" w:eastAsia="宋体" w:cs="宋体"/>
                <w:color w:val="auto"/>
                <w:sz w:val="24"/>
                <w:szCs w:val="24"/>
                <w:highlight w:val="none"/>
                <w:lang w:val="zh-CN" w:eastAsia="zh-CN"/>
              </w:rPr>
              <w:t>。</w:t>
            </w:r>
          </w:p>
          <w:p w14:paraId="6897A78B">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3、组成</w:t>
            </w:r>
            <w:r>
              <w:rPr>
                <w:rFonts w:hint="eastAsia" w:ascii="宋体" w:hAnsi="宋体" w:eastAsia="宋体" w:cs="宋体"/>
                <w:color w:val="auto"/>
                <w:sz w:val="24"/>
                <w:szCs w:val="24"/>
                <w:highlight w:val="none"/>
                <w:lang w:val="zh-CN" w:eastAsia="zh-CN"/>
              </w:rPr>
              <w:t>人员具有初级</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zh-CN" w:eastAsia="zh-CN"/>
              </w:rPr>
              <w:t>以上职称，其中包括环境工程、机械专业技术人员，</w:t>
            </w:r>
            <w:r>
              <w:rPr>
                <w:rFonts w:hint="eastAsia" w:ascii="宋体" w:hAnsi="宋体" w:cs="宋体"/>
                <w:color w:val="auto"/>
                <w:sz w:val="24"/>
                <w:szCs w:val="24"/>
                <w:highlight w:val="none"/>
                <w:lang w:val="zh-CN" w:eastAsia="zh-CN"/>
              </w:rPr>
              <w:t>每有一名人员具备得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val="zh-CN" w:eastAsia="zh-CN"/>
              </w:rPr>
              <w:t>分，</w:t>
            </w:r>
            <w:r>
              <w:rPr>
                <w:rFonts w:hint="eastAsia" w:hAnsi="宋体" w:cs="宋体"/>
                <w:color w:val="auto"/>
                <w:sz w:val="24"/>
                <w:szCs w:val="24"/>
                <w:highlight w:val="none"/>
                <w:lang w:val="en-US" w:eastAsia="zh-CN"/>
              </w:rPr>
              <w:t>提供原件</w:t>
            </w:r>
            <w:r>
              <w:rPr>
                <w:rFonts w:hint="eastAsia" w:ascii="宋体" w:hAnsi="宋体" w:cs="宋体"/>
                <w:color w:val="auto"/>
                <w:sz w:val="24"/>
                <w:szCs w:val="24"/>
                <w:highlight w:val="none"/>
                <w:lang w:val="en-US" w:eastAsia="zh-CN"/>
              </w:rPr>
              <w:t>扫描件加盖投标人公章，</w:t>
            </w:r>
            <w:r>
              <w:rPr>
                <w:rFonts w:hint="eastAsia" w:ascii="宋体" w:hAnsi="宋体" w:eastAsia="宋体" w:cs="宋体"/>
                <w:color w:val="auto"/>
                <w:sz w:val="24"/>
                <w:szCs w:val="24"/>
                <w:highlight w:val="none"/>
                <w:lang w:val="en-US" w:eastAsia="zh-CN"/>
              </w:rPr>
              <w:t>此项最高得分</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13C05657">
            <w:pPr>
              <w:spacing w:line="480" w:lineRule="exact"/>
              <w:rPr>
                <w:rFonts w:hint="default"/>
                <w:color w:val="auto"/>
                <w:highlight w:val="none"/>
                <w:lang w:val="en-US"/>
              </w:rPr>
            </w:pPr>
            <w:r>
              <w:rPr>
                <w:rFonts w:hint="eastAsia" w:ascii="宋体" w:hAnsi="宋体" w:cs="宋体"/>
                <w:color w:val="auto"/>
                <w:sz w:val="24"/>
                <w:szCs w:val="24"/>
                <w:highlight w:val="none"/>
                <w:lang w:val="en-US" w:eastAsia="zh-CN"/>
              </w:rPr>
              <w:t>注：以上人员须提供投标截止前6个月的社保证明加盖投标人公章</w:t>
            </w:r>
            <w:r>
              <w:rPr>
                <w:rFonts w:hint="eastAsia" w:ascii="宋体" w:hAnsi="宋体" w:cs="宋体"/>
                <w:color w:val="auto"/>
                <w:sz w:val="24"/>
                <w:szCs w:val="24"/>
                <w:highlight w:val="none"/>
                <w:lang w:eastAsia="zh-CN"/>
              </w:rPr>
              <w:t>。</w:t>
            </w:r>
          </w:p>
        </w:tc>
      </w:tr>
      <w:tr w14:paraId="0892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14:paraId="11671C13">
            <w:pPr>
              <w:spacing w:line="48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企业认证</w:t>
            </w:r>
          </w:p>
        </w:tc>
        <w:tc>
          <w:tcPr>
            <w:tcW w:w="836" w:type="dxa"/>
            <w:tcBorders>
              <w:top w:val="single" w:color="auto" w:sz="4" w:space="0"/>
              <w:left w:val="single" w:color="auto" w:sz="4" w:space="0"/>
              <w:bottom w:val="single" w:color="auto" w:sz="4" w:space="0"/>
              <w:right w:val="single" w:color="auto" w:sz="4" w:space="0"/>
            </w:tcBorders>
            <w:vAlign w:val="center"/>
          </w:tcPr>
          <w:p w14:paraId="2F6F3BC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8383" w:type="dxa"/>
            <w:tcBorders>
              <w:top w:val="single" w:color="auto" w:sz="4" w:space="0"/>
              <w:left w:val="single" w:color="auto" w:sz="4" w:space="0"/>
              <w:bottom w:val="single" w:color="auto" w:sz="4" w:space="0"/>
              <w:right w:val="single" w:color="auto" w:sz="4" w:space="0"/>
            </w:tcBorders>
            <w:vAlign w:val="center"/>
          </w:tcPr>
          <w:p w14:paraId="6D8D2B0A">
            <w:pPr>
              <w:spacing w:line="480" w:lineRule="exact"/>
              <w:jc w:val="left"/>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投标人具有</w:t>
            </w:r>
            <w:r>
              <w:rPr>
                <w:rFonts w:hint="eastAsia" w:ascii="宋体" w:hAnsi="宋体" w:eastAsia="宋体" w:cs="宋体"/>
                <w:color w:val="auto"/>
                <w:sz w:val="24"/>
                <w:szCs w:val="24"/>
                <w:highlight w:val="none"/>
                <w:lang w:val="zh-CN"/>
              </w:rPr>
              <w:t>有效期内的质量管理体系认证证书</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zh-CN"/>
              </w:rPr>
              <w:t>、环境管理体系认证书</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r>
              <w:rPr>
                <w:rFonts w:hint="eastAsia" w:ascii="宋体" w:hAnsi="宋体" w:eastAsia="宋体" w:cs="宋体"/>
                <w:color w:val="auto"/>
                <w:sz w:val="24"/>
                <w:szCs w:val="24"/>
                <w:highlight w:val="none"/>
                <w:lang w:val="zh-CN"/>
              </w:rPr>
              <w:t>职业健康安全管理体认证证书</w:t>
            </w:r>
            <w:r>
              <w:rPr>
                <w:rFonts w:hint="eastAsia" w:ascii="宋体" w:hAnsi="宋体" w:eastAsia="宋体" w:cs="宋体"/>
                <w:color w:val="auto"/>
                <w:sz w:val="24"/>
                <w:szCs w:val="24"/>
                <w:highlight w:val="none"/>
                <w:lang w:val="zh-CN"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分，诚信管理体系认证证书得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w:t>
            </w:r>
          </w:p>
          <w:p w14:paraId="50296D7A">
            <w:pPr>
              <w:spacing w:line="480" w:lineRule="exac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注：认证范围包含生活垃圾处理或技术服务</w:t>
            </w:r>
            <w:r>
              <w:rPr>
                <w:rFonts w:hint="eastAsia" w:ascii="宋体" w:hAnsi="宋体" w:cs="宋体"/>
                <w:color w:val="auto"/>
                <w:sz w:val="24"/>
                <w:szCs w:val="24"/>
                <w:highlight w:val="none"/>
                <w:lang w:val="en-US" w:eastAsia="zh-CN"/>
              </w:rPr>
              <w:t>相关内容</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提供证书及官网查询截图扫描件加盖投标人公章。</w:t>
            </w:r>
          </w:p>
        </w:tc>
      </w:tr>
      <w:tr w14:paraId="0915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tcBorders>
              <w:top w:val="single" w:color="auto" w:sz="4" w:space="0"/>
              <w:left w:val="single" w:color="auto" w:sz="4" w:space="0"/>
              <w:bottom w:val="single" w:color="auto" w:sz="4" w:space="0"/>
              <w:right w:val="single" w:color="auto" w:sz="4" w:space="0"/>
            </w:tcBorders>
            <w:vAlign w:val="center"/>
          </w:tcPr>
          <w:p w14:paraId="65B3584B">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zh-CN"/>
              </w:rPr>
              <w:t>业绩</w:t>
            </w:r>
          </w:p>
        </w:tc>
        <w:tc>
          <w:tcPr>
            <w:tcW w:w="836" w:type="dxa"/>
            <w:tcBorders>
              <w:top w:val="single" w:color="auto" w:sz="4" w:space="0"/>
              <w:left w:val="single" w:color="auto" w:sz="4" w:space="0"/>
              <w:bottom w:val="single" w:color="auto" w:sz="4" w:space="0"/>
              <w:right w:val="single" w:color="auto" w:sz="4" w:space="0"/>
            </w:tcBorders>
            <w:vAlign w:val="center"/>
          </w:tcPr>
          <w:p w14:paraId="0BA0461F">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8383" w:type="dxa"/>
            <w:tcBorders>
              <w:top w:val="single" w:color="auto" w:sz="4" w:space="0"/>
              <w:left w:val="single" w:color="auto" w:sz="4" w:space="0"/>
              <w:bottom w:val="single" w:color="auto" w:sz="4" w:space="0"/>
              <w:right w:val="single" w:color="auto" w:sz="4" w:space="0"/>
            </w:tcBorders>
            <w:vAlign w:val="center"/>
          </w:tcPr>
          <w:p w14:paraId="14C9FCB1">
            <w:pPr>
              <w:spacing w:line="48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年1月至今</w:t>
            </w:r>
            <w:r>
              <w:rPr>
                <w:rFonts w:hint="eastAsia" w:ascii="宋体" w:hAnsi="宋体" w:cs="宋体"/>
                <w:color w:val="auto"/>
                <w:sz w:val="24"/>
                <w:szCs w:val="24"/>
                <w:highlight w:val="none"/>
                <w:lang w:eastAsia="zh-CN"/>
              </w:rPr>
              <w:t>生活垃圾（</w:t>
            </w:r>
            <w:r>
              <w:rPr>
                <w:rFonts w:hint="eastAsia" w:ascii="宋体" w:hAnsi="宋体" w:eastAsia="宋体" w:cs="宋体"/>
                <w:color w:val="auto"/>
                <w:sz w:val="24"/>
                <w:szCs w:val="24"/>
                <w:highlight w:val="none"/>
              </w:rPr>
              <w:t>飞灰填埋</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运营管理项目</w:t>
            </w: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业绩的（以合同签订时间为准），提供一个业绩得1分，最高得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分。注：投标文件中须提供合同原件扫描件加盖单位公章，以合同签订时间为准，同一业主不累计得分。</w:t>
            </w:r>
          </w:p>
        </w:tc>
      </w:tr>
      <w:tr w14:paraId="3C172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tcBorders>
              <w:top w:val="single" w:color="auto" w:sz="4" w:space="0"/>
              <w:left w:val="single" w:color="auto" w:sz="4" w:space="0"/>
              <w:bottom w:val="single" w:color="auto" w:sz="4" w:space="0"/>
              <w:right w:val="single" w:color="auto" w:sz="4" w:space="0"/>
            </w:tcBorders>
            <w:vAlign w:val="center"/>
          </w:tcPr>
          <w:p w14:paraId="386C9F52">
            <w:pPr>
              <w:spacing w:line="480" w:lineRule="exact"/>
              <w:ind w:firstLine="28" w:firstLineChars="0"/>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诚信投标</w:t>
            </w:r>
          </w:p>
        </w:tc>
        <w:tc>
          <w:tcPr>
            <w:tcW w:w="836" w:type="dxa"/>
            <w:tcBorders>
              <w:top w:val="single" w:color="auto" w:sz="4" w:space="0"/>
              <w:left w:val="single" w:color="auto" w:sz="4" w:space="0"/>
              <w:bottom w:val="single" w:color="auto" w:sz="4" w:space="0"/>
              <w:right w:val="single" w:color="auto" w:sz="4" w:space="0"/>
            </w:tcBorders>
            <w:vAlign w:val="center"/>
          </w:tcPr>
          <w:p w14:paraId="0568997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8383" w:type="dxa"/>
            <w:tcBorders>
              <w:top w:val="single" w:color="auto" w:sz="4" w:space="0"/>
              <w:left w:val="single" w:color="auto" w:sz="4" w:space="0"/>
              <w:bottom w:val="single" w:color="auto" w:sz="4" w:space="0"/>
              <w:right w:val="single" w:color="auto" w:sz="4" w:space="0"/>
            </w:tcBorders>
            <w:vAlign w:val="center"/>
          </w:tcPr>
          <w:p w14:paraId="504EE01E">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投标人提交签署并盖章《盐城市政府招标采购供应商承诺书》原件</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的得1分；没有提供的不得分。</w:t>
            </w:r>
          </w:p>
        </w:tc>
      </w:tr>
    </w:tbl>
    <w:p w14:paraId="020536C4">
      <w:pPr>
        <w:shd w:val="clear" w:color="auto" w:fill="auto"/>
        <w:spacing w:line="480" w:lineRule="exact"/>
        <w:ind w:firstLine="420"/>
        <w:jc w:val="center"/>
        <w:rPr>
          <w:rFonts w:ascii="宋体" w:hAnsi="宋体" w:cs="宋体"/>
          <w:color w:val="auto"/>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分包二评标标准</w:t>
      </w:r>
    </w:p>
    <w:p w14:paraId="4B3A51D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详细评审</w:t>
      </w:r>
    </w:p>
    <w:p w14:paraId="4469B21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对通过初步评审的投标文件，按照有效投</w:t>
      </w:r>
      <w:r>
        <w:rPr>
          <w:rFonts w:hint="eastAsia" w:ascii="宋体" w:hAnsi="宋体" w:cs="宋体"/>
          <w:color w:val="auto"/>
          <w:sz w:val="24"/>
          <w:szCs w:val="24"/>
          <w:highlight w:val="none"/>
          <w:lang w:val="en-US" w:eastAsia="zh-CN"/>
        </w:rPr>
        <w:t>标总单价</w:t>
      </w:r>
      <w:r>
        <w:rPr>
          <w:rFonts w:hint="eastAsia" w:ascii="宋体" w:hAnsi="宋体" w:eastAsia="宋体" w:cs="宋体"/>
          <w:color w:val="auto"/>
          <w:sz w:val="24"/>
          <w:szCs w:val="24"/>
          <w:highlight w:val="none"/>
        </w:rPr>
        <w:t>由</w:t>
      </w:r>
      <w:r>
        <w:rPr>
          <w:rFonts w:hint="eastAsia" w:ascii="宋体" w:hAnsi="宋体" w:cs="宋体"/>
          <w:color w:val="auto"/>
          <w:sz w:val="24"/>
          <w:szCs w:val="24"/>
          <w:highlight w:val="none"/>
          <w:lang w:val="en-US" w:eastAsia="zh-CN"/>
        </w:rPr>
        <w:t>低</w:t>
      </w:r>
      <w:r>
        <w:rPr>
          <w:rFonts w:hint="eastAsia" w:ascii="宋体" w:hAnsi="宋体" w:eastAsia="宋体" w:cs="宋体"/>
          <w:color w:val="auto"/>
          <w:sz w:val="24"/>
          <w:szCs w:val="24"/>
          <w:highlight w:val="none"/>
        </w:rPr>
        <w:t>至</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rPr>
        <w:t>推荐有排序的1-3名中标侯选人，招标人根据评标委员会提供的书面评标报告，依法确定中标人。</w:t>
      </w:r>
    </w:p>
    <w:p w14:paraId="0CC1F025">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bookmarkStart w:id="156" w:name="_Toc22907"/>
      <w:bookmarkStart w:id="157" w:name="_Toc29388463"/>
      <w:bookmarkStart w:id="158" w:name="_Toc397928606"/>
      <w:r>
        <w:rPr>
          <w:rFonts w:hint="eastAsia" w:ascii="宋体" w:hAnsi="宋体" w:eastAsia="宋体" w:cs="宋体"/>
          <w:color w:val="auto"/>
          <w:sz w:val="24"/>
          <w:szCs w:val="24"/>
          <w:highlight w:val="none"/>
        </w:rPr>
        <w:t>3.1 评标准备</w:t>
      </w:r>
      <w:bookmarkEnd w:id="156"/>
      <w:bookmarkEnd w:id="157"/>
      <w:bookmarkEnd w:id="158"/>
    </w:p>
    <w:p w14:paraId="0BC33A6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评标委员会成员首先推选一名评标委员会负责人，负责评标活动的组织领导工作。</w:t>
      </w:r>
    </w:p>
    <w:p w14:paraId="75EB0B5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 招标人或招标代理机构应向评标委员会提供评标所需的信息和数据。评标委员会负责人应组织评标委员会成员认真研究招标文件，未在招标文件中规定的标准和方法不得作为评标的依据。</w:t>
      </w:r>
    </w:p>
    <w:p w14:paraId="6809995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bookmarkStart w:id="159" w:name="_Toc29388464"/>
      <w:bookmarkStart w:id="160" w:name="_Toc6331"/>
      <w:bookmarkStart w:id="161" w:name="_Toc397928607"/>
      <w:r>
        <w:rPr>
          <w:rFonts w:hint="eastAsia" w:ascii="宋体" w:hAnsi="宋体" w:eastAsia="宋体" w:cs="宋体"/>
          <w:color w:val="auto"/>
          <w:sz w:val="24"/>
          <w:szCs w:val="24"/>
          <w:highlight w:val="none"/>
        </w:rPr>
        <w:t>3.2 初步评审</w:t>
      </w:r>
      <w:bookmarkEnd w:id="159"/>
      <w:bookmarkEnd w:id="160"/>
      <w:bookmarkEnd w:id="161"/>
    </w:p>
    <w:p w14:paraId="18D2B60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3.2.1评标委员会依据本章第一款规定的标准对投标文件进行初步评审。</w:t>
      </w:r>
    </w:p>
    <w:p w14:paraId="6E7A7B16">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3.2.2投标文件不符合本章第一款评审标准的，属于重大偏差，视为未能对招标文件作出实质性响应，应当作为无效投标予以否决。</w:t>
      </w:r>
    </w:p>
    <w:p w14:paraId="473D2C4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3.2.3只有通过初步评审的投标文件才能进入详细评审。</w:t>
      </w:r>
    </w:p>
    <w:p w14:paraId="7D4F8EA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bookmarkStart w:id="162" w:name="_Toc29388465"/>
      <w:bookmarkStart w:id="163" w:name="_Toc7389"/>
      <w:bookmarkStart w:id="164" w:name="_Toc397928608"/>
      <w:r>
        <w:rPr>
          <w:rFonts w:hint="eastAsia" w:ascii="宋体" w:hAnsi="宋体" w:eastAsia="宋体" w:cs="宋体"/>
          <w:color w:val="auto"/>
          <w:sz w:val="24"/>
          <w:szCs w:val="24"/>
          <w:highlight w:val="none"/>
        </w:rPr>
        <w:t>3.3 详细评审</w:t>
      </w:r>
      <w:bookmarkEnd w:id="162"/>
      <w:bookmarkEnd w:id="163"/>
      <w:bookmarkEnd w:id="164"/>
    </w:p>
    <w:p w14:paraId="6797482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bookmarkStart w:id="165" w:name="_Toc397928609"/>
      <w:bookmarkStart w:id="166" w:name="_Toc29388466"/>
      <w:bookmarkStart w:id="167" w:name="_Toc5826"/>
      <w:r>
        <w:rPr>
          <w:rFonts w:hint="eastAsia" w:ascii="宋体" w:hAnsi="宋体" w:eastAsia="宋体" w:cs="宋体"/>
          <w:color w:val="auto"/>
          <w:sz w:val="24"/>
          <w:szCs w:val="24"/>
          <w:highlight w:val="none"/>
        </w:rPr>
        <w:t>3.4 投标文件的澄清和补正</w:t>
      </w:r>
      <w:bookmarkEnd w:id="165"/>
      <w:bookmarkEnd w:id="166"/>
      <w:bookmarkEnd w:id="167"/>
    </w:p>
    <w:p w14:paraId="77EE25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 在评标过程中，评标委员会可以书面形式要求投标人对所提交投标文件中不明确的内容进行书面澄清或说明，或者对细微偏差进行补正。评标委员会不接受投标人主动提出的澄清、说明或补正。</w:t>
      </w:r>
    </w:p>
    <w:p w14:paraId="4AE119D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澄清、说明和补正不得改变投标文件的实质性内容（算术性错误修正的除外）。投标人的书面澄清、说明和补正属于投标文件的组成部分。</w:t>
      </w:r>
    </w:p>
    <w:p w14:paraId="291C796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 评标委员会对投标人提交的澄清、说明或补正有疑问的，可以要求投标人进一步澄清、说明或补正。</w:t>
      </w:r>
    </w:p>
    <w:p w14:paraId="14DF21C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bookmarkStart w:id="168" w:name="_Toc397928610"/>
      <w:bookmarkStart w:id="169" w:name="_Toc29388467"/>
      <w:bookmarkStart w:id="170" w:name="_Toc29288"/>
      <w:r>
        <w:rPr>
          <w:rFonts w:hint="eastAsia" w:ascii="宋体" w:hAnsi="宋体" w:eastAsia="宋体" w:cs="宋体"/>
          <w:color w:val="auto"/>
          <w:sz w:val="24"/>
          <w:szCs w:val="24"/>
          <w:highlight w:val="none"/>
        </w:rPr>
        <w:t>3.5 推荐中标候选人或直接确定中标人</w:t>
      </w:r>
      <w:bookmarkEnd w:id="168"/>
      <w:bookmarkEnd w:id="169"/>
      <w:bookmarkEnd w:id="170"/>
    </w:p>
    <w:p w14:paraId="72E4778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除投标人须知前附表授权直接确定中标人外，评标委员会在推荐中标候选人时，应遵照以下原则:</w:t>
      </w:r>
    </w:p>
    <w:p w14:paraId="4CC67EB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评标委员会对满足招标文件全部实质性要求，按投标单价由低至高推荐有排序的1-3名中标侯选人，招标人根据评标委员会提供的书面评标报告，依法确定中标人。</w:t>
      </w:r>
    </w:p>
    <w:p w14:paraId="7931674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bookmarkStart w:id="171" w:name="_Toc29388468"/>
      <w:bookmarkStart w:id="172" w:name="_Toc397928611"/>
      <w:r>
        <w:rPr>
          <w:rFonts w:hint="eastAsia" w:ascii="宋体" w:hAnsi="宋体" w:eastAsia="宋体" w:cs="宋体"/>
          <w:color w:val="auto"/>
          <w:sz w:val="24"/>
          <w:szCs w:val="24"/>
          <w:highlight w:val="none"/>
        </w:rPr>
        <w:t>3.6 提交评标报告</w:t>
      </w:r>
      <w:bookmarkEnd w:id="171"/>
      <w:bookmarkEnd w:id="172"/>
    </w:p>
    <w:p w14:paraId="006FB9E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评标委员会完成评标后，应当向招标人提交书面评标报告。评标报告应当由全体评标委员会成员签字，并于评标结束时抄送有关行政监督部门。</w:t>
      </w:r>
    </w:p>
    <w:p w14:paraId="7223455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bookmarkStart w:id="173" w:name="_Toc29388469"/>
      <w:r>
        <w:rPr>
          <w:rFonts w:hint="eastAsia" w:ascii="宋体" w:hAnsi="宋体" w:eastAsia="宋体" w:cs="宋体"/>
          <w:color w:val="auto"/>
          <w:sz w:val="24"/>
          <w:szCs w:val="24"/>
          <w:highlight w:val="none"/>
        </w:rPr>
        <w:t>4． 通用评标规则</w:t>
      </w:r>
      <w:bookmarkEnd w:id="173"/>
    </w:p>
    <w:p w14:paraId="43F40AD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bookmarkStart w:id="174" w:name="_Toc29388470"/>
      <w:r>
        <w:rPr>
          <w:rFonts w:hint="eastAsia" w:ascii="宋体" w:hAnsi="宋体" w:eastAsia="宋体" w:cs="宋体"/>
          <w:color w:val="auto"/>
          <w:sz w:val="24"/>
          <w:szCs w:val="24"/>
          <w:highlight w:val="none"/>
        </w:rPr>
        <w:t>4.1 评标程序</w:t>
      </w:r>
      <w:bookmarkEnd w:id="174"/>
    </w:p>
    <w:p w14:paraId="1233607F">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资信文件、商务文件应分别评审，评审后不得更改。</w:t>
      </w:r>
    </w:p>
    <w:p w14:paraId="77C47E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bookmarkStart w:id="175" w:name="_Toc29388472"/>
      <w:r>
        <w:rPr>
          <w:rFonts w:hint="eastAsia" w:ascii="宋体" w:hAnsi="宋体" w:eastAsia="宋体" w:cs="宋体"/>
          <w:color w:val="auto"/>
          <w:sz w:val="24"/>
          <w:szCs w:val="24"/>
          <w:highlight w:val="none"/>
        </w:rPr>
        <w:t>4.2计价文件评审规定</w:t>
      </w:r>
      <w:bookmarkEnd w:id="175"/>
    </w:p>
    <w:p w14:paraId="7423DAD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评标委员会认为投标人的投标报价有可能低于其个别成本时，应当要求投标人以书面方式作出澄清，并提供相关证明材料后再进行认定。</w:t>
      </w:r>
    </w:p>
    <w:p w14:paraId="1013D10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bookmarkStart w:id="176" w:name="_Toc29388474"/>
      <w:r>
        <w:rPr>
          <w:rFonts w:hint="eastAsia" w:ascii="宋体" w:hAnsi="宋体" w:eastAsia="宋体" w:cs="宋体"/>
          <w:color w:val="auto"/>
          <w:sz w:val="24"/>
          <w:szCs w:val="24"/>
          <w:highlight w:val="none"/>
        </w:rPr>
        <w:t>4.3争议处理</w:t>
      </w:r>
      <w:bookmarkEnd w:id="176"/>
    </w:p>
    <w:p w14:paraId="287759E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中发生重大情况或重大争议，需要进一步调查了解、协调处理的，现场监督人员报招标投标管理部门同意后可暂时休会，待有关问题得到澄清后再行复会。休会期间，所有招投标资料一律封存，所有与会人员一律不得泄露评标情况。</w:t>
      </w:r>
    </w:p>
    <w:p w14:paraId="5366FCC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bookmarkStart w:id="177" w:name="_Toc29388475"/>
      <w:r>
        <w:rPr>
          <w:rFonts w:hint="eastAsia" w:ascii="宋体" w:hAnsi="宋体" w:eastAsia="宋体" w:cs="宋体"/>
          <w:color w:val="auto"/>
          <w:sz w:val="24"/>
          <w:szCs w:val="24"/>
          <w:highlight w:val="none"/>
        </w:rPr>
        <w:t>4.4违法违纪行为</w:t>
      </w:r>
      <w:bookmarkEnd w:id="177"/>
    </w:p>
    <w:p w14:paraId="68D8584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在招投标过程中发生行贿受贿、扰乱招投标活动秩序及其他严重违法违纪行为的，一律取消有关责任人参与招投标活动的资格；影响评审结果的，应宣布评审结果无效。</w:t>
      </w:r>
    </w:p>
    <w:p w14:paraId="55F6FCA4">
      <w:pPr>
        <w:keepNext w:val="0"/>
        <w:keepLines w:val="0"/>
        <w:pageBreakBefore/>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分包三评标标准</w:t>
      </w:r>
    </w:p>
    <w:tbl>
      <w:tblPr>
        <w:tblStyle w:val="53"/>
        <w:tblW w:w="10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946"/>
        <w:gridCol w:w="8169"/>
      </w:tblGrid>
      <w:tr w14:paraId="1681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vAlign w:val="center"/>
          </w:tcPr>
          <w:p w14:paraId="5D7E735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分项</w:t>
            </w:r>
          </w:p>
        </w:tc>
        <w:tc>
          <w:tcPr>
            <w:tcW w:w="946" w:type="dxa"/>
            <w:tcBorders>
              <w:top w:val="single" w:color="auto" w:sz="4" w:space="0"/>
              <w:left w:val="single" w:color="auto" w:sz="4" w:space="0"/>
              <w:bottom w:val="single" w:color="auto" w:sz="4" w:space="0"/>
              <w:right w:val="single" w:color="auto" w:sz="4" w:space="0"/>
            </w:tcBorders>
            <w:vAlign w:val="center"/>
          </w:tcPr>
          <w:p w14:paraId="52681F94">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8169" w:type="dxa"/>
            <w:tcBorders>
              <w:top w:val="single" w:color="auto" w:sz="4" w:space="0"/>
              <w:left w:val="single" w:color="auto" w:sz="4" w:space="0"/>
              <w:bottom w:val="single" w:color="auto" w:sz="4" w:space="0"/>
              <w:right w:val="single" w:color="auto" w:sz="4" w:space="0"/>
            </w:tcBorders>
            <w:vAlign w:val="center"/>
          </w:tcPr>
          <w:p w14:paraId="2D753166">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3596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vAlign w:val="center"/>
          </w:tcPr>
          <w:p w14:paraId="6919F60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946" w:type="dxa"/>
            <w:tcBorders>
              <w:top w:val="single" w:color="auto" w:sz="4" w:space="0"/>
              <w:left w:val="single" w:color="auto" w:sz="4" w:space="0"/>
              <w:bottom w:val="single" w:color="auto" w:sz="4" w:space="0"/>
              <w:right w:val="single" w:color="auto" w:sz="4" w:space="0"/>
            </w:tcBorders>
            <w:vAlign w:val="center"/>
          </w:tcPr>
          <w:p w14:paraId="4D32A9E5">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8169" w:type="dxa"/>
            <w:tcBorders>
              <w:top w:val="single" w:color="auto" w:sz="4" w:space="0"/>
              <w:left w:val="single" w:color="auto" w:sz="4" w:space="0"/>
              <w:bottom w:val="single" w:color="auto" w:sz="4" w:space="0"/>
              <w:right w:val="single" w:color="auto" w:sz="4" w:space="0"/>
            </w:tcBorders>
            <w:vAlign w:val="center"/>
          </w:tcPr>
          <w:p w14:paraId="40BF040C">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满足招标文件要求且投标价格最低的投标报价为评标基准价，投标报价得分=（评标基准价／投标报价）×</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，计算分数时四舍五入取小数点后两位。（按四舍五入取至小数点后两位）。</w:t>
            </w:r>
          </w:p>
        </w:tc>
      </w:tr>
      <w:tr w14:paraId="2281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vAlign w:val="center"/>
          </w:tcPr>
          <w:p w14:paraId="70DFA4D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技术方案</w:t>
            </w:r>
          </w:p>
        </w:tc>
        <w:tc>
          <w:tcPr>
            <w:tcW w:w="946" w:type="dxa"/>
            <w:tcBorders>
              <w:top w:val="single" w:color="auto" w:sz="4" w:space="0"/>
              <w:left w:val="single" w:color="auto" w:sz="4" w:space="0"/>
              <w:bottom w:val="single" w:color="auto" w:sz="4" w:space="0"/>
              <w:right w:val="single" w:color="auto" w:sz="4" w:space="0"/>
            </w:tcBorders>
            <w:vAlign w:val="center"/>
          </w:tcPr>
          <w:p w14:paraId="4A7411C1">
            <w:pPr>
              <w:widowControl/>
              <w:spacing w:line="360" w:lineRule="auto"/>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54</w:t>
            </w:r>
            <w:r>
              <w:rPr>
                <w:rFonts w:hint="eastAsia" w:ascii="宋体" w:hAnsi="宋体" w:eastAsia="宋体" w:cs="宋体"/>
                <w:color w:val="auto"/>
                <w:sz w:val="24"/>
                <w:szCs w:val="24"/>
                <w:highlight w:val="none"/>
              </w:rPr>
              <w:t>分</w:t>
            </w:r>
          </w:p>
        </w:tc>
        <w:tc>
          <w:tcPr>
            <w:tcW w:w="8169" w:type="dxa"/>
            <w:tcBorders>
              <w:top w:val="single" w:color="auto" w:sz="4" w:space="0"/>
              <w:left w:val="single" w:color="auto" w:sz="4" w:space="0"/>
              <w:bottom w:val="single" w:color="auto" w:sz="4" w:space="0"/>
              <w:right w:val="single" w:color="auto" w:sz="4" w:space="0"/>
            </w:tcBorders>
            <w:vAlign w:val="center"/>
          </w:tcPr>
          <w:p w14:paraId="6D719B6B">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投标人提供</w:t>
            </w:r>
            <w:r>
              <w:rPr>
                <w:rFonts w:hint="eastAsia" w:ascii="宋体" w:hAnsi="宋体" w:eastAsia="宋体" w:cs="宋体"/>
                <w:color w:val="auto"/>
                <w:sz w:val="24"/>
                <w:szCs w:val="24"/>
                <w:highlight w:val="none"/>
              </w:rPr>
              <w:t>技术整体方案和具体实施方案</w:t>
            </w:r>
            <w:r>
              <w:rPr>
                <w:rFonts w:hint="eastAsia" w:ascii="宋体" w:hAnsi="宋体" w:cs="宋体"/>
                <w:color w:val="auto"/>
                <w:sz w:val="24"/>
                <w:szCs w:val="24"/>
                <w:highlight w:val="none"/>
                <w:lang w:val="en-US" w:eastAsia="zh-CN"/>
              </w:rPr>
              <w:t>的得10分</w:t>
            </w:r>
            <w:r>
              <w:rPr>
                <w:rFonts w:hint="eastAsia" w:ascii="宋体" w:hAnsi="宋体" w:eastAsia="宋体" w:cs="宋体"/>
                <w:color w:val="auto"/>
                <w:sz w:val="24"/>
                <w:szCs w:val="24"/>
                <w:highlight w:val="none"/>
              </w:rPr>
              <w:t>。</w:t>
            </w:r>
          </w:p>
          <w:p w14:paraId="5734E4F8">
            <w:pPr>
              <w:widowControl/>
              <w:spacing w:line="360" w:lineRule="auto"/>
              <w:jc w:val="left"/>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投标人提供</w:t>
            </w:r>
            <w:r>
              <w:rPr>
                <w:rFonts w:hint="eastAsia" w:ascii="宋体" w:hAnsi="宋体" w:eastAsia="宋体" w:cs="宋体"/>
                <w:color w:val="auto"/>
                <w:sz w:val="24"/>
                <w:szCs w:val="24"/>
                <w:highlight w:val="none"/>
              </w:rPr>
              <w:t>监测范围、重点、执行标准采用的技术方法及监测内容</w:t>
            </w:r>
            <w:r>
              <w:rPr>
                <w:rFonts w:hint="eastAsia" w:ascii="宋体" w:hAnsi="宋体" w:cs="宋体"/>
                <w:color w:val="auto"/>
                <w:sz w:val="24"/>
                <w:szCs w:val="24"/>
                <w:highlight w:val="none"/>
                <w:lang w:val="en-US" w:eastAsia="zh-CN"/>
              </w:rPr>
              <w:t>的得12分。</w:t>
            </w:r>
          </w:p>
          <w:p w14:paraId="7E079732">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投标人提供</w:t>
            </w:r>
            <w:r>
              <w:rPr>
                <w:rFonts w:hint="eastAsia" w:ascii="宋体" w:hAnsi="宋体" w:eastAsia="宋体" w:cs="宋体"/>
                <w:color w:val="auto"/>
                <w:sz w:val="24"/>
                <w:szCs w:val="24"/>
                <w:highlight w:val="none"/>
              </w:rPr>
              <w:t>实验室安全管理制度及应急措施</w:t>
            </w:r>
            <w:r>
              <w:rPr>
                <w:rFonts w:hint="eastAsia" w:ascii="宋体" w:hAnsi="宋体" w:cs="宋体"/>
                <w:color w:val="auto"/>
                <w:sz w:val="24"/>
                <w:szCs w:val="24"/>
                <w:highlight w:val="none"/>
                <w:lang w:val="en-US" w:eastAsia="zh-CN"/>
              </w:rPr>
              <w:t>的得10分</w:t>
            </w:r>
            <w:r>
              <w:rPr>
                <w:rFonts w:hint="eastAsia" w:ascii="宋体" w:hAnsi="宋体" w:eastAsia="宋体" w:cs="宋体"/>
                <w:color w:val="auto"/>
                <w:sz w:val="24"/>
                <w:szCs w:val="24"/>
                <w:highlight w:val="none"/>
              </w:rPr>
              <w:t>。</w:t>
            </w:r>
          </w:p>
          <w:p w14:paraId="1FF9BFF9">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4、投标人提供针对本项目的质量保证措施</w:t>
            </w:r>
            <w:r>
              <w:rPr>
                <w:rFonts w:hint="eastAsia" w:ascii="宋体" w:hAnsi="宋体" w:cs="宋体"/>
                <w:color w:val="auto"/>
                <w:sz w:val="24"/>
                <w:szCs w:val="24"/>
                <w:highlight w:val="none"/>
                <w:lang w:val="en-US" w:eastAsia="zh-CN"/>
              </w:rPr>
              <w:t>的得10分。</w:t>
            </w:r>
          </w:p>
          <w:p w14:paraId="3F9D6810">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5、投标人提供针对本项目</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监测设备、材料配置</w:t>
            </w:r>
            <w:r>
              <w:rPr>
                <w:rFonts w:hint="eastAsia" w:ascii="宋体" w:hAnsi="宋体" w:cs="宋体"/>
                <w:color w:val="auto"/>
                <w:sz w:val="24"/>
                <w:szCs w:val="24"/>
                <w:highlight w:val="none"/>
                <w:lang w:val="en-US" w:eastAsia="zh-CN"/>
              </w:rPr>
              <w:t>清单、</w:t>
            </w:r>
            <w:r>
              <w:rPr>
                <w:rFonts w:hint="eastAsia" w:ascii="宋体" w:hAnsi="宋体" w:eastAsia="宋体" w:cs="宋体"/>
                <w:color w:val="auto"/>
                <w:sz w:val="24"/>
                <w:szCs w:val="24"/>
                <w:highlight w:val="none"/>
              </w:rPr>
              <w:t>规格型号</w:t>
            </w:r>
            <w:r>
              <w:rPr>
                <w:rFonts w:hint="eastAsia" w:ascii="宋体" w:hAnsi="宋体" w:eastAsia="宋体" w:cs="宋体"/>
                <w:color w:val="auto"/>
                <w:sz w:val="24"/>
                <w:szCs w:val="24"/>
                <w:highlight w:val="none"/>
                <w:lang w:val="en-US" w:eastAsia="zh-CN"/>
              </w:rPr>
              <w:t>照片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品牌</w:t>
            </w:r>
            <w:r>
              <w:rPr>
                <w:rFonts w:hint="eastAsia" w:ascii="宋体" w:hAnsi="宋体" w:eastAsia="宋体" w:cs="宋体"/>
                <w:color w:val="auto"/>
                <w:sz w:val="24"/>
                <w:szCs w:val="24"/>
                <w:highlight w:val="none"/>
                <w:lang w:val="en-US" w:eastAsia="zh-CN"/>
              </w:rPr>
              <w:t>照片</w:t>
            </w:r>
            <w:r>
              <w:rPr>
                <w:rFonts w:hint="eastAsia" w:ascii="宋体" w:hAnsi="宋体" w:cs="宋体"/>
                <w:color w:val="auto"/>
                <w:sz w:val="24"/>
                <w:szCs w:val="24"/>
                <w:highlight w:val="none"/>
                <w:lang w:val="en-US" w:eastAsia="zh-CN"/>
              </w:rPr>
              <w:t>的得12分。</w:t>
            </w:r>
          </w:p>
        </w:tc>
      </w:tr>
      <w:tr w14:paraId="01E4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vAlign w:val="center"/>
          </w:tcPr>
          <w:p w14:paraId="79D69540">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w:t>
            </w:r>
            <w:r>
              <w:rPr>
                <w:rFonts w:hint="eastAsia" w:ascii="宋体" w:hAnsi="宋体" w:eastAsia="宋体" w:cs="宋体"/>
                <w:color w:val="auto"/>
                <w:sz w:val="24"/>
                <w:szCs w:val="24"/>
                <w:highlight w:val="none"/>
                <w:lang w:val="en-US" w:eastAsia="zh-CN"/>
              </w:rPr>
              <w:t>实力</w:t>
            </w:r>
          </w:p>
        </w:tc>
        <w:tc>
          <w:tcPr>
            <w:tcW w:w="946" w:type="dxa"/>
            <w:tcBorders>
              <w:top w:val="single" w:color="auto" w:sz="4" w:space="0"/>
              <w:left w:val="single" w:color="auto" w:sz="4" w:space="0"/>
              <w:bottom w:val="single" w:color="auto" w:sz="4" w:space="0"/>
              <w:right w:val="single" w:color="auto" w:sz="4" w:space="0"/>
            </w:tcBorders>
            <w:vAlign w:val="center"/>
          </w:tcPr>
          <w:p w14:paraId="3DB40732">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8169" w:type="dxa"/>
            <w:tcBorders>
              <w:top w:val="single" w:color="auto" w:sz="4" w:space="0"/>
              <w:left w:val="single" w:color="auto" w:sz="4" w:space="0"/>
              <w:bottom w:val="single" w:color="auto" w:sz="4" w:space="0"/>
              <w:right w:val="single" w:color="auto" w:sz="4" w:space="0"/>
            </w:tcBorders>
            <w:vAlign w:val="center"/>
          </w:tcPr>
          <w:p w14:paraId="78AB2D67">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1、投标人具有有效</w:t>
            </w:r>
            <w:r>
              <w:rPr>
                <w:rFonts w:hint="eastAsia" w:ascii="宋体" w:hAnsi="宋体" w:cs="宋体"/>
                <w:color w:val="auto"/>
                <w:sz w:val="24"/>
                <w:szCs w:val="24"/>
                <w:highlight w:val="none"/>
                <w:lang w:val="en-US" w:eastAsia="zh-CN"/>
              </w:rPr>
              <w:t>期内</w:t>
            </w:r>
            <w:r>
              <w:rPr>
                <w:rFonts w:hint="eastAsia" w:ascii="宋体" w:hAnsi="宋体" w:eastAsia="宋体" w:cs="宋体"/>
                <w:color w:val="auto"/>
                <w:sz w:val="24"/>
                <w:szCs w:val="24"/>
                <w:highlight w:val="none"/>
              </w:rPr>
              <w:t>的质量管理体系认证、环境管理体系认证和职业健康安全管理体系，认证证书的认证范围均包含“</w:t>
            </w:r>
            <w:r>
              <w:rPr>
                <w:rFonts w:hint="eastAsia" w:ascii="宋体" w:hAnsi="宋体" w:cs="宋体"/>
                <w:color w:val="auto"/>
                <w:sz w:val="24"/>
                <w:szCs w:val="24"/>
                <w:highlight w:val="none"/>
                <w:lang w:val="en-US" w:eastAsia="zh-CN"/>
              </w:rPr>
              <w:t>环境</w:t>
            </w:r>
            <w:r>
              <w:rPr>
                <w:rFonts w:hint="eastAsia" w:ascii="宋体" w:hAnsi="宋体" w:eastAsia="宋体" w:cs="宋体"/>
                <w:color w:val="auto"/>
                <w:sz w:val="24"/>
                <w:szCs w:val="24"/>
                <w:highlight w:val="none"/>
              </w:rPr>
              <w:t>检测服务”</w:t>
            </w:r>
            <w:r>
              <w:rPr>
                <w:rFonts w:hint="eastAsia" w:ascii="宋体" w:hAnsi="宋体" w:cs="宋体"/>
                <w:color w:val="auto"/>
                <w:sz w:val="24"/>
                <w:szCs w:val="24"/>
                <w:highlight w:val="none"/>
                <w:lang w:val="en-US" w:eastAsia="zh-CN"/>
              </w:rPr>
              <w:t>或与“环境检测”相关</w:t>
            </w:r>
            <w:r>
              <w:rPr>
                <w:rFonts w:hint="eastAsia" w:ascii="宋体" w:hAnsi="宋体" w:eastAsia="宋体" w:cs="宋体"/>
                <w:color w:val="auto"/>
                <w:sz w:val="24"/>
                <w:szCs w:val="24"/>
                <w:highlight w:val="none"/>
              </w:rPr>
              <w:t>，有一个得1分，</w:t>
            </w:r>
            <w:r>
              <w:rPr>
                <w:rFonts w:hint="eastAsia" w:ascii="宋体" w:hAnsi="宋体" w:cs="宋体"/>
                <w:color w:val="auto"/>
                <w:sz w:val="24"/>
                <w:szCs w:val="24"/>
                <w:highlight w:val="none"/>
                <w:lang w:val="en-US" w:eastAsia="zh-CN"/>
              </w:rPr>
              <w:t>提供有效期内的证书扫描件加盖投标人公章，本项最高得</w:t>
            </w:r>
            <w:r>
              <w:rPr>
                <w:rFonts w:hint="eastAsia" w:ascii="宋体" w:hAnsi="宋体" w:eastAsia="宋体" w:cs="宋体"/>
                <w:color w:val="auto"/>
                <w:sz w:val="24"/>
                <w:szCs w:val="24"/>
                <w:highlight w:val="none"/>
              </w:rPr>
              <w:t>3分。</w:t>
            </w:r>
          </w:p>
          <w:p w14:paraId="6BB8A5AE">
            <w:pPr>
              <w:widowControl/>
              <w:spacing w:line="360" w:lineRule="auto"/>
              <w:jc w:val="left"/>
              <w:textAlignment w:val="center"/>
              <w:rPr>
                <w:rFonts w:hint="eastAsia"/>
                <w:color w:val="auto"/>
                <w:highlight w:val="none"/>
                <w:lang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投标人具有自研的与本项目检测内容相关的仪器设备的</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具备一台的2分，提供有效期内的发明专利证书扫描件加盖投标人公章，本项最高得6</w:t>
            </w:r>
            <w:r>
              <w:rPr>
                <w:rFonts w:hint="eastAsia" w:ascii="宋体" w:hAnsi="宋体" w:eastAsia="宋体" w:cs="宋体"/>
                <w:color w:val="auto"/>
                <w:sz w:val="24"/>
                <w:szCs w:val="24"/>
                <w:highlight w:val="none"/>
              </w:rPr>
              <w:t>分。</w:t>
            </w:r>
          </w:p>
        </w:tc>
      </w:tr>
      <w:tr w14:paraId="1AA8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vAlign w:val="center"/>
          </w:tcPr>
          <w:p w14:paraId="3DE3362F">
            <w:pPr>
              <w:widowControl/>
              <w:spacing w:line="360" w:lineRule="auto"/>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人员配备</w:t>
            </w:r>
          </w:p>
        </w:tc>
        <w:tc>
          <w:tcPr>
            <w:tcW w:w="946" w:type="dxa"/>
            <w:tcBorders>
              <w:top w:val="single" w:color="auto" w:sz="4" w:space="0"/>
              <w:left w:val="single" w:color="auto" w:sz="4" w:space="0"/>
              <w:bottom w:val="single" w:color="auto" w:sz="4" w:space="0"/>
              <w:right w:val="single" w:color="auto" w:sz="4" w:space="0"/>
            </w:tcBorders>
            <w:vAlign w:val="center"/>
          </w:tcPr>
          <w:p w14:paraId="2856112C">
            <w:pPr>
              <w:widowControl/>
              <w:spacing w:line="360" w:lineRule="auto"/>
              <w:jc w:val="left"/>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13分</w:t>
            </w:r>
          </w:p>
        </w:tc>
        <w:tc>
          <w:tcPr>
            <w:tcW w:w="8169" w:type="dxa"/>
            <w:tcBorders>
              <w:top w:val="single" w:color="auto" w:sz="4" w:space="0"/>
              <w:left w:val="single" w:color="auto" w:sz="4" w:space="0"/>
              <w:bottom w:val="single" w:color="auto" w:sz="4" w:space="0"/>
              <w:right w:val="single" w:color="auto" w:sz="4" w:space="0"/>
            </w:tcBorders>
            <w:vAlign w:val="center"/>
          </w:tcPr>
          <w:p w14:paraId="487F14CB">
            <w:pPr>
              <w:widowControl/>
              <w:spacing w:line="360" w:lineRule="auto"/>
              <w:jc w:val="left"/>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1、拟派项目负责人获得过省生态环境厅（原环境保护厅）检测</w:t>
            </w:r>
            <w:r>
              <w:rPr>
                <w:rFonts w:hint="eastAsia" w:ascii="宋体" w:hAnsi="宋体" w:cs="宋体"/>
                <w:color w:val="auto"/>
                <w:sz w:val="24"/>
                <w:szCs w:val="24"/>
                <w:highlight w:val="none"/>
                <w:lang w:val="en-US" w:eastAsia="zh-CN"/>
              </w:rPr>
              <w:t>类</w:t>
            </w:r>
            <w:r>
              <w:rPr>
                <w:rFonts w:hint="eastAsia" w:ascii="宋体" w:hAnsi="宋体" w:cs="宋体"/>
                <w:color w:val="auto"/>
                <w:sz w:val="24"/>
                <w:szCs w:val="24"/>
                <w:highlight w:val="none"/>
                <w:lang w:eastAsia="zh-CN"/>
              </w:rPr>
              <w:t>相关荣誉的得1分；获得过生态环境部（原环境保护部）检测</w:t>
            </w:r>
            <w:r>
              <w:rPr>
                <w:rFonts w:hint="eastAsia" w:ascii="宋体" w:hAnsi="宋体" w:cs="宋体"/>
                <w:color w:val="auto"/>
                <w:sz w:val="24"/>
                <w:szCs w:val="24"/>
                <w:highlight w:val="none"/>
                <w:lang w:val="en-US" w:eastAsia="zh-CN"/>
              </w:rPr>
              <w:t>类</w:t>
            </w:r>
            <w:r>
              <w:rPr>
                <w:rFonts w:hint="eastAsia" w:ascii="宋体" w:hAnsi="宋体" w:cs="宋体"/>
                <w:color w:val="auto"/>
                <w:sz w:val="24"/>
                <w:szCs w:val="24"/>
                <w:highlight w:val="none"/>
                <w:lang w:eastAsia="zh-CN"/>
              </w:rPr>
              <w:t>相关荣誉的得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lang w:val="en-US" w:eastAsia="zh-CN"/>
              </w:rPr>
              <w:t>本项最高3分。</w:t>
            </w:r>
          </w:p>
          <w:p w14:paraId="6F1191E6">
            <w:pPr>
              <w:widowControl/>
              <w:shd w:val="clear"/>
              <w:spacing w:line="360" w:lineRule="auto"/>
              <w:jc w:val="left"/>
              <w:textAlignment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2、拟派项目负责人为</w:t>
            </w:r>
            <w:r>
              <w:rPr>
                <w:rFonts w:hint="eastAsia" w:ascii="宋体" w:hAnsi="宋体" w:cs="宋体"/>
                <w:color w:val="auto"/>
                <w:sz w:val="24"/>
                <w:szCs w:val="24"/>
                <w:highlight w:val="none"/>
                <w:lang w:val="en-US" w:eastAsia="zh-CN"/>
              </w:rPr>
              <w:t>环境监测类</w:t>
            </w:r>
            <w:r>
              <w:rPr>
                <w:rFonts w:hint="eastAsia" w:ascii="宋体" w:hAnsi="宋体" w:cs="宋体"/>
                <w:color w:val="auto"/>
                <w:sz w:val="24"/>
                <w:szCs w:val="24"/>
                <w:highlight w:val="none"/>
                <w:lang w:eastAsia="zh-CN"/>
              </w:rPr>
              <w:t>高级工程师，得2分，拟派项目负责人为</w:t>
            </w:r>
            <w:r>
              <w:rPr>
                <w:rFonts w:hint="eastAsia" w:ascii="宋体" w:hAnsi="宋体" w:cs="宋体"/>
                <w:color w:val="auto"/>
                <w:sz w:val="24"/>
                <w:szCs w:val="24"/>
                <w:highlight w:val="none"/>
                <w:lang w:val="en-US" w:eastAsia="zh-CN"/>
              </w:rPr>
              <w:t>环境监测类</w:t>
            </w:r>
            <w:r>
              <w:rPr>
                <w:rFonts w:hint="eastAsia" w:ascii="宋体" w:hAnsi="宋体" w:cs="宋体"/>
                <w:color w:val="auto"/>
                <w:sz w:val="24"/>
                <w:szCs w:val="24"/>
                <w:highlight w:val="none"/>
                <w:lang w:eastAsia="zh-CN"/>
              </w:rPr>
              <w:t>中级工程师的得1分。</w:t>
            </w:r>
            <w:r>
              <w:rPr>
                <w:rFonts w:hint="eastAsia" w:ascii="宋体" w:hAnsi="宋体" w:cs="宋体"/>
                <w:color w:val="auto"/>
                <w:sz w:val="24"/>
                <w:szCs w:val="24"/>
                <w:highlight w:val="none"/>
                <w:lang w:val="en-US" w:eastAsia="zh-CN"/>
              </w:rPr>
              <w:t>本项最高2分。</w:t>
            </w:r>
          </w:p>
          <w:p w14:paraId="0309827F">
            <w:pPr>
              <w:widowControl/>
              <w:shd w:val="clear"/>
              <w:spacing w:line="360" w:lineRule="auto"/>
              <w:jc w:val="left"/>
              <w:textAlignment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拟派</w:t>
            </w:r>
            <w:r>
              <w:rPr>
                <w:rFonts w:hint="eastAsia" w:ascii="宋体" w:hAnsi="宋体" w:cs="宋体"/>
                <w:color w:val="auto"/>
                <w:sz w:val="24"/>
                <w:szCs w:val="24"/>
                <w:highlight w:val="none"/>
                <w:lang w:eastAsia="zh-CN"/>
              </w:rPr>
              <w:t>技术人员除项目负责人外，每具有1名环保类专业</w:t>
            </w:r>
            <w:r>
              <w:rPr>
                <w:rFonts w:hint="eastAsia" w:ascii="宋体" w:hAnsi="宋体" w:cs="宋体"/>
                <w:color w:val="auto"/>
                <w:sz w:val="24"/>
                <w:szCs w:val="24"/>
                <w:highlight w:val="none"/>
                <w:lang w:val="en-US" w:eastAsia="zh-CN"/>
              </w:rPr>
              <w:t>中级及以上</w:t>
            </w:r>
            <w:r>
              <w:rPr>
                <w:rFonts w:hint="eastAsia" w:ascii="宋体" w:hAnsi="宋体" w:cs="宋体"/>
                <w:color w:val="auto"/>
                <w:sz w:val="24"/>
                <w:szCs w:val="24"/>
                <w:highlight w:val="none"/>
                <w:lang w:eastAsia="zh-CN"/>
              </w:rPr>
              <w:t>工程师职称证的得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分。</w:t>
            </w:r>
            <w:r>
              <w:rPr>
                <w:rFonts w:hint="eastAsia" w:ascii="宋体" w:hAnsi="宋体" w:cs="宋体"/>
                <w:color w:val="auto"/>
                <w:sz w:val="24"/>
                <w:szCs w:val="24"/>
                <w:highlight w:val="none"/>
                <w:lang w:val="en-US" w:eastAsia="zh-CN"/>
              </w:rPr>
              <w:t>本项最高2分。</w:t>
            </w:r>
          </w:p>
          <w:p w14:paraId="59F5C469">
            <w:pPr>
              <w:widowControl/>
              <w:spacing w:line="360" w:lineRule="auto"/>
              <w:jc w:val="left"/>
              <w:textAlignment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4、拟派项目负责人或技术负责人获得县级以上行政主管单位颁发荣誉证书的有一项的2分。本项最高得6分。</w:t>
            </w:r>
          </w:p>
          <w:p w14:paraId="2F7B12B1">
            <w:pPr>
              <w:widowControl/>
              <w:spacing w:line="360" w:lineRule="auto"/>
              <w:jc w:val="left"/>
              <w:textAlignment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以上须提供有效期内的证书扫描件加盖投标人公章，及投标截止前6个月的人员社保证明加盖投标人公章</w:t>
            </w:r>
            <w:r>
              <w:rPr>
                <w:rFonts w:hint="eastAsia" w:ascii="宋体" w:hAnsi="宋体" w:cs="宋体"/>
                <w:color w:val="auto"/>
                <w:sz w:val="24"/>
                <w:szCs w:val="24"/>
                <w:highlight w:val="none"/>
                <w:lang w:eastAsia="zh-CN"/>
              </w:rPr>
              <w:t>。）</w:t>
            </w:r>
          </w:p>
        </w:tc>
      </w:tr>
      <w:tr w14:paraId="30DE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14:paraId="60972168">
            <w:pPr>
              <w:widowControl/>
              <w:spacing w:line="360" w:lineRule="auto"/>
              <w:jc w:val="center"/>
              <w:textAlignment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服务业绩</w:t>
            </w:r>
          </w:p>
        </w:tc>
        <w:tc>
          <w:tcPr>
            <w:tcW w:w="946" w:type="dxa"/>
            <w:tcBorders>
              <w:top w:val="single" w:color="auto" w:sz="4" w:space="0"/>
              <w:left w:val="single" w:color="auto" w:sz="4" w:space="0"/>
              <w:bottom w:val="single" w:color="auto" w:sz="4" w:space="0"/>
              <w:right w:val="single" w:color="auto" w:sz="4" w:space="0"/>
            </w:tcBorders>
            <w:vAlign w:val="center"/>
          </w:tcPr>
          <w:p w14:paraId="1036FAC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169" w:type="dxa"/>
            <w:tcBorders>
              <w:top w:val="single" w:color="auto" w:sz="4" w:space="0"/>
              <w:left w:val="single" w:color="auto" w:sz="4" w:space="0"/>
              <w:bottom w:val="single" w:color="auto" w:sz="4" w:space="0"/>
              <w:right w:val="single" w:color="auto" w:sz="4" w:space="0"/>
            </w:tcBorders>
            <w:vAlign w:val="center"/>
          </w:tcPr>
          <w:p w14:paraId="375048A5">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年1月1日（含）以来（以合同签订日期为准）承接过垃圾填埋场、中转站等类似场所环境监测业绩的每提供一个得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分，本项最高得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分。（需提供合同</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加盖投标人公章）。</w:t>
            </w:r>
          </w:p>
        </w:tc>
      </w:tr>
      <w:tr w14:paraId="07A31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356" w:type="dxa"/>
            <w:tcBorders>
              <w:top w:val="single" w:color="auto" w:sz="4" w:space="0"/>
              <w:left w:val="single" w:color="auto" w:sz="4" w:space="0"/>
              <w:bottom w:val="single" w:color="auto" w:sz="4" w:space="0"/>
              <w:right w:val="single" w:color="auto" w:sz="4" w:space="0"/>
            </w:tcBorders>
            <w:vAlign w:val="center"/>
          </w:tcPr>
          <w:p w14:paraId="1D756CC7">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诚信投标</w:t>
            </w:r>
          </w:p>
        </w:tc>
        <w:tc>
          <w:tcPr>
            <w:tcW w:w="946" w:type="dxa"/>
            <w:tcBorders>
              <w:top w:val="single" w:color="auto" w:sz="4" w:space="0"/>
              <w:left w:val="single" w:color="auto" w:sz="4" w:space="0"/>
              <w:bottom w:val="single" w:color="auto" w:sz="4" w:space="0"/>
              <w:right w:val="single" w:color="auto" w:sz="4" w:space="0"/>
            </w:tcBorders>
            <w:vAlign w:val="center"/>
          </w:tcPr>
          <w:p w14:paraId="517416EB">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8169" w:type="dxa"/>
            <w:tcBorders>
              <w:top w:val="single" w:color="auto" w:sz="4" w:space="0"/>
              <w:left w:val="single" w:color="auto" w:sz="4" w:space="0"/>
              <w:bottom w:val="single" w:color="auto" w:sz="4" w:space="0"/>
              <w:right w:val="single" w:color="auto" w:sz="4" w:space="0"/>
            </w:tcBorders>
            <w:vAlign w:val="center"/>
          </w:tcPr>
          <w:p w14:paraId="365B1905">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投标人提交签署并盖章《盐城市政府采购事前信用承诺书》原件扫描上传的得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分；没有提供的不得分。</w:t>
            </w:r>
          </w:p>
        </w:tc>
      </w:tr>
    </w:tbl>
    <w:p w14:paraId="2B4B190F">
      <w:pPr>
        <w:rPr>
          <w:rFonts w:ascii="宋体" w:hAnsi="宋体" w:cs="宋体"/>
          <w:color w:val="auto"/>
          <w:highlight w:val="none"/>
        </w:rPr>
      </w:pPr>
    </w:p>
    <w:p w14:paraId="17DD7337">
      <w:pPr>
        <w:rPr>
          <w:color w:val="auto"/>
          <w:highlight w:val="none"/>
        </w:rPr>
      </w:pPr>
    </w:p>
    <w:p w14:paraId="66473AE4">
      <w:pPr>
        <w:pStyle w:val="3"/>
        <w:spacing w:before="0" w:after="0" w:line="360" w:lineRule="auto"/>
        <w:rPr>
          <w:rFonts w:ascii="宋体" w:hAnsi="宋体" w:cs="宋体"/>
          <w:color w:val="auto"/>
          <w:highlight w:val="none"/>
        </w:rPr>
      </w:pPr>
    </w:p>
    <w:p w14:paraId="394F0E19">
      <w:pPr>
        <w:pStyle w:val="3"/>
        <w:keepNext w:val="0"/>
        <w:keepLines/>
        <w:pageBreakBefore/>
        <w:widowControl w:val="0"/>
        <w:kinsoku/>
        <w:wordWrap/>
        <w:overflowPunct/>
        <w:topLinePunct w:val="0"/>
        <w:autoSpaceDE/>
        <w:autoSpaceDN/>
        <w:bidi w:val="0"/>
        <w:adjustRightInd/>
        <w:snapToGrid/>
        <w:spacing w:before="0" w:after="0" w:line="360" w:lineRule="auto"/>
        <w:textAlignment w:val="auto"/>
        <w:rPr>
          <w:rFonts w:ascii="宋体" w:hAnsi="宋体" w:cs="宋体"/>
          <w:color w:val="auto"/>
          <w:highlight w:val="none"/>
        </w:rPr>
      </w:pPr>
      <w:r>
        <w:rPr>
          <w:rFonts w:hint="eastAsia" w:ascii="宋体" w:hAnsi="宋体" w:cs="宋体"/>
          <w:color w:val="auto"/>
          <w:highlight w:val="none"/>
        </w:rPr>
        <w:t xml:space="preserve">第六章  </w:t>
      </w:r>
      <w:bookmarkEnd w:id="153"/>
      <w:bookmarkEnd w:id="154"/>
      <w:bookmarkEnd w:id="155"/>
      <w:r>
        <w:rPr>
          <w:rFonts w:hint="eastAsia" w:ascii="宋体" w:hAnsi="宋体" w:cs="宋体"/>
          <w:color w:val="auto"/>
          <w:highlight w:val="none"/>
        </w:rPr>
        <w:t xml:space="preserve"> 投标文件格式</w:t>
      </w:r>
    </w:p>
    <w:p w14:paraId="22F5F83F">
      <w:pPr>
        <w:pStyle w:val="48"/>
        <w:spacing w:beforeAutospacing="0" w:afterAutospacing="0"/>
        <w:jc w:val="center"/>
        <w:rPr>
          <w:b/>
          <w:color w:val="auto"/>
          <w:sz w:val="72"/>
          <w:szCs w:val="72"/>
          <w:highlight w:val="none"/>
        </w:rPr>
      </w:pPr>
      <w:bookmarkStart w:id="178" w:name="_Toc445475396"/>
      <w:bookmarkStart w:id="179" w:name="_Toc397928631"/>
      <w:bookmarkStart w:id="180" w:name="_Toc508216955"/>
    </w:p>
    <w:p w14:paraId="1AB20A9C">
      <w:pPr>
        <w:pStyle w:val="48"/>
        <w:spacing w:beforeAutospacing="0" w:afterAutospacing="0"/>
        <w:jc w:val="center"/>
        <w:rPr>
          <w:color w:val="auto"/>
          <w:highlight w:val="none"/>
        </w:rPr>
      </w:pPr>
      <w:r>
        <w:rPr>
          <w:rFonts w:hint="eastAsia"/>
          <w:b/>
          <w:color w:val="auto"/>
          <w:sz w:val="72"/>
          <w:szCs w:val="72"/>
          <w:highlight w:val="none"/>
        </w:rPr>
        <w:t>投  标  文  件</w:t>
      </w:r>
    </w:p>
    <w:p w14:paraId="62D8EC92">
      <w:pPr>
        <w:pStyle w:val="48"/>
        <w:spacing w:beforeAutospacing="0" w:afterAutospacing="0"/>
        <w:jc w:val="center"/>
        <w:rPr>
          <w:color w:val="auto"/>
          <w:highlight w:val="none"/>
        </w:rPr>
      </w:pPr>
      <w:r>
        <w:rPr>
          <w:rFonts w:hint="eastAsia"/>
          <w:color w:val="auto"/>
          <w:highlight w:val="none"/>
        </w:rPr>
        <w:t> </w:t>
      </w:r>
    </w:p>
    <w:p w14:paraId="6000A1E0">
      <w:pPr>
        <w:pStyle w:val="48"/>
        <w:spacing w:beforeAutospacing="0" w:afterAutospacing="0"/>
        <w:jc w:val="center"/>
        <w:rPr>
          <w:color w:val="auto"/>
          <w:highlight w:val="none"/>
        </w:rPr>
      </w:pPr>
      <w:r>
        <w:rPr>
          <w:rFonts w:hint="eastAsia"/>
          <w:color w:val="auto"/>
          <w:highlight w:val="none"/>
        </w:rPr>
        <w:t> </w:t>
      </w:r>
    </w:p>
    <w:p w14:paraId="7F3E1F0A">
      <w:pPr>
        <w:pStyle w:val="48"/>
        <w:spacing w:beforeAutospacing="0" w:afterAutospacing="0"/>
        <w:jc w:val="center"/>
        <w:rPr>
          <w:color w:val="auto"/>
          <w:highlight w:val="none"/>
        </w:rPr>
      </w:pPr>
      <w:r>
        <w:rPr>
          <w:rFonts w:hint="eastAsia"/>
          <w:color w:val="auto"/>
          <w:highlight w:val="none"/>
        </w:rPr>
        <w:t> </w:t>
      </w:r>
    </w:p>
    <w:p w14:paraId="12A9E212">
      <w:pPr>
        <w:pStyle w:val="48"/>
        <w:spacing w:beforeAutospacing="0" w:afterAutospacing="0"/>
        <w:jc w:val="center"/>
        <w:rPr>
          <w:color w:val="auto"/>
          <w:highlight w:val="none"/>
        </w:rPr>
      </w:pPr>
      <w:r>
        <w:rPr>
          <w:rFonts w:hint="eastAsia"/>
          <w:color w:val="auto"/>
          <w:highlight w:val="none"/>
        </w:rPr>
        <w:t> </w:t>
      </w:r>
    </w:p>
    <w:p w14:paraId="4731CB3E">
      <w:pPr>
        <w:pStyle w:val="48"/>
        <w:spacing w:beforeAutospacing="0" w:afterAutospacing="0"/>
        <w:jc w:val="center"/>
        <w:rPr>
          <w:color w:val="auto"/>
          <w:highlight w:val="none"/>
        </w:rPr>
      </w:pPr>
      <w:r>
        <w:rPr>
          <w:rFonts w:hint="eastAsia"/>
          <w:color w:val="auto"/>
          <w:highlight w:val="none"/>
        </w:rPr>
        <w:t> </w:t>
      </w:r>
    </w:p>
    <w:p w14:paraId="62312BC0">
      <w:pPr>
        <w:pStyle w:val="48"/>
        <w:widowControl w:val="0"/>
        <w:spacing w:beforeAutospacing="0" w:afterAutospacing="0" w:line="1000" w:lineRule="exact"/>
        <w:ind w:firstLine="723"/>
        <w:jc w:val="both"/>
        <w:rPr>
          <w:color w:val="auto"/>
          <w:highlight w:val="none"/>
        </w:rPr>
      </w:pPr>
      <w:r>
        <w:rPr>
          <w:rFonts w:hint="eastAsia"/>
          <w:b/>
          <w:color w:val="auto"/>
          <w:sz w:val="36"/>
          <w:szCs w:val="36"/>
          <w:highlight w:val="none"/>
        </w:rPr>
        <w:t>项目 名 称：</w:t>
      </w:r>
      <w:r>
        <w:rPr>
          <w:rFonts w:hint="eastAsia"/>
          <w:b/>
          <w:color w:val="auto"/>
          <w:sz w:val="36"/>
          <w:szCs w:val="36"/>
          <w:highlight w:val="none"/>
          <w:u w:val="single"/>
        </w:rPr>
        <w:t xml:space="preserve">                   </w:t>
      </w:r>
    </w:p>
    <w:p w14:paraId="06861B47">
      <w:pPr>
        <w:pStyle w:val="48"/>
        <w:widowControl w:val="0"/>
        <w:spacing w:beforeAutospacing="0" w:afterAutospacing="0" w:line="1000" w:lineRule="exact"/>
        <w:ind w:firstLine="723"/>
        <w:jc w:val="both"/>
        <w:rPr>
          <w:color w:val="auto"/>
          <w:highlight w:val="none"/>
        </w:rPr>
      </w:pPr>
      <w:r>
        <w:rPr>
          <w:rFonts w:hint="eastAsia"/>
          <w:b/>
          <w:color w:val="auto"/>
          <w:sz w:val="36"/>
          <w:szCs w:val="36"/>
          <w:highlight w:val="none"/>
        </w:rPr>
        <w:t>项目 编 号：</w:t>
      </w:r>
      <w:r>
        <w:rPr>
          <w:rFonts w:hint="eastAsia"/>
          <w:b/>
          <w:color w:val="auto"/>
          <w:sz w:val="36"/>
          <w:szCs w:val="36"/>
          <w:highlight w:val="none"/>
          <w:u w:val="single"/>
        </w:rPr>
        <w:t xml:space="preserve">                    </w:t>
      </w:r>
    </w:p>
    <w:p w14:paraId="5C9A13B8">
      <w:pPr>
        <w:pStyle w:val="48"/>
        <w:widowControl w:val="0"/>
        <w:spacing w:beforeAutospacing="0" w:afterAutospacing="0" w:line="1000" w:lineRule="exact"/>
        <w:ind w:firstLine="723"/>
        <w:jc w:val="both"/>
        <w:rPr>
          <w:color w:val="auto"/>
          <w:highlight w:val="none"/>
        </w:rPr>
      </w:pPr>
      <w:r>
        <w:rPr>
          <w:rFonts w:hint="eastAsia"/>
          <w:b/>
          <w:color w:val="auto"/>
          <w:sz w:val="36"/>
          <w:szCs w:val="36"/>
          <w:highlight w:val="none"/>
        </w:rPr>
        <w:t>投标人名称 ：</w:t>
      </w:r>
      <w:r>
        <w:rPr>
          <w:rFonts w:hint="eastAsia"/>
          <w:b/>
          <w:color w:val="auto"/>
          <w:sz w:val="36"/>
          <w:szCs w:val="36"/>
          <w:highlight w:val="none"/>
          <w:u w:val="single"/>
        </w:rPr>
        <w:t xml:space="preserve">（加盖CA电子公章）        </w:t>
      </w:r>
    </w:p>
    <w:p w14:paraId="69C60679">
      <w:pPr>
        <w:pStyle w:val="48"/>
        <w:widowControl w:val="0"/>
        <w:spacing w:beforeAutospacing="0" w:afterAutospacing="0" w:line="1000" w:lineRule="exact"/>
        <w:ind w:firstLine="723"/>
        <w:jc w:val="both"/>
        <w:rPr>
          <w:color w:val="auto"/>
          <w:highlight w:val="none"/>
        </w:rPr>
      </w:pPr>
      <w:r>
        <w:rPr>
          <w:rFonts w:hint="eastAsia"/>
          <w:b/>
          <w:color w:val="auto"/>
          <w:sz w:val="36"/>
          <w:szCs w:val="36"/>
          <w:highlight w:val="none"/>
        </w:rPr>
        <w:t>日   期 ：</w:t>
      </w:r>
      <w:r>
        <w:rPr>
          <w:rFonts w:hint="eastAsia"/>
          <w:b/>
          <w:color w:val="auto"/>
          <w:sz w:val="36"/>
          <w:szCs w:val="36"/>
          <w:highlight w:val="none"/>
          <w:u w:val="single"/>
        </w:rPr>
        <w:t>                     </w:t>
      </w:r>
    </w:p>
    <w:p w14:paraId="2C6FA7A2">
      <w:pPr>
        <w:pStyle w:val="48"/>
        <w:spacing w:beforeAutospacing="0" w:afterAutospacing="0" w:line="0" w:lineRule="atLeast"/>
        <w:jc w:val="center"/>
        <w:rPr>
          <w:color w:val="auto"/>
          <w:highlight w:val="none"/>
        </w:rPr>
      </w:pPr>
      <w:r>
        <w:rPr>
          <w:rFonts w:hint="eastAsia"/>
          <w:color w:val="auto"/>
          <w:highlight w:val="none"/>
        </w:rPr>
        <w:t> </w:t>
      </w:r>
    </w:p>
    <w:p w14:paraId="52F7DE03">
      <w:pPr>
        <w:pStyle w:val="48"/>
        <w:spacing w:beforeAutospacing="0" w:afterAutospacing="0" w:line="0" w:lineRule="atLeast"/>
        <w:jc w:val="both"/>
        <w:rPr>
          <w:color w:val="auto"/>
          <w:highlight w:val="none"/>
        </w:rPr>
      </w:pPr>
      <w:r>
        <w:rPr>
          <w:rFonts w:hint="eastAsia"/>
          <w:color w:val="auto"/>
          <w:highlight w:val="none"/>
        </w:rPr>
        <w:t> </w:t>
      </w:r>
    </w:p>
    <w:p w14:paraId="56762C82">
      <w:pPr>
        <w:pStyle w:val="48"/>
        <w:spacing w:beforeAutospacing="0" w:afterAutospacing="0" w:line="0" w:lineRule="atLeast"/>
        <w:jc w:val="center"/>
        <w:rPr>
          <w:b/>
          <w:color w:val="auto"/>
          <w:sz w:val="36"/>
          <w:szCs w:val="36"/>
          <w:highlight w:val="none"/>
          <w:u w:val="single"/>
        </w:rPr>
      </w:pPr>
    </w:p>
    <w:p w14:paraId="793006E9">
      <w:pPr>
        <w:pStyle w:val="48"/>
        <w:spacing w:beforeAutospacing="0" w:afterAutospacing="0" w:line="0" w:lineRule="atLeast"/>
        <w:jc w:val="center"/>
        <w:rPr>
          <w:b/>
          <w:color w:val="auto"/>
          <w:sz w:val="36"/>
          <w:szCs w:val="36"/>
          <w:highlight w:val="none"/>
          <w:u w:val="single"/>
        </w:rPr>
      </w:pPr>
    </w:p>
    <w:p w14:paraId="7BF6E9F2">
      <w:pPr>
        <w:pStyle w:val="48"/>
        <w:spacing w:beforeAutospacing="0" w:afterAutospacing="0" w:line="0" w:lineRule="atLeast"/>
        <w:jc w:val="center"/>
        <w:rPr>
          <w:b/>
          <w:color w:val="auto"/>
          <w:sz w:val="36"/>
          <w:szCs w:val="36"/>
          <w:highlight w:val="none"/>
          <w:u w:val="single"/>
        </w:rPr>
      </w:pPr>
    </w:p>
    <w:p w14:paraId="79E80FA8">
      <w:pPr>
        <w:pStyle w:val="48"/>
        <w:spacing w:beforeAutospacing="0" w:afterAutospacing="0" w:line="0" w:lineRule="atLeast"/>
        <w:jc w:val="center"/>
        <w:rPr>
          <w:b/>
          <w:color w:val="auto"/>
          <w:sz w:val="36"/>
          <w:szCs w:val="36"/>
          <w:highlight w:val="none"/>
          <w:u w:val="single"/>
        </w:rPr>
      </w:pPr>
    </w:p>
    <w:p w14:paraId="432F0CA3">
      <w:pPr>
        <w:pStyle w:val="48"/>
        <w:spacing w:beforeAutospacing="0" w:afterAutospacing="0" w:line="0" w:lineRule="atLeast"/>
        <w:jc w:val="center"/>
        <w:rPr>
          <w:b/>
          <w:color w:val="auto"/>
          <w:sz w:val="36"/>
          <w:szCs w:val="36"/>
          <w:highlight w:val="none"/>
          <w:u w:val="single"/>
        </w:rPr>
      </w:pPr>
    </w:p>
    <w:p w14:paraId="242BB777">
      <w:pPr>
        <w:pStyle w:val="48"/>
        <w:spacing w:beforeAutospacing="0" w:afterAutospacing="0" w:line="0" w:lineRule="atLeast"/>
        <w:jc w:val="both"/>
        <w:rPr>
          <w:b/>
          <w:color w:val="auto"/>
          <w:sz w:val="36"/>
          <w:szCs w:val="36"/>
          <w:highlight w:val="none"/>
          <w:u w:val="single"/>
        </w:rPr>
      </w:pPr>
    </w:p>
    <w:p w14:paraId="2EE78B77">
      <w:pPr>
        <w:pStyle w:val="48"/>
        <w:spacing w:beforeAutospacing="0" w:afterAutospacing="0" w:line="0" w:lineRule="atLeast"/>
        <w:jc w:val="center"/>
        <w:rPr>
          <w:color w:val="auto"/>
          <w:highlight w:val="none"/>
        </w:rPr>
      </w:pPr>
      <w:r>
        <w:rPr>
          <w:rFonts w:hint="eastAsia"/>
          <w:b/>
          <w:color w:val="auto"/>
          <w:sz w:val="32"/>
          <w:szCs w:val="32"/>
          <w:highlight w:val="none"/>
        </w:rPr>
        <w:t>投标文件目录</w:t>
      </w:r>
    </w:p>
    <w:p w14:paraId="5A9A74B9">
      <w:pPr>
        <w:pStyle w:val="48"/>
        <w:spacing w:before="0" w:beforeAutospacing="0" w:after="0" w:afterAutospacing="0" w:line="440" w:lineRule="exact"/>
        <w:jc w:val="both"/>
        <w:rPr>
          <w:iCs/>
          <w:color w:val="auto"/>
          <w:highlight w:val="none"/>
        </w:rPr>
      </w:pPr>
      <w:r>
        <w:rPr>
          <w:rFonts w:hint="eastAsia"/>
          <w:iCs/>
          <w:color w:val="auto"/>
          <w:highlight w:val="none"/>
        </w:rPr>
        <w:t>一、法人或者其他组织的营业执照等证明文件，自然人的身份证明</w:t>
      </w:r>
    </w:p>
    <w:p w14:paraId="7747B26E">
      <w:pPr>
        <w:tabs>
          <w:tab w:val="left" w:pos="1331"/>
        </w:tabs>
        <w:spacing w:line="440" w:lineRule="exact"/>
        <w:jc w:val="left"/>
        <w:rPr>
          <w:rFonts w:ascii="宋体" w:hAnsi="宋体" w:cs="宋体"/>
          <w:iCs/>
          <w:color w:val="auto"/>
          <w:sz w:val="24"/>
          <w:highlight w:val="none"/>
        </w:rPr>
      </w:pPr>
      <w:r>
        <w:rPr>
          <w:rFonts w:hint="eastAsia" w:ascii="宋体" w:hAnsi="宋体" w:cs="宋体"/>
          <w:iCs/>
          <w:color w:val="auto"/>
          <w:sz w:val="24"/>
          <w:highlight w:val="none"/>
        </w:rPr>
        <w:t>二、上一年度的财务状况报表（至少提供资产负债表、利润表、现金流量表，投标人成立不满一年无需提供）</w:t>
      </w:r>
    </w:p>
    <w:p w14:paraId="6880BDBF">
      <w:pPr>
        <w:pStyle w:val="48"/>
        <w:spacing w:before="0" w:beforeAutospacing="0" w:after="0" w:afterAutospacing="0" w:line="440" w:lineRule="exact"/>
        <w:jc w:val="both"/>
        <w:rPr>
          <w:iCs/>
          <w:color w:val="auto"/>
          <w:highlight w:val="none"/>
        </w:rPr>
      </w:pPr>
      <w:r>
        <w:rPr>
          <w:rFonts w:hint="eastAsia"/>
          <w:iCs/>
          <w:color w:val="auto"/>
          <w:highlight w:val="none"/>
        </w:rPr>
        <w:t>三、具备履行合同所必需的设备和专业技术能力的书面声明</w:t>
      </w:r>
    </w:p>
    <w:p w14:paraId="50070715">
      <w:pPr>
        <w:pStyle w:val="48"/>
        <w:spacing w:before="0" w:beforeAutospacing="0" w:after="0" w:afterAutospacing="0" w:line="440" w:lineRule="exact"/>
        <w:jc w:val="both"/>
        <w:rPr>
          <w:iCs/>
          <w:color w:val="auto"/>
          <w:highlight w:val="none"/>
        </w:rPr>
      </w:pPr>
      <w:r>
        <w:rPr>
          <w:rFonts w:hint="eastAsia"/>
          <w:iCs/>
          <w:color w:val="auto"/>
          <w:highlight w:val="none"/>
        </w:rPr>
        <w:t>四、依法缴纳税收和社会保障资金的相关材料（提供提交投标文件截止时间前一年内至少一个月依法缴纳税收及缴纳社会保障资金的证明材料。投标人依法享受缓缴、免缴税收、社会保障资金的提供证明材料）</w:t>
      </w:r>
    </w:p>
    <w:p w14:paraId="44B171DF">
      <w:pPr>
        <w:pStyle w:val="48"/>
        <w:spacing w:before="0" w:beforeAutospacing="0" w:after="0" w:afterAutospacing="0" w:line="440" w:lineRule="exact"/>
        <w:jc w:val="both"/>
        <w:rPr>
          <w:iCs/>
          <w:color w:val="auto"/>
          <w:highlight w:val="none"/>
        </w:rPr>
      </w:pPr>
      <w:r>
        <w:rPr>
          <w:rFonts w:hint="eastAsia"/>
          <w:iCs/>
          <w:color w:val="auto"/>
          <w:highlight w:val="none"/>
        </w:rPr>
        <w:t>五、参加政府采购活动前 3 年内在经营活动中没有重大违法记录的书面声明</w:t>
      </w:r>
    </w:p>
    <w:p w14:paraId="3F3ED5EB">
      <w:pPr>
        <w:pStyle w:val="48"/>
        <w:spacing w:before="0" w:beforeAutospacing="0" w:after="0" w:afterAutospacing="0" w:line="440" w:lineRule="exact"/>
        <w:jc w:val="both"/>
        <w:rPr>
          <w:iCs/>
          <w:color w:val="auto"/>
          <w:highlight w:val="none"/>
        </w:rPr>
      </w:pPr>
      <w:r>
        <w:rPr>
          <w:rFonts w:hint="eastAsia"/>
          <w:iCs/>
          <w:color w:val="auto"/>
          <w:highlight w:val="none"/>
        </w:rPr>
        <w:t>六、特定资格要求的证明文件（如果本项目设置特定资格要求，则需要提供）</w:t>
      </w:r>
    </w:p>
    <w:p w14:paraId="13D9D4FA">
      <w:pPr>
        <w:pStyle w:val="48"/>
        <w:spacing w:before="0" w:beforeAutospacing="0" w:after="0" w:afterAutospacing="0" w:line="440" w:lineRule="exact"/>
        <w:jc w:val="both"/>
        <w:rPr>
          <w:iCs/>
          <w:color w:val="auto"/>
          <w:highlight w:val="none"/>
        </w:rPr>
      </w:pPr>
      <w:r>
        <w:rPr>
          <w:rFonts w:hint="eastAsia"/>
          <w:iCs/>
          <w:color w:val="auto"/>
          <w:highlight w:val="none"/>
        </w:rPr>
        <w:t>七、法人授权书</w:t>
      </w:r>
    </w:p>
    <w:p w14:paraId="3D670C5F">
      <w:pPr>
        <w:pStyle w:val="48"/>
        <w:spacing w:before="0" w:beforeAutospacing="0" w:after="0" w:afterAutospacing="0" w:line="440" w:lineRule="exact"/>
        <w:jc w:val="both"/>
        <w:rPr>
          <w:iCs/>
          <w:color w:val="auto"/>
          <w:highlight w:val="none"/>
        </w:rPr>
      </w:pPr>
      <w:r>
        <w:rPr>
          <w:rFonts w:hint="eastAsia"/>
          <w:iCs/>
          <w:color w:val="auto"/>
          <w:highlight w:val="none"/>
        </w:rPr>
        <w:t>八、投标函</w:t>
      </w:r>
    </w:p>
    <w:p w14:paraId="63DAC804">
      <w:pPr>
        <w:pStyle w:val="48"/>
        <w:spacing w:before="0" w:beforeAutospacing="0" w:after="0" w:afterAutospacing="0" w:line="440" w:lineRule="exact"/>
        <w:jc w:val="both"/>
        <w:rPr>
          <w:color w:val="auto"/>
          <w:highlight w:val="none"/>
        </w:rPr>
      </w:pPr>
      <w:r>
        <w:rPr>
          <w:rFonts w:hint="eastAsia"/>
          <w:color w:val="auto"/>
          <w:highlight w:val="none"/>
        </w:rPr>
        <w:t>九、小微企业声明函（如有）</w:t>
      </w:r>
    </w:p>
    <w:p w14:paraId="6394D59D">
      <w:pPr>
        <w:pStyle w:val="48"/>
        <w:spacing w:before="0" w:beforeAutospacing="0" w:after="0" w:afterAutospacing="0" w:line="440" w:lineRule="exact"/>
        <w:jc w:val="both"/>
        <w:rPr>
          <w:color w:val="auto"/>
          <w:highlight w:val="none"/>
        </w:rPr>
      </w:pPr>
      <w:r>
        <w:rPr>
          <w:rFonts w:hint="eastAsia"/>
          <w:color w:val="auto"/>
          <w:highlight w:val="none"/>
        </w:rPr>
        <w:t>十、残疾人福利性单位声明函（如有）</w:t>
      </w:r>
    </w:p>
    <w:p w14:paraId="749C84C6">
      <w:pPr>
        <w:pStyle w:val="48"/>
        <w:spacing w:before="0" w:beforeAutospacing="0" w:after="0" w:afterAutospacing="0" w:line="440" w:lineRule="exact"/>
        <w:jc w:val="both"/>
        <w:rPr>
          <w:color w:val="auto"/>
          <w:highlight w:val="none"/>
        </w:rPr>
      </w:pPr>
      <w:r>
        <w:rPr>
          <w:rFonts w:hint="eastAsia"/>
          <w:color w:val="auto"/>
          <w:highlight w:val="none"/>
        </w:rPr>
        <w:t>十一、联合体协议（如有）</w:t>
      </w:r>
    </w:p>
    <w:p w14:paraId="461C8309">
      <w:pPr>
        <w:pStyle w:val="48"/>
        <w:spacing w:before="0" w:beforeAutospacing="0" w:after="0" w:afterAutospacing="0" w:line="440" w:lineRule="exact"/>
        <w:jc w:val="both"/>
        <w:rPr>
          <w:color w:val="auto"/>
          <w:highlight w:val="none"/>
        </w:rPr>
      </w:pPr>
      <w:r>
        <w:rPr>
          <w:rFonts w:hint="eastAsia"/>
          <w:color w:val="auto"/>
          <w:highlight w:val="none"/>
        </w:rPr>
        <w:t>十二、投标分项报价表</w:t>
      </w:r>
    </w:p>
    <w:p w14:paraId="1004642F">
      <w:pPr>
        <w:pStyle w:val="48"/>
        <w:spacing w:before="0" w:beforeAutospacing="0" w:after="0" w:afterAutospacing="0" w:line="440" w:lineRule="exact"/>
        <w:jc w:val="both"/>
        <w:rPr>
          <w:color w:val="auto"/>
          <w:highlight w:val="none"/>
        </w:rPr>
      </w:pPr>
      <w:r>
        <w:rPr>
          <w:rFonts w:hint="eastAsia"/>
          <w:color w:val="auto"/>
          <w:highlight w:val="none"/>
        </w:rPr>
        <w:t>十三、技术要求响应及偏离表</w:t>
      </w:r>
    </w:p>
    <w:p w14:paraId="7433EED0">
      <w:pPr>
        <w:pStyle w:val="48"/>
        <w:spacing w:before="0" w:beforeAutospacing="0" w:after="0" w:afterAutospacing="0" w:line="440" w:lineRule="exact"/>
        <w:jc w:val="both"/>
        <w:rPr>
          <w:color w:val="auto"/>
          <w:highlight w:val="none"/>
        </w:rPr>
      </w:pPr>
      <w:r>
        <w:rPr>
          <w:rFonts w:hint="eastAsia"/>
          <w:color w:val="auto"/>
          <w:highlight w:val="none"/>
        </w:rPr>
        <w:t>十四、商务要求响应及偏离表</w:t>
      </w:r>
    </w:p>
    <w:p w14:paraId="36D503BC">
      <w:pPr>
        <w:pStyle w:val="48"/>
        <w:spacing w:before="0" w:beforeAutospacing="0" w:after="0" w:afterAutospacing="0" w:line="440" w:lineRule="exact"/>
        <w:jc w:val="both"/>
        <w:rPr>
          <w:i/>
          <w:color w:val="auto"/>
          <w:highlight w:val="none"/>
          <w:u w:val="single"/>
        </w:rPr>
      </w:pPr>
      <w:r>
        <w:rPr>
          <w:rFonts w:hint="eastAsia"/>
          <w:iCs/>
          <w:color w:val="auto"/>
          <w:highlight w:val="none"/>
        </w:rPr>
        <w:t>十五、开标一览表</w:t>
      </w:r>
    </w:p>
    <w:p w14:paraId="45F6A322">
      <w:pPr>
        <w:widowControl/>
        <w:spacing w:line="440" w:lineRule="exact"/>
        <w:rPr>
          <w:rFonts w:ascii="宋体" w:hAnsi="宋体" w:cs="宋体"/>
          <w:color w:val="auto"/>
          <w:sz w:val="24"/>
          <w:highlight w:val="none"/>
        </w:rPr>
      </w:pPr>
      <w:r>
        <w:rPr>
          <w:rFonts w:hint="eastAsia" w:ascii="宋体" w:hAnsi="宋体" w:cs="宋体"/>
          <w:color w:val="auto"/>
          <w:sz w:val="24"/>
          <w:highlight w:val="none"/>
        </w:rPr>
        <w:t>十六、依据评标办法用于评分的材料</w:t>
      </w:r>
    </w:p>
    <w:p w14:paraId="58AB86E6">
      <w:pPr>
        <w:pStyle w:val="48"/>
        <w:spacing w:before="0" w:beforeAutospacing="0" w:after="0" w:afterAutospacing="0" w:line="440" w:lineRule="exact"/>
        <w:jc w:val="both"/>
        <w:rPr>
          <w:color w:val="auto"/>
          <w:highlight w:val="none"/>
        </w:rPr>
      </w:pPr>
      <w:r>
        <w:rPr>
          <w:rFonts w:hint="eastAsia"/>
          <w:color w:val="auto"/>
          <w:highlight w:val="none"/>
        </w:rPr>
        <w:t>十七、盐城市政府采购事前信用承诺书</w:t>
      </w:r>
    </w:p>
    <w:p w14:paraId="2DE1FC10">
      <w:pPr>
        <w:pStyle w:val="48"/>
        <w:spacing w:beforeAutospacing="0" w:afterAutospacing="0" w:line="0" w:lineRule="atLeast"/>
        <w:jc w:val="both"/>
        <w:rPr>
          <w:color w:val="auto"/>
          <w:highlight w:val="none"/>
        </w:rPr>
      </w:pPr>
    </w:p>
    <w:p w14:paraId="1A40B151">
      <w:pPr>
        <w:pStyle w:val="48"/>
        <w:spacing w:beforeAutospacing="0" w:afterAutospacing="0" w:line="0" w:lineRule="atLeast"/>
        <w:jc w:val="both"/>
        <w:rPr>
          <w:color w:val="auto"/>
          <w:highlight w:val="none"/>
        </w:rPr>
      </w:pPr>
    </w:p>
    <w:p w14:paraId="448BBA72">
      <w:pPr>
        <w:pStyle w:val="48"/>
        <w:spacing w:beforeAutospacing="0" w:afterAutospacing="0" w:line="0" w:lineRule="atLeast"/>
        <w:jc w:val="both"/>
        <w:rPr>
          <w:color w:val="auto"/>
          <w:highlight w:val="none"/>
        </w:rPr>
      </w:pPr>
      <w:r>
        <w:rPr>
          <w:rFonts w:hint="eastAsia"/>
          <w:color w:val="auto"/>
          <w:highlight w:val="none"/>
        </w:rPr>
        <w:t> </w:t>
      </w:r>
    </w:p>
    <w:p w14:paraId="5265620D">
      <w:pPr>
        <w:pStyle w:val="48"/>
        <w:spacing w:beforeAutospacing="0" w:afterAutospacing="0" w:line="0" w:lineRule="atLeast"/>
        <w:jc w:val="both"/>
        <w:rPr>
          <w:color w:val="auto"/>
          <w:highlight w:val="none"/>
        </w:rPr>
      </w:pPr>
      <w:r>
        <w:rPr>
          <w:rFonts w:hint="eastAsia"/>
          <w:color w:val="auto"/>
          <w:highlight w:val="none"/>
        </w:rPr>
        <w:t> </w:t>
      </w:r>
    </w:p>
    <w:p w14:paraId="0EDD5F9F">
      <w:pPr>
        <w:pStyle w:val="48"/>
        <w:spacing w:beforeAutospacing="0" w:afterAutospacing="0"/>
        <w:jc w:val="both"/>
        <w:rPr>
          <w:color w:val="auto"/>
          <w:sz w:val="32"/>
          <w:szCs w:val="32"/>
          <w:highlight w:val="none"/>
          <w:u w:val="single"/>
        </w:rPr>
      </w:pPr>
    </w:p>
    <w:p w14:paraId="25E91DB7">
      <w:pPr>
        <w:pStyle w:val="48"/>
        <w:spacing w:beforeAutospacing="0" w:afterAutospacing="0"/>
        <w:jc w:val="both"/>
        <w:rPr>
          <w:color w:val="auto"/>
          <w:sz w:val="32"/>
          <w:szCs w:val="32"/>
          <w:highlight w:val="none"/>
          <w:u w:val="single"/>
        </w:rPr>
      </w:pPr>
    </w:p>
    <w:p w14:paraId="6FBD67AD">
      <w:pPr>
        <w:pStyle w:val="48"/>
        <w:spacing w:beforeAutospacing="0" w:afterAutospacing="0"/>
        <w:jc w:val="both"/>
        <w:rPr>
          <w:color w:val="auto"/>
          <w:sz w:val="32"/>
          <w:szCs w:val="32"/>
          <w:highlight w:val="none"/>
          <w:u w:val="single"/>
        </w:rPr>
      </w:pPr>
    </w:p>
    <w:p w14:paraId="7C189BF1">
      <w:pPr>
        <w:pStyle w:val="48"/>
        <w:spacing w:beforeAutospacing="0" w:afterAutospacing="0"/>
        <w:jc w:val="both"/>
        <w:rPr>
          <w:color w:val="auto"/>
          <w:sz w:val="32"/>
          <w:szCs w:val="32"/>
          <w:highlight w:val="none"/>
          <w:u w:val="single"/>
        </w:rPr>
      </w:pPr>
    </w:p>
    <w:p w14:paraId="3B9A6A87">
      <w:pPr>
        <w:pStyle w:val="48"/>
        <w:spacing w:beforeAutospacing="0" w:afterAutospacing="0"/>
        <w:jc w:val="both"/>
        <w:rPr>
          <w:color w:val="auto"/>
          <w:sz w:val="32"/>
          <w:szCs w:val="32"/>
          <w:highlight w:val="none"/>
          <w:u w:val="single"/>
        </w:rPr>
      </w:pPr>
    </w:p>
    <w:p w14:paraId="3B5D9334">
      <w:pPr>
        <w:pStyle w:val="48"/>
        <w:spacing w:beforeAutospacing="0" w:afterAutospacing="0"/>
        <w:jc w:val="both"/>
        <w:rPr>
          <w:color w:val="auto"/>
          <w:highlight w:val="none"/>
        </w:rPr>
      </w:pPr>
      <w:r>
        <w:rPr>
          <w:rFonts w:hint="eastAsia"/>
          <w:color w:val="auto"/>
          <w:sz w:val="32"/>
          <w:szCs w:val="32"/>
          <w:highlight w:val="none"/>
          <w:u w:val="single"/>
        </w:rPr>
        <w:t>一、法人或者其他组织的营业执照等证明文件，自然人的身份证明</w:t>
      </w:r>
    </w:p>
    <w:p w14:paraId="0513BA62">
      <w:pPr>
        <w:pStyle w:val="48"/>
        <w:spacing w:beforeAutospacing="0" w:afterAutospacing="0"/>
        <w:jc w:val="both"/>
        <w:rPr>
          <w:color w:val="auto"/>
          <w:highlight w:val="none"/>
        </w:rPr>
      </w:pPr>
    </w:p>
    <w:p w14:paraId="2BED0934">
      <w:pPr>
        <w:pStyle w:val="48"/>
        <w:spacing w:beforeAutospacing="0" w:afterAutospacing="0"/>
        <w:jc w:val="both"/>
        <w:rPr>
          <w:color w:val="auto"/>
          <w:highlight w:val="none"/>
        </w:rPr>
      </w:pPr>
      <w:r>
        <w:rPr>
          <w:rFonts w:hint="eastAsia"/>
          <w:color w:val="auto"/>
          <w:sz w:val="32"/>
          <w:szCs w:val="32"/>
          <w:highlight w:val="none"/>
          <w:u w:val="single"/>
        </w:rPr>
        <w:t>二、上一年度的财务状况报表</w:t>
      </w:r>
    </w:p>
    <w:p w14:paraId="6B198798">
      <w:pPr>
        <w:pStyle w:val="48"/>
        <w:spacing w:beforeAutospacing="0" w:afterAutospacing="0" w:line="0" w:lineRule="atLeast"/>
        <w:jc w:val="both"/>
        <w:rPr>
          <w:color w:val="auto"/>
          <w:highlight w:val="none"/>
        </w:rPr>
      </w:pPr>
      <w:r>
        <w:rPr>
          <w:rFonts w:hint="eastAsia"/>
          <w:color w:val="auto"/>
          <w:highlight w:val="none"/>
        </w:rPr>
        <w:t>投标人成立不满一年不需提供</w:t>
      </w:r>
    </w:p>
    <w:p w14:paraId="10819EF9">
      <w:pPr>
        <w:pStyle w:val="48"/>
        <w:spacing w:beforeAutospacing="0" w:afterAutospacing="0"/>
        <w:jc w:val="both"/>
        <w:rPr>
          <w:color w:val="auto"/>
          <w:highlight w:val="none"/>
        </w:rPr>
      </w:pPr>
      <w:r>
        <w:rPr>
          <w:rFonts w:hint="eastAsia"/>
          <w:color w:val="auto"/>
          <w:highlight w:val="none"/>
        </w:rPr>
        <w:t> </w:t>
      </w:r>
    </w:p>
    <w:p w14:paraId="7D9AB0C5">
      <w:pPr>
        <w:pStyle w:val="48"/>
        <w:spacing w:beforeAutospacing="0" w:afterAutospacing="0"/>
        <w:jc w:val="both"/>
        <w:rPr>
          <w:color w:val="auto"/>
          <w:highlight w:val="none"/>
        </w:rPr>
      </w:pPr>
      <w:r>
        <w:rPr>
          <w:rFonts w:hint="eastAsia"/>
          <w:color w:val="auto"/>
          <w:sz w:val="32"/>
          <w:szCs w:val="32"/>
          <w:highlight w:val="none"/>
          <w:u w:val="single"/>
        </w:rPr>
        <w:t>三、具备履行合同所必需的设备和专业技术能力的书面声明</w:t>
      </w:r>
    </w:p>
    <w:p w14:paraId="5003F886">
      <w:pPr>
        <w:pStyle w:val="48"/>
        <w:spacing w:beforeAutospacing="0" w:afterAutospacing="0" w:line="0" w:lineRule="atLeast"/>
        <w:jc w:val="both"/>
        <w:rPr>
          <w:color w:val="auto"/>
          <w:highlight w:val="none"/>
        </w:rPr>
      </w:pPr>
      <w:r>
        <w:rPr>
          <w:rFonts w:hint="eastAsia"/>
          <w:color w:val="auto"/>
          <w:highlight w:val="none"/>
        </w:rPr>
        <w:t>我单位郑重声明：我单位具备履行本项采购合同所必需的设备和专业技术能力，为履行本项采购合同我公司具备如下主要设备和主要专业技术能力：</w:t>
      </w:r>
    </w:p>
    <w:p w14:paraId="16D3F826">
      <w:pPr>
        <w:pStyle w:val="48"/>
        <w:spacing w:beforeAutospacing="0" w:afterAutospacing="0" w:line="0" w:lineRule="atLeast"/>
        <w:jc w:val="both"/>
        <w:rPr>
          <w:color w:val="auto"/>
          <w:highlight w:val="none"/>
        </w:rPr>
      </w:pPr>
      <w:r>
        <w:rPr>
          <w:rFonts w:hint="eastAsia"/>
          <w:color w:val="auto"/>
          <w:highlight w:val="none"/>
        </w:rPr>
        <w:t>主要设备有：</w:t>
      </w:r>
      <w:r>
        <w:rPr>
          <w:rFonts w:hint="eastAsia"/>
          <w:color w:val="auto"/>
          <w:highlight w:val="none"/>
          <w:u w:val="single"/>
        </w:rPr>
        <w:t xml:space="preserve">         </w:t>
      </w:r>
      <w:r>
        <w:rPr>
          <w:rFonts w:hint="eastAsia"/>
          <w:color w:val="auto"/>
          <w:highlight w:val="none"/>
        </w:rPr>
        <w:t>。</w:t>
      </w:r>
    </w:p>
    <w:p w14:paraId="68081FDA">
      <w:pPr>
        <w:pStyle w:val="48"/>
        <w:spacing w:beforeAutospacing="0" w:afterAutospacing="0"/>
        <w:jc w:val="both"/>
        <w:rPr>
          <w:color w:val="auto"/>
          <w:highlight w:val="none"/>
        </w:rPr>
      </w:pPr>
      <w:r>
        <w:rPr>
          <w:rFonts w:hint="eastAsia"/>
          <w:color w:val="auto"/>
          <w:highlight w:val="none"/>
        </w:rPr>
        <w:t>主要专业技术能力有：</w:t>
      </w:r>
      <w:r>
        <w:rPr>
          <w:rFonts w:hint="eastAsia"/>
          <w:color w:val="auto"/>
          <w:highlight w:val="none"/>
          <w:u w:val="single"/>
        </w:rPr>
        <w:t xml:space="preserve">        </w:t>
      </w:r>
      <w:r>
        <w:rPr>
          <w:rFonts w:hint="eastAsia"/>
          <w:color w:val="auto"/>
          <w:highlight w:val="none"/>
        </w:rPr>
        <w:t>。</w:t>
      </w:r>
    </w:p>
    <w:p w14:paraId="68D849B2">
      <w:pPr>
        <w:pStyle w:val="48"/>
        <w:spacing w:beforeAutospacing="0" w:afterAutospacing="0"/>
        <w:jc w:val="both"/>
        <w:rPr>
          <w:color w:val="auto"/>
          <w:sz w:val="32"/>
          <w:szCs w:val="32"/>
          <w:highlight w:val="none"/>
          <w:u w:val="single"/>
        </w:rPr>
      </w:pPr>
    </w:p>
    <w:p w14:paraId="35B7619A">
      <w:pPr>
        <w:pStyle w:val="48"/>
        <w:spacing w:beforeAutospacing="0" w:afterAutospacing="0"/>
        <w:jc w:val="both"/>
        <w:rPr>
          <w:color w:val="auto"/>
          <w:highlight w:val="none"/>
        </w:rPr>
      </w:pPr>
      <w:r>
        <w:rPr>
          <w:rFonts w:hint="eastAsia"/>
          <w:color w:val="auto"/>
          <w:sz w:val="32"/>
          <w:szCs w:val="32"/>
          <w:highlight w:val="none"/>
          <w:u w:val="single"/>
        </w:rPr>
        <w:t>四、依法缴纳税收和社会保障资金的相关材料</w:t>
      </w:r>
    </w:p>
    <w:p w14:paraId="2B775235">
      <w:pPr>
        <w:pStyle w:val="48"/>
        <w:spacing w:beforeAutospacing="0" w:afterAutospacing="0"/>
        <w:jc w:val="both"/>
        <w:rPr>
          <w:color w:val="auto"/>
          <w:highlight w:val="none"/>
        </w:rPr>
      </w:pPr>
      <w:bookmarkStart w:id="181" w:name="_Toc120614284"/>
      <w:r>
        <w:rPr>
          <w:rFonts w:hint="eastAsia"/>
          <w:color w:val="auto"/>
          <w:highlight w:val="none"/>
        </w:rPr>
        <w:t>提供提交投标文件截止时间前一年内至少一个月依法缴纳税收及缴纳社会保障资金的证明材料。投标人依法享受缓缴、免缴税收、社会保障资金的提供证明材料。</w:t>
      </w:r>
      <w:bookmarkEnd w:id="181"/>
    </w:p>
    <w:p w14:paraId="2D737CE6">
      <w:pPr>
        <w:pStyle w:val="48"/>
        <w:spacing w:beforeAutospacing="0" w:afterAutospacing="0"/>
        <w:jc w:val="both"/>
        <w:rPr>
          <w:color w:val="auto"/>
          <w:sz w:val="32"/>
          <w:szCs w:val="32"/>
          <w:highlight w:val="none"/>
          <w:u w:val="single"/>
        </w:rPr>
      </w:pPr>
    </w:p>
    <w:p w14:paraId="445C9B81">
      <w:pPr>
        <w:pStyle w:val="48"/>
        <w:spacing w:beforeAutospacing="0" w:afterAutospacing="0"/>
        <w:jc w:val="both"/>
        <w:rPr>
          <w:color w:val="auto"/>
          <w:highlight w:val="none"/>
        </w:rPr>
      </w:pPr>
      <w:r>
        <w:rPr>
          <w:rFonts w:hint="eastAsia"/>
          <w:color w:val="auto"/>
          <w:sz w:val="32"/>
          <w:szCs w:val="32"/>
          <w:highlight w:val="none"/>
          <w:u w:val="single"/>
        </w:rPr>
        <w:t>五、参加政府采购活动前 3 年内在经营活动中没有重大违法记录的书面声明</w:t>
      </w:r>
    </w:p>
    <w:p w14:paraId="7742EB62">
      <w:pPr>
        <w:pStyle w:val="48"/>
        <w:widowControl w:val="0"/>
        <w:spacing w:beforeAutospacing="0" w:afterAutospacing="0" w:line="0" w:lineRule="atLeast"/>
        <w:jc w:val="center"/>
        <w:rPr>
          <w:color w:val="auto"/>
          <w:highlight w:val="none"/>
        </w:rPr>
      </w:pPr>
      <w:r>
        <w:rPr>
          <w:rFonts w:hint="eastAsia"/>
          <w:b/>
          <w:color w:val="auto"/>
          <w:sz w:val="44"/>
          <w:szCs w:val="44"/>
          <w:highlight w:val="none"/>
        </w:rPr>
        <w:t>声  明</w:t>
      </w:r>
    </w:p>
    <w:p w14:paraId="04449709">
      <w:pPr>
        <w:pStyle w:val="48"/>
        <w:spacing w:beforeAutospacing="0" w:afterAutospacing="0" w:line="0" w:lineRule="atLeast"/>
        <w:jc w:val="both"/>
        <w:rPr>
          <w:color w:val="auto"/>
          <w:highlight w:val="none"/>
        </w:rPr>
      </w:pPr>
      <w:r>
        <w:rPr>
          <w:rFonts w:hint="eastAsia"/>
          <w:b/>
          <w:color w:val="auto"/>
          <w:highlight w:val="none"/>
        </w:rPr>
        <w:t xml:space="preserve">    </w:t>
      </w:r>
      <w:r>
        <w:rPr>
          <w:rFonts w:hint="eastAsia"/>
          <w:color w:val="auto"/>
          <w:highlight w:val="none"/>
        </w:rPr>
        <w:t>我单位郑重声明：参加本次政府采购活动前 3 年内，我单位在经营活动中没有因违法经营受到刑事处罚或者责令停产停业、吊销许可证或者执照、较大数额罚款等行政处罚。</w:t>
      </w:r>
    </w:p>
    <w:p w14:paraId="08DCFC26">
      <w:pPr>
        <w:pStyle w:val="48"/>
        <w:spacing w:beforeAutospacing="0" w:afterAutospacing="0"/>
        <w:jc w:val="both"/>
        <w:rPr>
          <w:color w:val="auto"/>
          <w:highlight w:val="none"/>
        </w:rPr>
      </w:pPr>
      <w:r>
        <w:rPr>
          <w:rFonts w:hint="eastAsia"/>
          <w:color w:val="auto"/>
          <w:highlight w:val="none"/>
        </w:rPr>
        <w:t> </w:t>
      </w:r>
    </w:p>
    <w:p w14:paraId="38563204">
      <w:pPr>
        <w:pStyle w:val="48"/>
        <w:spacing w:beforeAutospacing="0" w:afterAutospacing="0"/>
        <w:jc w:val="both"/>
        <w:rPr>
          <w:color w:val="auto"/>
          <w:highlight w:val="none"/>
        </w:rPr>
      </w:pPr>
      <w:r>
        <w:rPr>
          <w:rFonts w:hint="eastAsia"/>
          <w:color w:val="auto"/>
          <w:sz w:val="32"/>
          <w:szCs w:val="32"/>
          <w:highlight w:val="none"/>
          <w:u w:val="single"/>
        </w:rPr>
        <w:t>六、特定资格要求的证明文件（标注页码位置）</w:t>
      </w:r>
    </w:p>
    <w:p w14:paraId="26195AA7">
      <w:pPr>
        <w:pStyle w:val="48"/>
        <w:spacing w:beforeAutospacing="0" w:afterAutospacing="0" w:line="0" w:lineRule="atLeast"/>
        <w:jc w:val="both"/>
        <w:rPr>
          <w:color w:val="auto"/>
          <w:highlight w:val="none"/>
        </w:rPr>
      </w:pPr>
      <w:r>
        <w:rPr>
          <w:rFonts w:hint="eastAsia"/>
          <w:color w:val="auto"/>
          <w:highlight w:val="none"/>
        </w:rPr>
        <w:t>    如果本项目申请人的特定资格要求中要求提供的，必须提供。</w:t>
      </w:r>
    </w:p>
    <w:p w14:paraId="59E10DE0">
      <w:pPr>
        <w:rPr>
          <w:rFonts w:ascii="宋体" w:hAnsi="宋体" w:cs="宋体"/>
          <w:color w:val="auto"/>
          <w:highlight w:val="none"/>
        </w:rPr>
      </w:pPr>
      <w:r>
        <w:rPr>
          <w:rFonts w:hint="eastAsia" w:ascii="宋体" w:hAnsi="宋体" w:cs="宋体"/>
          <w:color w:val="auto"/>
          <w:highlight w:val="none"/>
        </w:rPr>
        <w:br w:type="page"/>
      </w:r>
    </w:p>
    <w:p w14:paraId="0E7327B4">
      <w:pPr>
        <w:pStyle w:val="25"/>
        <w:ind w:left="1260"/>
        <w:rPr>
          <w:rFonts w:hAnsi="宋体" w:cs="宋体"/>
          <w:color w:val="auto"/>
          <w:highlight w:val="none"/>
        </w:rPr>
      </w:pPr>
      <w:r>
        <w:rPr>
          <w:rFonts w:hint="eastAsia" w:hAnsi="宋体" w:cs="宋体"/>
          <w:color w:val="auto"/>
          <w:highlight w:val="none"/>
        </w:rPr>
        <w:t>资格性审查响应对照表</w:t>
      </w:r>
    </w:p>
    <w:p w14:paraId="3AF965C9">
      <w:pPr>
        <w:rPr>
          <w:color w:val="auto"/>
          <w:highlight w:val="none"/>
        </w:rPr>
      </w:pPr>
      <w:r>
        <w:rPr>
          <w:rFonts w:hint="eastAsia" w:hAnsi="宋体" w:cs="宋体"/>
          <w:color w:val="auto"/>
          <w:highlight w:val="none"/>
        </w:rPr>
        <w:t>投标人全称（加盖投标人CA电子公章）</w:t>
      </w:r>
    </w:p>
    <w:tbl>
      <w:tblPr>
        <w:tblStyle w:val="5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640"/>
        <w:gridCol w:w="2655"/>
        <w:gridCol w:w="2850"/>
        <w:gridCol w:w="1043"/>
      </w:tblGrid>
      <w:tr w14:paraId="412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B7C84C1">
            <w:pPr>
              <w:pStyle w:val="48"/>
              <w:spacing w:beforeAutospacing="0" w:afterAutospacing="0" w:line="0" w:lineRule="atLeast"/>
              <w:jc w:val="both"/>
              <w:rPr>
                <w:color w:val="auto"/>
                <w:highlight w:val="none"/>
              </w:rPr>
            </w:pPr>
            <w:r>
              <w:rPr>
                <w:rFonts w:hint="eastAsia"/>
                <w:color w:val="auto"/>
                <w:highlight w:val="none"/>
              </w:rPr>
              <w:t>序号</w:t>
            </w:r>
          </w:p>
        </w:tc>
        <w:tc>
          <w:tcPr>
            <w:tcW w:w="2640" w:type="dxa"/>
          </w:tcPr>
          <w:p w14:paraId="28EA0103">
            <w:pPr>
              <w:pStyle w:val="48"/>
              <w:spacing w:beforeAutospacing="0" w:afterAutospacing="0" w:line="0" w:lineRule="atLeast"/>
              <w:jc w:val="both"/>
              <w:rPr>
                <w:color w:val="auto"/>
                <w:highlight w:val="none"/>
              </w:rPr>
            </w:pPr>
            <w:r>
              <w:rPr>
                <w:rFonts w:hint="eastAsia"/>
                <w:color w:val="auto"/>
                <w:highlight w:val="none"/>
              </w:rPr>
              <w:t>资格性审查响应内容</w:t>
            </w:r>
          </w:p>
        </w:tc>
        <w:tc>
          <w:tcPr>
            <w:tcW w:w="2655" w:type="dxa"/>
          </w:tcPr>
          <w:p w14:paraId="758F3B04">
            <w:pPr>
              <w:pStyle w:val="48"/>
              <w:spacing w:beforeAutospacing="0" w:afterAutospacing="0" w:line="0" w:lineRule="atLeast"/>
              <w:jc w:val="both"/>
              <w:rPr>
                <w:color w:val="auto"/>
                <w:highlight w:val="none"/>
              </w:rPr>
            </w:pPr>
            <w:r>
              <w:rPr>
                <w:rFonts w:hint="eastAsia"/>
                <w:color w:val="auto"/>
                <w:highlight w:val="none"/>
              </w:rPr>
              <w:t>是否响应（填是或否）</w:t>
            </w:r>
          </w:p>
        </w:tc>
        <w:tc>
          <w:tcPr>
            <w:tcW w:w="2850" w:type="dxa"/>
          </w:tcPr>
          <w:p w14:paraId="176E4BE4">
            <w:pPr>
              <w:pStyle w:val="48"/>
              <w:spacing w:beforeAutospacing="0" w:afterAutospacing="0" w:line="0" w:lineRule="atLeast"/>
              <w:jc w:val="both"/>
              <w:rPr>
                <w:color w:val="auto"/>
                <w:highlight w:val="none"/>
              </w:rPr>
            </w:pPr>
            <w:r>
              <w:rPr>
                <w:rFonts w:hint="eastAsia"/>
                <w:b/>
                <w:bCs/>
                <w:color w:val="auto"/>
                <w:highlight w:val="none"/>
              </w:rPr>
              <w:t>投标文件中的页码位置</w:t>
            </w:r>
          </w:p>
        </w:tc>
        <w:tc>
          <w:tcPr>
            <w:tcW w:w="1043" w:type="dxa"/>
          </w:tcPr>
          <w:p w14:paraId="37DBDCFC">
            <w:pPr>
              <w:pStyle w:val="48"/>
              <w:spacing w:beforeAutospacing="0" w:afterAutospacing="0" w:line="0" w:lineRule="atLeast"/>
              <w:jc w:val="both"/>
              <w:rPr>
                <w:color w:val="auto"/>
                <w:highlight w:val="none"/>
              </w:rPr>
            </w:pPr>
            <w:r>
              <w:rPr>
                <w:rFonts w:hint="eastAsia"/>
                <w:color w:val="auto"/>
                <w:highlight w:val="none"/>
              </w:rPr>
              <w:t>备注</w:t>
            </w:r>
          </w:p>
        </w:tc>
      </w:tr>
      <w:tr w14:paraId="407A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A74744">
            <w:pPr>
              <w:pStyle w:val="48"/>
              <w:spacing w:beforeAutospacing="0" w:afterAutospacing="0" w:line="0" w:lineRule="atLeast"/>
              <w:jc w:val="both"/>
              <w:rPr>
                <w:color w:val="auto"/>
                <w:highlight w:val="none"/>
              </w:rPr>
            </w:pPr>
          </w:p>
        </w:tc>
        <w:tc>
          <w:tcPr>
            <w:tcW w:w="2640" w:type="dxa"/>
          </w:tcPr>
          <w:p w14:paraId="48500A0F">
            <w:pPr>
              <w:pStyle w:val="48"/>
              <w:spacing w:beforeAutospacing="0" w:afterAutospacing="0" w:line="0" w:lineRule="atLeast"/>
              <w:jc w:val="both"/>
              <w:rPr>
                <w:color w:val="auto"/>
                <w:highlight w:val="none"/>
              </w:rPr>
            </w:pPr>
          </w:p>
        </w:tc>
        <w:tc>
          <w:tcPr>
            <w:tcW w:w="2655" w:type="dxa"/>
          </w:tcPr>
          <w:p w14:paraId="23BD991A">
            <w:pPr>
              <w:pStyle w:val="48"/>
              <w:spacing w:beforeAutospacing="0" w:afterAutospacing="0" w:line="0" w:lineRule="atLeast"/>
              <w:jc w:val="both"/>
              <w:rPr>
                <w:color w:val="auto"/>
                <w:highlight w:val="none"/>
              </w:rPr>
            </w:pPr>
          </w:p>
        </w:tc>
        <w:tc>
          <w:tcPr>
            <w:tcW w:w="2850" w:type="dxa"/>
          </w:tcPr>
          <w:p w14:paraId="366CAB28">
            <w:pPr>
              <w:pStyle w:val="48"/>
              <w:spacing w:beforeAutospacing="0" w:afterAutospacing="0" w:line="0" w:lineRule="atLeast"/>
              <w:jc w:val="both"/>
              <w:rPr>
                <w:color w:val="auto"/>
                <w:highlight w:val="none"/>
              </w:rPr>
            </w:pPr>
          </w:p>
        </w:tc>
        <w:tc>
          <w:tcPr>
            <w:tcW w:w="1043" w:type="dxa"/>
          </w:tcPr>
          <w:p w14:paraId="4DAC1C72">
            <w:pPr>
              <w:pStyle w:val="48"/>
              <w:spacing w:beforeAutospacing="0" w:afterAutospacing="0" w:line="0" w:lineRule="atLeast"/>
              <w:jc w:val="both"/>
              <w:rPr>
                <w:color w:val="auto"/>
                <w:highlight w:val="none"/>
              </w:rPr>
            </w:pPr>
          </w:p>
        </w:tc>
      </w:tr>
      <w:tr w14:paraId="315D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B79B0DC">
            <w:pPr>
              <w:pStyle w:val="48"/>
              <w:spacing w:beforeAutospacing="0" w:afterAutospacing="0" w:line="0" w:lineRule="atLeast"/>
              <w:jc w:val="both"/>
              <w:rPr>
                <w:color w:val="auto"/>
                <w:highlight w:val="none"/>
              </w:rPr>
            </w:pPr>
          </w:p>
        </w:tc>
        <w:tc>
          <w:tcPr>
            <w:tcW w:w="2640" w:type="dxa"/>
          </w:tcPr>
          <w:p w14:paraId="0921FDAA">
            <w:pPr>
              <w:pStyle w:val="48"/>
              <w:spacing w:beforeAutospacing="0" w:afterAutospacing="0" w:line="0" w:lineRule="atLeast"/>
              <w:jc w:val="both"/>
              <w:rPr>
                <w:color w:val="auto"/>
                <w:highlight w:val="none"/>
              </w:rPr>
            </w:pPr>
          </w:p>
        </w:tc>
        <w:tc>
          <w:tcPr>
            <w:tcW w:w="2655" w:type="dxa"/>
          </w:tcPr>
          <w:p w14:paraId="361FE8BF">
            <w:pPr>
              <w:pStyle w:val="48"/>
              <w:spacing w:beforeAutospacing="0" w:afterAutospacing="0" w:line="0" w:lineRule="atLeast"/>
              <w:jc w:val="both"/>
              <w:rPr>
                <w:color w:val="auto"/>
                <w:highlight w:val="none"/>
              </w:rPr>
            </w:pPr>
          </w:p>
        </w:tc>
        <w:tc>
          <w:tcPr>
            <w:tcW w:w="2850" w:type="dxa"/>
          </w:tcPr>
          <w:p w14:paraId="28A8DFBE">
            <w:pPr>
              <w:pStyle w:val="48"/>
              <w:spacing w:beforeAutospacing="0" w:afterAutospacing="0" w:line="0" w:lineRule="atLeast"/>
              <w:jc w:val="both"/>
              <w:rPr>
                <w:color w:val="auto"/>
                <w:highlight w:val="none"/>
              </w:rPr>
            </w:pPr>
          </w:p>
        </w:tc>
        <w:tc>
          <w:tcPr>
            <w:tcW w:w="1043" w:type="dxa"/>
          </w:tcPr>
          <w:p w14:paraId="01410927">
            <w:pPr>
              <w:pStyle w:val="48"/>
              <w:spacing w:beforeAutospacing="0" w:afterAutospacing="0" w:line="0" w:lineRule="atLeast"/>
              <w:jc w:val="both"/>
              <w:rPr>
                <w:color w:val="auto"/>
                <w:highlight w:val="none"/>
              </w:rPr>
            </w:pPr>
          </w:p>
        </w:tc>
      </w:tr>
      <w:tr w14:paraId="7148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78BAA9E">
            <w:pPr>
              <w:pStyle w:val="48"/>
              <w:spacing w:beforeAutospacing="0" w:afterAutospacing="0" w:line="0" w:lineRule="atLeast"/>
              <w:jc w:val="both"/>
              <w:rPr>
                <w:color w:val="auto"/>
                <w:highlight w:val="none"/>
              </w:rPr>
            </w:pPr>
          </w:p>
        </w:tc>
        <w:tc>
          <w:tcPr>
            <w:tcW w:w="2640" w:type="dxa"/>
          </w:tcPr>
          <w:p w14:paraId="1634FF97">
            <w:pPr>
              <w:pStyle w:val="48"/>
              <w:spacing w:beforeAutospacing="0" w:afterAutospacing="0" w:line="0" w:lineRule="atLeast"/>
              <w:jc w:val="both"/>
              <w:rPr>
                <w:color w:val="auto"/>
                <w:highlight w:val="none"/>
              </w:rPr>
            </w:pPr>
          </w:p>
        </w:tc>
        <w:tc>
          <w:tcPr>
            <w:tcW w:w="2655" w:type="dxa"/>
          </w:tcPr>
          <w:p w14:paraId="0AEE37C8">
            <w:pPr>
              <w:pStyle w:val="48"/>
              <w:spacing w:beforeAutospacing="0" w:afterAutospacing="0" w:line="0" w:lineRule="atLeast"/>
              <w:jc w:val="both"/>
              <w:rPr>
                <w:color w:val="auto"/>
                <w:highlight w:val="none"/>
              </w:rPr>
            </w:pPr>
          </w:p>
        </w:tc>
        <w:tc>
          <w:tcPr>
            <w:tcW w:w="2850" w:type="dxa"/>
          </w:tcPr>
          <w:p w14:paraId="78BE9B5E">
            <w:pPr>
              <w:pStyle w:val="48"/>
              <w:spacing w:beforeAutospacing="0" w:afterAutospacing="0" w:line="0" w:lineRule="atLeast"/>
              <w:jc w:val="both"/>
              <w:rPr>
                <w:color w:val="auto"/>
                <w:highlight w:val="none"/>
              </w:rPr>
            </w:pPr>
          </w:p>
        </w:tc>
        <w:tc>
          <w:tcPr>
            <w:tcW w:w="1043" w:type="dxa"/>
          </w:tcPr>
          <w:p w14:paraId="2E6B9460">
            <w:pPr>
              <w:pStyle w:val="48"/>
              <w:spacing w:beforeAutospacing="0" w:afterAutospacing="0" w:line="0" w:lineRule="atLeast"/>
              <w:jc w:val="both"/>
              <w:rPr>
                <w:color w:val="auto"/>
                <w:highlight w:val="none"/>
              </w:rPr>
            </w:pPr>
          </w:p>
        </w:tc>
      </w:tr>
      <w:tr w14:paraId="3383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9754548">
            <w:pPr>
              <w:pStyle w:val="48"/>
              <w:spacing w:beforeAutospacing="0" w:afterAutospacing="0" w:line="0" w:lineRule="atLeast"/>
              <w:jc w:val="both"/>
              <w:rPr>
                <w:color w:val="auto"/>
                <w:highlight w:val="none"/>
              </w:rPr>
            </w:pPr>
          </w:p>
        </w:tc>
        <w:tc>
          <w:tcPr>
            <w:tcW w:w="2640" w:type="dxa"/>
          </w:tcPr>
          <w:p w14:paraId="54BF4A05">
            <w:pPr>
              <w:pStyle w:val="48"/>
              <w:spacing w:beforeAutospacing="0" w:afterAutospacing="0" w:line="0" w:lineRule="atLeast"/>
              <w:jc w:val="both"/>
              <w:rPr>
                <w:color w:val="auto"/>
                <w:highlight w:val="none"/>
              </w:rPr>
            </w:pPr>
          </w:p>
        </w:tc>
        <w:tc>
          <w:tcPr>
            <w:tcW w:w="2655" w:type="dxa"/>
          </w:tcPr>
          <w:p w14:paraId="49EA6B6D">
            <w:pPr>
              <w:pStyle w:val="48"/>
              <w:spacing w:beforeAutospacing="0" w:afterAutospacing="0" w:line="0" w:lineRule="atLeast"/>
              <w:jc w:val="both"/>
              <w:rPr>
                <w:color w:val="auto"/>
                <w:highlight w:val="none"/>
              </w:rPr>
            </w:pPr>
          </w:p>
        </w:tc>
        <w:tc>
          <w:tcPr>
            <w:tcW w:w="2850" w:type="dxa"/>
          </w:tcPr>
          <w:p w14:paraId="02DE9EE7">
            <w:pPr>
              <w:pStyle w:val="48"/>
              <w:spacing w:beforeAutospacing="0" w:afterAutospacing="0" w:line="0" w:lineRule="atLeast"/>
              <w:jc w:val="both"/>
              <w:rPr>
                <w:color w:val="auto"/>
                <w:highlight w:val="none"/>
              </w:rPr>
            </w:pPr>
          </w:p>
        </w:tc>
        <w:tc>
          <w:tcPr>
            <w:tcW w:w="1043" w:type="dxa"/>
          </w:tcPr>
          <w:p w14:paraId="46077B14">
            <w:pPr>
              <w:pStyle w:val="48"/>
              <w:spacing w:beforeAutospacing="0" w:afterAutospacing="0" w:line="0" w:lineRule="atLeast"/>
              <w:jc w:val="both"/>
              <w:rPr>
                <w:color w:val="auto"/>
                <w:highlight w:val="none"/>
              </w:rPr>
            </w:pPr>
          </w:p>
        </w:tc>
      </w:tr>
      <w:tr w14:paraId="4C47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FF88F81">
            <w:pPr>
              <w:pStyle w:val="48"/>
              <w:spacing w:beforeAutospacing="0" w:afterAutospacing="0" w:line="0" w:lineRule="atLeast"/>
              <w:jc w:val="both"/>
              <w:rPr>
                <w:color w:val="auto"/>
                <w:highlight w:val="none"/>
              </w:rPr>
            </w:pPr>
          </w:p>
        </w:tc>
        <w:tc>
          <w:tcPr>
            <w:tcW w:w="2640" w:type="dxa"/>
          </w:tcPr>
          <w:p w14:paraId="61D9EFE4">
            <w:pPr>
              <w:pStyle w:val="48"/>
              <w:spacing w:beforeAutospacing="0" w:afterAutospacing="0" w:line="0" w:lineRule="atLeast"/>
              <w:jc w:val="both"/>
              <w:rPr>
                <w:color w:val="auto"/>
                <w:highlight w:val="none"/>
              </w:rPr>
            </w:pPr>
          </w:p>
        </w:tc>
        <w:tc>
          <w:tcPr>
            <w:tcW w:w="2655" w:type="dxa"/>
          </w:tcPr>
          <w:p w14:paraId="237FC5F3">
            <w:pPr>
              <w:pStyle w:val="48"/>
              <w:spacing w:beforeAutospacing="0" w:afterAutospacing="0" w:line="0" w:lineRule="atLeast"/>
              <w:jc w:val="both"/>
              <w:rPr>
                <w:color w:val="auto"/>
                <w:highlight w:val="none"/>
              </w:rPr>
            </w:pPr>
          </w:p>
        </w:tc>
        <w:tc>
          <w:tcPr>
            <w:tcW w:w="2850" w:type="dxa"/>
          </w:tcPr>
          <w:p w14:paraId="0D9F3B64">
            <w:pPr>
              <w:pStyle w:val="48"/>
              <w:spacing w:beforeAutospacing="0" w:afterAutospacing="0" w:line="0" w:lineRule="atLeast"/>
              <w:jc w:val="both"/>
              <w:rPr>
                <w:color w:val="auto"/>
                <w:highlight w:val="none"/>
              </w:rPr>
            </w:pPr>
          </w:p>
        </w:tc>
        <w:tc>
          <w:tcPr>
            <w:tcW w:w="1043" w:type="dxa"/>
          </w:tcPr>
          <w:p w14:paraId="1889ADC2">
            <w:pPr>
              <w:pStyle w:val="48"/>
              <w:spacing w:beforeAutospacing="0" w:afterAutospacing="0" w:line="0" w:lineRule="atLeast"/>
              <w:jc w:val="both"/>
              <w:rPr>
                <w:color w:val="auto"/>
                <w:highlight w:val="none"/>
              </w:rPr>
            </w:pPr>
          </w:p>
        </w:tc>
      </w:tr>
    </w:tbl>
    <w:p w14:paraId="460B7DA1">
      <w:pPr>
        <w:pStyle w:val="48"/>
        <w:spacing w:beforeAutospacing="0" w:afterAutospacing="0" w:line="0" w:lineRule="atLeast"/>
        <w:jc w:val="both"/>
        <w:rPr>
          <w:color w:val="auto"/>
          <w:highlight w:val="none"/>
        </w:rPr>
      </w:pPr>
    </w:p>
    <w:p w14:paraId="58BE8708">
      <w:pPr>
        <w:pStyle w:val="48"/>
        <w:spacing w:beforeAutospacing="0" w:afterAutospacing="0" w:line="0" w:lineRule="atLeast"/>
        <w:jc w:val="both"/>
        <w:rPr>
          <w:color w:val="auto"/>
          <w:highlight w:val="none"/>
        </w:rPr>
      </w:pPr>
      <w:r>
        <w:rPr>
          <w:rFonts w:hint="eastAsia"/>
          <w:color w:val="auto"/>
          <w:highlight w:val="none"/>
        </w:rPr>
        <w:t> </w:t>
      </w:r>
    </w:p>
    <w:p w14:paraId="18486948">
      <w:pPr>
        <w:pStyle w:val="48"/>
        <w:spacing w:beforeAutospacing="0" w:afterAutospacing="0"/>
        <w:jc w:val="center"/>
        <w:rPr>
          <w:i/>
          <w:color w:val="auto"/>
          <w:sz w:val="32"/>
          <w:szCs w:val="32"/>
          <w:highlight w:val="none"/>
          <w:u w:val="single"/>
        </w:rPr>
      </w:pPr>
    </w:p>
    <w:p w14:paraId="4FFCDE4A">
      <w:pPr>
        <w:pStyle w:val="48"/>
        <w:spacing w:beforeAutospacing="0" w:afterAutospacing="0"/>
        <w:rPr>
          <w:color w:val="auto"/>
          <w:highlight w:val="none"/>
        </w:rPr>
      </w:pPr>
      <w:r>
        <w:rPr>
          <w:rFonts w:hint="eastAsia"/>
          <w:iCs/>
          <w:color w:val="auto"/>
          <w:sz w:val="32"/>
          <w:szCs w:val="32"/>
          <w:highlight w:val="none"/>
          <w:u w:val="single"/>
        </w:rPr>
        <w:t>七、法人授权书</w:t>
      </w:r>
    </w:p>
    <w:p w14:paraId="5C4F3382">
      <w:pPr>
        <w:pStyle w:val="48"/>
        <w:tabs>
          <w:tab w:val="left" w:pos="360"/>
        </w:tabs>
        <w:spacing w:beforeAutospacing="0" w:afterAutospacing="0"/>
        <w:jc w:val="both"/>
        <w:rPr>
          <w:color w:val="auto"/>
          <w:highlight w:val="none"/>
        </w:rPr>
      </w:pPr>
      <w:r>
        <w:rPr>
          <w:rFonts w:hint="eastAsia"/>
          <w:color w:val="auto"/>
          <w:highlight w:val="none"/>
        </w:rPr>
        <w:t>本授权书声明：____________（投标人名称）授权________________（被授权人的姓名）为我方就JSZC-</w:t>
      </w:r>
      <w:r>
        <w:rPr>
          <w:rFonts w:hint="eastAsia"/>
          <w:color w:val="auto"/>
          <w:highlight w:val="none"/>
          <w:u w:val="single"/>
        </w:rPr>
        <w:t xml:space="preserve">          </w:t>
      </w:r>
      <w:r>
        <w:rPr>
          <w:rFonts w:hint="eastAsia"/>
          <w:color w:val="auto"/>
          <w:highlight w:val="none"/>
        </w:rPr>
        <w:t>号项目采购活动的合法代理人，以本单位名义全权处理一切与该项目采购有关的事务。</w:t>
      </w:r>
    </w:p>
    <w:p w14:paraId="526979ED">
      <w:pPr>
        <w:pStyle w:val="48"/>
        <w:tabs>
          <w:tab w:val="left" w:pos="360"/>
        </w:tabs>
        <w:spacing w:beforeAutospacing="0" w:afterAutospacing="0"/>
        <w:jc w:val="both"/>
        <w:rPr>
          <w:color w:val="auto"/>
          <w:highlight w:val="none"/>
        </w:rPr>
      </w:pPr>
      <w:r>
        <w:rPr>
          <w:rFonts w:hint="eastAsia"/>
          <w:color w:val="auto"/>
          <w:highlight w:val="none"/>
        </w:rPr>
        <w:t>本授权书于______年____月____日起生效，特此声明。</w:t>
      </w:r>
    </w:p>
    <w:p w14:paraId="6F78A3D7">
      <w:pPr>
        <w:pStyle w:val="48"/>
        <w:tabs>
          <w:tab w:val="left" w:pos="360"/>
        </w:tabs>
        <w:spacing w:beforeAutospacing="0" w:afterAutospacing="0"/>
        <w:jc w:val="both"/>
        <w:rPr>
          <w:color w:val="auto"/>
          <w:highlight w:val="none"/>
        </w:rPr>
      </w:pPr>
      <w:r>
        <w:rPr>
          <w:rFonts w:hint="eastAsia"/>
          <w:color w:val="auto"/>
          <w:highlight w:val="none"/>
        </w:rPr>
        <w:t>被授权人身份证号码：</w:t>
      </w:r>
      <w:r>
        <w:rPr>
          <w:rFonts w:hint="eastAsia"/>
          <w:color w:val="auto"/>
          <w:highlight w:val="none"/>
          <w:u w:val="single"/>
        </w:rPr>
        <w:t>                     </w:t>
      </w:r>
    </w:p>
    <w:p w14:paraId="75E46FAD">
      <w:pPr>
        <w:pStyle w:val="48"/>
        <w:tabs>
          <w:tab w:val="left" w:pos="360"/>
        </w:tabs>
        <w:spacing w:beforeAutospacing="0" w:afterAutospacing="0"/>
        <w:jc w:val="both"/>
        <w:rPr>
          <w:color w:val="auto"/>
          <w:highlight w:val="none"/>
          <w:u w:val="single"/>
        </w:rPr>
      </w:pPr>
      <w:r>
        <w:rPr>
          <w:rFonts w:hint="eastAsia"/>
          <w:color w:val="auto"/>
          <w:highlight w:val="none"/>
        </w:rPr>
        <w:t>被授权人联系电话：（手机）</w:t>
      </w:r>
      <w:r>
        <w:rPr>
          <w:rFonts w:hint="eastAsia"/>
          <w:color w:val="auto"/>
          <w:highlight w:val="none"/>
          <w:u w:val="single"/>
        </w:rPr>
        <w:t>                  </w:t>
      </w:r>
    </w:p>
    <w:p w14:paraId="0163BE51">
      <w:pPr>
        <w:pStyle w:val="48"/>
        <w:tabs>
          <w:tab w:val="left" w:pos="360"/>
        </w:tabs>
        <w:spacing w:beforeAutospacing="0" w:afterAutospacing="0"/>
        <w:jc w:val="both"/>
        <w:rPr>
          <w:color w:val="auto"/>
          <w:highlight w:val="none"/>
        </w:rPr>
      </w:pPr>
      <w:r>
        <w:rPr>
          <w:rFonts w:hint="eastAsia"/>
          <w:color w:val="auto"/>
          <w:highlight w:val="none"/>
        </w:rPr>
        <w:t>授权单位名称：</w:t>
      </w:r>
      <w:r>
        <w:rPr>
          <w:rFonts w:hint="eastAsia"/>
          <w:color w:val="auto"/>
          <w:highlight w:val="none"/>
          <w:u w:val="single"/>
        </w:rPr>
        <w:t>（加盖CA电子公章）</w:t>
      </w:r>
    </w:p>
    <w:p w14:paraId="1A11FA4A">
      <w:pPr>
        <w:pStyle w:val="48"/>
        <w:tabs>
          <w:tab w:val="left" w:pos="360"/>
        </w:tabs>
        <w:spacing w:beforeAutospacing="0" w:afterAutospacing="0"/>
        <w:jc w:val="both"/>
        <w:rPr>
          <w:color w:val="auto"/>
          <w:highlight w:val="none"/>
        </w:rPr>
      </w:pPr>
      <w:r>
        <w:rPr>
          <w:rFonts w:hint="eastAsia"/>
          <w:color w:val="auto"/>
          <w:highlight w:val="none"/>
        </w:rPr>
        <w:t>单位地址：</w:t>
      </w:r>
      <w:r>
        <w:rPr>
          <w:rFonts w:hint="eastAsia"/>
          <w:color w:val="auto"/>
          <w:highlight w:val="none"/>
          <w:u w:val="single"/>
        </w:rPr>
        <w:t>                          </w:t>
      </w:r>
    </w:p>
    <w:p w14:paraId="528A787D">
      <w:pPr>
        <w:pStyle w:val="48"/>
        <w:tabs>
          <w:tab w:val="left" w:pos="360"/>
        </w:tabs>
        <w:spacing w:beforeAutospacing="0" w:afterAutospacing="0"/>
        <w:jc w:val="both"/>
        <w:rPr>
          <w:color w:val="auto"/>
          <w:highlight w:val="none"/>
        </w:rPr>
      </w:pPr>
      <w:r>
        <w:rPr>
          <w:rFonts w:hint="eastAsia"/>
          <w:color w:val="auto"/>
          <w:highlight w:val="none"/>
        </w:rPr>
        <w:t>日期：</w:t>
      </w:r>
      <w:r>
        <w:rPr>
          <w:rFonts w:hint="eastAsia"/>
          <w:color w:val="auto"/>
          <w:highlight w:val="none"/>
          <w:u w:val="single"/>
        </w:rPr>
        <w:t>                            </w:t>
      </w:r>
    </w:p>
    <w:p w14:paraId="45F1EC4E">
      <w:pPr>
        <w:pStyle w:val="48"/>
        <w:spacing w:beforeAutospacing="0" w:afterAutospacing="0"/>
        <w:jc w:val="both"/>
        <w:rPr>
          <w:color w:val="auto"/>
          <w:highlight w:val="none"/>
        </w:rPr>
      </w:pPr>
      <w:r>
        <w:rPr>
          <w:rFonts w:hint="eastAsia"/>
          <w:color w:val="auto"/>
          <w:highlight w:val="none"/>
        </w:rPr>
        <w:t> </w:t>
      </w:r>
    </w:p>
    <w:p w14:paraId="52700415">
      <w:pPr>
        <w:pStyle w:val="48"/>
        <w:spacing w:beforeAutospacing="0" w:afterAutospacing="0"/>
        <w:jc w:val="both"/>
        <w:rPr>
          <w:color w:val="auto"/>
          <w:highlight w:val="none"/>
        </w:rPr>
      </w:pPr>
      <w:r>
        <w:rPr>
          <w:rFonts w:hint="eastAsia"/>
          <w:color w:val="auto"/>
          <w:highlight w:val="none"/>
        </w:rPr>
        <w:t> </w:t>
      </w:r>
    </w:p>
    <w:p w14:paraId="0F7F1C6C">
      <w:pPr>
        <w:pStyle w:val="48"/>
        <w:spacing w:beforeAutospacing="0" w:afterAutospacing="0" w:line="0" w:lineRule="atLeast"/>
        <w:jc w:val="both"/>
        <w:rPr>
          <w:color w:val="auto"/>
          <w:highlight w:val="none"/>
        </w:rPr>
      </w:pPr>
      <w:r>
        <w:rPr>
          <w:rFonts w:hint="eastAsia"/>
          <w:color w:val="auto"/>
          <w:highlight w:val="none"/>
        </w:rPr>
        <w:t> </w:t>
      </w:r>
    </w:p>
    <w:p w14:paraId="4A3FDA34">
      <w:pPr>
        <w:pStyle w:val="48"/>
        <w:spacing w:beforeAutospacing="0" w:afterAutospacing="0" w:line="0" w:lineRule="atLeast"/>
        <w:jc w:val="both"/>
        <w:rPr>
          <w:color w:val="auto"/>
          <w:highlight w:val="none"/>
        </w:rPr>
      </w:pPr>
      <w:r>
        <w:rPr>
          <w:rFonts w:hint="eastAsia"/>
          <w:color w:val="auto"/>
          <w:highlight w:val="none"/>
        </w:rPr>
        <w:t> </w:t>
      </w:r>
    </w:p>
    <w:p w14:paraId="0DA25098">
      <w:pPr>
        <w:pStyle w:val="48"/>
        <w:keepNext/>
        <w:keepLines/>
        <w:spacing w:beforeAutospacing="0" w:afterAutospacing="0" w:line="415" w:lineRule="auto"/>
        <w:jc w:val="both"/>
        <w:rPr>
          <w:b/>
          <w:color w:val="auto"/>
          <w:sz w:val="32"/>
          <w:szCs w:val="32"/>
          <w:highlight w:val="none"/>
        </w:rPr>
      </w:pPr>
      <w:r>
        <w:rPr>
          <w:rFonts w:hint="eastAsia"/>
          <w:b/>
          <w:color w:val="auto"/>
          <w:highlight w:val="none"/>
        </w:rPr>
        <w:br w:type="page" w:clear="all"/>
      </w:r>
      <w:r>
        <w:rPr>
          <w:rFonts w:hint="eastAsia"/>
          <w:bCs/>
          <w:color w:val="auto"/>
          <w:sz w:val="32"/>
          <w:szCs w:val="32"/>
          <w:highlight w:val="none"/>
          <w:u w:val="single"/>
        </w:rPr>
        <w:t>八、投标函</w:t>
      </w:r>
    </w:p>
    <w:p w14:paraId="15649899">
      <w:pPr>
        <w:pStyle w:val="48"/>
        <w:spacing w:beforeAutospacing="0" w:afterAutospacing="0" w:line="0" w:lineRule="atLeast"/>
        <w:rPr>
          <w:color w:val="auto"/>
          <w:highlight w:val="none"/>
        </w:rPr>
      </w:pPr>
      <w:r>
        <w:rPr>
          <w:rFonts w:hint="eastAsia"/>
          <w:color w:val="auto"/>
          <w:highlight w:val="none"/>
        </w:rPr>
        <w:t>致：</w:t>
      </w:r>
      <w:r>
        <w:rPr>
          <w:rFonts w:hint="eastAsia"/>
          <w:color w:val="auto"/>
          <w:highlight w:val="none"/>
          <w:u w:val="single"/>
          <w:lang w:eastAsia="zh-CN"/>
        </w:rPr>
        <w:t>盐城市大丰区环境卫生管理处</w:t>
      </w:r>
      <w:r>
        <w:rPr>
          <w:rFonts w:hint="eastAsia"/>
          <w:color w:val="auto"/>
          <w:highlight w:val="none"/>
        </w:rPr>
        <w:t>根据贵方的</w:t>
      </w:r>
      <w:r>
        <w:rPr>
          <w:rFonts w:hint="eastAsia"/>
          <w:color w:val="auto"/>
          <w:highlight w:val="none"/>
          <w:u w:val="single"/>
        </w:rPr>
        <w:t xml:space="preserve">                         </w:t>
      </w:r>
      <w:r>
        <w:rPr>
          <w:rFonts w:hint="eastAsia"/>
          <w:color w:val="auto"/>
          <w:highlight w:val="none"/>
        </w:rPr>
        <w:t>号招标文件，正式授权______(姓名)代表我方______________（投标人的名称），全权处理本次项目投标的有关事宜。</w:t>
      </w:r>
    </w:p>
    <w:p w14:paraId="7434014F">
      <w:pPr>
        <w:pStyle w:val="48"/>
        <w:spacing w:beforeAutospacing="0" w:afterAutospacing="0" w:line="0" w:lineRule="atLeast"/>
        <w:rPr>
          <w:color w:val="auto"/>
          <w:highlight w:val="none"/>
        </w:rPr>
      </w:pPr>
      <w:r>
        <w:rPr>
          <w:rFonts w:hint="eastAsia"/>
          <w:color w:val="auto"/>
          <w:highlight w:val="none"/>
        </w:rPr>
        <w:t>据此函，我公司宣布同意如下：</w:t>
      </w:r>
    </w:p>
    <w:p w14:paraId="7F413F91">
      <w:pPr>
        <w:pStyle w:val="48"/>
        <w:spacing w:beforeAutospacing="0" w:afterAutospacing="0" w:line="0" w:lineRule="atLeast"/>
        <w:rPr>
          <w:color w:val="auto"/>
          <w:highlight w:val="none"/>
        </w:rPr>
      </w:pPr>
      <w:r>
        <w:rPr>
          <w:rFonts w:hint="eastAsia"/>
          <w:color w:val="auto"/>
          <w:highlight w:val="none"/>
        </w:rPr>
        <w:t>1.按招标文件规定的各项要求，向买方提供所需服务（包含与服务相关的货物）。</w:t>
      </w:r>
    </w:p>
    <w:p w14:paraId="111374A9">
      <w:pPr>
        <w:pStyle w:val="48"/>
        <w:spacing w:beforeAutospacing="0" w:afterAutospacing="0" w:line="0" w:lineRule="atLeast"/>
        <w:rPr>
          <w:color w:val="auto"/>
          <w:highlight w:val="none"/>
        </w:rPr>
      </w:pPr>
      <w:r>
        <w:rPr>
          <w:rFonts w:hint="eastAsia"/>
          <w:color w:val="auto"/>
          <w:highlight w:val="none"/>
        </w:rPr>
        <w:t>2.我们完全理解贵方不一定将合同授予最低报价的投标人。</w:t>
      </w:r>
    </w:p>
    <w:p w14:paraId="1E2FE523">
      <w:pPr>
        <w:pStyle w:val="48"/>
        <w:spacing w:beforeAutospacing="0" w:afterAutospacing="0" w:line="0" w:lineRule="atLeast"/>
        <w:rPr>
          <w:color w:val="auto"/>
          <w:highlight w:val="none"/>
        </w:rPr>
      </w:pPr>
      <w:r>
        <w:rPr>
          <w:rFonts w:hint="eastAsia"/>
          <w:color w:val="auto"/>
          <w:highlight w:val="none"/>
        </w:rPr>
        <w:t>3.我们已详细审核全部招标文件及其有效补充文件，我们知道必须放弃提出含糊不清或误解问题的权利。</w:t>
      </w:r>
    </w:p>
    <w:p w14:paraId="3797E089">
      <w:pPr>
        <w:pStyle w:val="48"/>
        <w:spacing w:beforeAutospacing="0" w:afterAutospacing="0" w:line="0" w:lineRule="atLeast"/>
        <w:rPr>
          <w:color w:val="auto"/>
          <w:highlight w:val="none"/>
        </w:rPr>
      </w:pPr>
      <w:r>
        <w:rPr>
          <w:rFonts w:hint="eastAsia"/>
          <w:color w:val="auto"/>
          <w:highlight w:val="none"/>
        </w:rPr>
        <w:t>4.我们同意从规定的开标日期起遵循本投标文件，并在规定的投标有效期期满之前均具有约束力。</w:t>
      </w:r>
    </w:p>
    <w:p w14:paraId="6A4DDED2">
      <w:pPr>
        <w:pStyle w:val="48"/>
        <w:spacing w:beforeAutospacing="0" w:afterAutospacing="0" w:line="0" w:lineRule="atLeast"/>
        <w:rPr>
          <w:color w:val="auto"/>
          <w:highlight w:val="none"/>
        </w:rPr>
      </w:pPr>
      <w:r>
        <w:rPr>
          <w:rFonts w:hint="eastAsia"/>
          <w:color w:val="auto"/>
          <w:highlight w:val="none"/>
        </w:rPr>
        <w:t>5.同意向贵方提供贵方可能另外要求的与投标有关的任何证据或资料，并保证我方已提供和将要提供的文件是真实的、准确的。</w:t>
      </w:r>
    </w:p>
    <w:p w14:paraId="01E61985">
      <w:pPr>
        <w:pStyle w:val="48"/>
        <w:spacing w:beforeAutospacing="0" w:afterAutospacing="0" w:line="0" w:lineRule="atLeast"/>
        <w:rPr>
          <w:color w:val="auto"/>
          <w:highlight w:val="none"/>
        </w:rPr>
      </w:pPr>
      <w:r>
        <w:rPr>
          <w:rFonts w:hint="eastAsia"/>
          <w:color w:val="auto"/>
          <w:highlight w:val="none"/>
        </w:rPr>
        <w:t>6.一旦我方中标,我方将根据招标文件的规定，严格履行合同的责任和义务,并保证在招标文件规定的时间完成项目，交付买方验收、使用。</w:t>
      </w:r>
    </w:p>
    <w:p w14:paraId="2FAA3654">
      <w:pPr>
        <w:pStyle w:val="48"/>
        <w:spacing w:beforeAutospacing="0" w:afterAutospacing="0" w:line="0" w:lineRule="atLeast"/>
        <w:rPr>
          <w:color w:val="auto"/>
          <w:highlight w:val="none"/>
        </w:rPr>
      </w:pPr>
      <w:r>
        <w:rPr>
          <w:rFonts w:hint="eastAsia"/>
          <w:color w:val="auto"/>
          <w:highlight w:val="none"/>
        </w:rPr>
        <w:t>7.与本投标有关的正式通讯地址为：</w:t>
      </w:r>
    </w:p>
    <w:p w14:paraId="2AE38B69">
      <w:pPr>
        <w:pStyle w:val="48"/>
        <w:spacing w:beforeAutospacing="0" w:afterAutospacing="0" w:line="0" w:lineRule="atLeast"/>
        <w:rPr>
          <w:color w:val="auto"/>
          <w:highlight w:val="none"/>
        </w:rPr>
      </w:pPr>
      <w:r>
        <w:rPr>
          <w:rFonts w:hint="eastAsia"/>
          <w:color w:val="auto"/>
          <w:highlight w:val="none"/>
        </w:rPr>
        <w:t>地          址：</w:t>
      </w:r>
    </w:p>
    <w:p w14:paraId="1259996D">
      <w:pPr>
        <w:pStyle w:val="48"/>
        <w:spacing w:beforeAutospacing="0" w:afterAutospacing="0" w:line="0" w:lineRule="atLeast"/>
        <w:rPr>
          <w:color w:val="auto"/>
          <w:highlight w:val="none"/>
        </w:rPr>
      </w:pPr>
      <w:r>
        <w:rPr>
          <w:rFonts w:hint="eastAsia"/>
          <w:color w:val="auto"/>
          <w:highlight w:val="none"/>
        </w:rPr>
        <w:t>邮          编：</w:t>
      </w:r>
    </w:p>
    <w:p w14:paraId="21E735FC">
      <w:pPr>
        <w:pStyle w:val="48"/>
        <w:spacing w:beforeAutospacing="0" w:afterAutospacing="0" w:line="0" w:lineRule="atLeast"/>
        <w:rPr>
          <w:color w:val="auto"/>
          <w:highlight w:val="none"/>
        </w:rPr>
      </w:pPr>
      <w:r>
        <w:rPr>
          <w:rFonts w:hint="eastAsia"/>
          <w:color w:val="auto"/>
          <w:highlight w:val="none"/>
        </w:rPr>
        <w:t>电          话：</w:t>
      </w:r>
    </w:p>
    <w:p w14:paraId="04741004">
      <w:pPr>
        <w:pStyle w:val="48"/>
        <w:spacing w:beforeAutospacing="0" w:afterAutospacing="0" w:line="0" w:lineRule="atLeast"/>
        <w:rPr>
          <w:color w:val="auto"/>
          <w:highlight w:val="none"/>
        </w:rPr>
      </w:pPr>
      <w:r>
        <w:rPr>
          <w:rFonts w:hint="eastAsia"/>
          <w:color w:val="auto"/>
          <w:highlight w:val="none"/>
        </w:rPr>
        <w:t>传          真：</w:t>
      </w:r>
    </w:p>
    <w:p w14:paraId="72359412">
      <w:pPr>
        <w:pStyle w:val="48"/>
        <w:spacing w:beforeAutospacing="0" w:afterAutospacing="0" w:line="0" w:lineRule="atLeast"/>
        <w:rPr>
          <w:color w:val="auto"/>
          <w:highlight w:val="none"/>
        </w:rPr>
      </w:pPr>
      <w:r>
        <w:rPr>
          <w:rFonts w:hint="eastAsia"/>
          <w:color w:val="auto"/>
          <w:highlight w:val="none"/>
        </w:rPr>
        <w:t>投标人开户行：</w:t>
      </w:r>
    </w:p>
    <w:p w14:paraId="0262C26F">
      <w:pPr>
        <w:pStyle w:val="48"/>
        <w:spacing w:beforeAutospacing="0" w:afterAutospacing="0" w:line="0" w:lineRule="atLeast"/>
        <w:rPr>
          <w:color w:val="auto"/>
          <w:highlight w:val="none"/>
        </w:rPr>
      </w:pPr>
      <w:r>
        <w:rPr>
          <w:rFonts w:hint="eastAsia"/>
          <w:color w:val="auto"/>
          <w:highlight w:val="none"/>
        </w:rPr>
        <w:t xml:space="preserve">账          号： </w:t>
      </w:r>
    </w:p>
    <w:p w14:paraId="2FEEC2AA">
      <w:pPr>
        <w:pStyle w:val="48"/>
        <w:spacing w:beforeAutospacing="0" w:afterAutospacing="0" w:line="0" w:lineRule="atLeast"/>
        <w:rPr>
          <w:color w:val="auto"/>
          <w:highlight w:val="none"/>
        </w:rPr>
      </w:pPr>
      <w:r>
        <w:rPr>
          <w:rFonts w:hint="eastAsia"/>
          <w:color w:val="auto"/>
          <w:highlight w:val="none"/>
        </w:rPr>
        <w:t>日          期：________年____月____日</w:t>
      </w:r>
    </w:p>
    <w:p w14:paraId="54238695">
      <w:pPr>
        <w:pStyle w:val="48"/>
        <w:spacing w:beforeAutospacing="0" w:afterAutospacing="0" w:line="0" w:lineRule="atLeast"/>
        <w:jc w:val="center"/>
        <w:rPr>
          <w:color w:val="auto"/>
          <w:highlight w:val="none"/>
        </w:rPr>
      </w:pPr>
      <w:r>
        <w:rPr>
          <w:rFonts w:hint="eastAsia"/>
          <w:color w:val="auto"/>
          <w:highlight w:val="none"/>
        </w:rPr>
        <w:t> </w:t>
      </w:r>
    </w:p>
    <w:p w14:paraId="0A720A7A">
      <w:pPr>
        <w:pStyle w:val="48"/>
        <w:spacing w:beforeAutospacing="0" w:afterAutospacing="0" w:line="0" w:lineRule="atLeast"/>
        <w:jc w:val="center"/>
        <w:rPr>
          <w:color w:val="auto"/>
          <w:highlight w:val="none"/>
        </w:rPr>
      </w:pPr>
      <w:r>
        <w:rPr>
          <w:rFonts w:hint="eastAsia"/>
          <w:color w:val="auto"/>
          <w:highlight w:val="none"/>
        </w:rPr>
        <w:t> </w:t>
      </w:r>
    </w:p>
    <w:p w14:paraId="0EE76A56">
      <w:pPr>
        <w:pStyle w:val="48"/>
        <w:spacing w:beforeAutospacing="0" w:afterAutospacing="0" w:line="0" w:lineRule="atLeast"/>
        <w:jc w:val="center"/>
        <w:rPr>
          <w:color w:val="auto"/>
          <w:highlight w:val="none"/>
        </w:rPr>
      </w:pPr>
      <w:r>
        <w:rPr>
          <w:rFonts w:hint="eastAsia"/>
          <w:color w:val="auto"/>
          <w:highlight w:val="none"/>
        </w:rPr>
        <w:t> </w:t>
      </w:r>
    </w:p>
    <w:p w14:paraId="6930C13B">
      <w:pPr>
        <w:pStyle w:val="48"/>
        <w:spacing w:beforeAutospacing="0" w:afterAutospacing="0" w:line="0" w:lineRule="atLeast"/>
        <w:jc w:val="center"/>
        <w:rPr>
          <w:color w:val="auto"/>
          <w:highlight w:val="none"/>
        </w:rPr>
      </w:pPr>
      <w:r>
        <w:rPr>
          <w:rFonts w:hint="eastAsia"/>
          <w:color w:val="auto"/>
          <w:highlight w:val="none"/>
        </w:rPr>
        <w:t> </w:t>
      </w:r>
    </w:p>
    <w:p w14:paraId="77DCC6FF">
      <w:pPr>
        <w:pStyle w:val="48"/>
        <w:spacing w:beforeAutospacing="0" w:afterAutospacing="0" w:line="0" w:lineRule="atLeast"/>
        <w:jc w:val="center"/>
        <w:rPr>
          <w:color w:val="auto"/>
          <w:highlight w:val="none"/>
        </w:rPr>
      </w:pPr>
      <w:r>
        <w:rPr>
          <w:rFonts w:hint="eastAsia"/>
          <w:color w:val="auto"/>
          <w:highlight w:val="none"/>
        </w:rPr>
        <w:t> </w:t>
      </w:r>
    </w:p>
    <w:p w14:paraId="209B12F6">
      <w:pPr>
        <w:pStyle w:val="48"/>
        <w:spacing w:beforeAutospacing="0" w:afterAutospacing="0" w:line="0" w:lineRule="atLeast"/>
        <w:jc w:val="center"/>
        <w:rPr>
          <w:color w:val="auto"/>
          <w:highlight w:val="none"/>
        </w:rPr>
      </w:pPr>
    </w:p>
    <w:p w14:paraId="73F8C2A9">
      <w:pPr>
        <w:pStyle w:val="48"/>
        <w:spacing w:beforeAutospacing="0" w:afterAutospacing="0" w:line="0" w:lineRule="atLeast"/>
        <w:jc w:val="center"/>
        <w:rPr>
          <w:color w:val="auto"/>
          <w:highlight w:val="none"/>
        </w:rPr>
      </w:pPr>
    </w:p>
    <w:p w14:paraId="3D168756">
      <w:pPr>
        <w:pStyle w:val="48"/>
        <w:spacing w:beforeAutospacing="0" w:afterAutospacing="0" w:line="0" w:lineRule="atLeast"/>
        <w:jc w:val="center"/>
        <w:rPr>
          <w:color w:val="auto"/>
          <w:highlight w:val="none"/>
        </w:rPr>
      </w:pPr>
    </w:p>
    <w:p w14:paraId="55E8C602">
      <w:pPr>
        <w:pStyle w:val="48"/>
        <w:spacing w:beforeAutospacing="0" w:afterAutospacing="0" w:line="0" w:lineRule="atLeast"/>
        <w:jc w:val="center"/>
        <w:rPr>
          <w:color w:val="auto"/>
          <w:highlight w:val="none"/>
        </w:rPr>
      </w:pPr>
    </w:p>
    <w:p w14:paraId="4288C070">
      <w:pPr>
        <w:pStyle w:val="48"/>
        <w:spacing w:beforeAutospacing="0" w:afterAutospacing="0" w:line="0" w:lineRule="atLeast"/>
        <w:jc w:val="center"/>
        <w:rPr>
          <w:color w:val="auto"/>
          <w:highlight w:val="none"/>
        </w:rPr>
      </w:pPr>
    </w:p>
    <w:p w14:paraId="55DAA4E3">
      <w:pPr>
        <w:pStyle w:val="48"/>
        <w:spacing w:beforeAutospacing="0" w:afterAutospacing="0" w:line="0" w:lineRule="atLeast"/>
        <w:jc w:val="both"/>
        <w:rPr>
          <w:color w:val="auto"/>
          <w:highlight w:val="none"/>
        </w:rPr>
      </w:pPr>
    </w:p>
    <w:p w14:paraId="5A828125">
      <w:pPr>
        <w:pStyle w:val="48"/>
        <w:spacing w:beforeAutospacing="0" w:afterAutospacing="0" w:line="0" w:lineRule="atLeast"/>
        <w:rPr>
          <w:color w:val="auto"/>
          <w:highlight w:val="none"/>
        </w:rPr>
      </w:pPr>
      <w:r>
        <w:rPr>
          <w:rFonts w:hint="eastAsia"/>
          <w:b/>
          <w:color w:val="auto"/>
          <w:sz w:val="32"/>
          <w:szCs w:val="32"/>
          <w:highlight w:val="none"/>
          <w:u w:val="single"/>
        </w:rPr>
        <w:t>九、小微企业声明函（货物）</w:t>
      </w:r>
    </w:p>
    <w:p w14:paraId="3398A174">
      <w:pPr>
        <w:pStyle w:val="48"/>
        <w:spacing w:before="0" w:beforeAutospacing="0" w:after="0" w:afterAutospacing="0" w:line="440" w:lineRule="exact"/>
        <w:ind w:firstLine="360"/>
        <w:jc w:val="both"/>
        <w:rPr>
          <w:color w:val="auto"/>
          <w:highlight w:val="none"/>
        </w:rPr>
      </w:pPr>
      <w:r>
        <w:rPr>
          <w:rFonts w:hint="eastAsia"/>
          <w:color w:val="auto"/>
          <w:highlight w:val="none"/>
        </w:rPr>
        <w:t>本公司郑重声明，根据《政府采购促进中小企业发展管理办法》(财库[2020]46号)的规定，本公司参加江苏昱丰华项目管理有限公司组织的</w:t>
      </w:r>
      <w:r>
        <w:rPr>
          <w:rFonts w:hint="eastAsia"/>
          <w:color w:val="auto"/>
          <w:highlight w:val="none"/>
          <w:u w:val="single"/>
        </w:rPr>
        <w:t>（单位名称）</w:t>
      </w:r>
      <w:r>
        <w:rPr>
          <w:rFonts w:hint="eastAsia"/>
          <w:color w:val="auto"/>
          <w:highlight w:val="none"/>
        </w:rPr>
        <w:t>采购编号为</w:t>
      </w:r>
      <w:r>
        <w:rPr>
          <w:rFonts w:hint="eastAsia"/>
          <w:color w:val="auto"/>
          <w:highlight w:val="none"/>
          <w:u w:val="single"/>
        </w:rPr>
        <w:t xml:space="preserve">    ***    </w:t>
      </w:r>
      <w:r>
        <w:rPr>
          <w:rFonts w:hint="eastAsia"/>
          <w:color w:val="auto"/>
          <w:highlight w:val="none"/>
        </w:rPr>
        <w:t>，</w:t>
      </w:r>
      <w:r>
        <w:rPr>
          <w:rFonts w:hint="eastAsia"/>
          <w:color w:val="auto"/>
          <w:highlight w:val="none"/>
          <w:u w:val="single"/>
        </w:rPr>
        <w:t>（项目名称）（分包号：**）</w:t>
      </w:r>
      <w:r>
        <w:rPr>
          <w:rFonts w:hint="eastAsia"/>
          <w:color w:val="auto"/>
          <w:highlight w:val="none"/>
        </w:rPr>
        <w:t>的采购活动，提供的货物全部由符合政策要求的小微企业制造。根据《工业和信息化部、国家统计局、国家发展和改革委员会、财政部关于印发中小企业划型标准规定的通知》(工信部联企业[2011]300号)的规定，相关企业的具体情况如下：</w:t>
      </w:r>
    </w:p>
    <w:p w14:paraId="1C6AE894">
      <w:pPr>
        <w:pStyle w:val="48"/>
        <w:spacing w:before="0" w:beforeAutospacing="0" w:after="0" w:afterAutospacing="0" w:line="440" w:lineRule="exact"/>
        <w:ind w:firstLine="360"/>
        <w:jc w:val="both"/>
        <w:rPr>
          <w:color w:val="auto"/>
          <w:highlight w:val="none"/>
        </w:rPr>
      </w:pPr>
      <w:r>
        <w:rPr>
          <w:rFonts w:hint="eastAsia"/>
          <w:color w:val="auto"/>
          <w:highlight w:val="none"/>
        </w:rPr>
        <w:t>1.</w:t>
      </w:r>
      <w:r>
        <w:rPr>
          <w:rFonts w:hint="eastAsia"/>
          <w:color w:val="auto"/>
          <w:highlight w:val="none"/>
          <w:u w:val="single"/>
        </w:rPr>
        <w:t>（标的名称）</w:t>
      </w:r>
      <w:r>
        <w:rPr>
          <w:rFonts w:hint="eastAsia"/>
          <w:i/>
          <w:color w:val="auto"/>
          <w:highlight w:val="none"/>
        </w:rPr>
        <w:t>，</w:t>
      </w:r>
      <w:r>
        <w:rPr>
          <w:rFonts w:hint="eastAsia"/>
          <w:color w:val="auto"/>
          <w:highlight w:val="none"/>
        </w:rPr>
        <w:t>属于</w:t>
      </w:r>
      <w:r>
        <w:rPr>
          <w:rFonts w:hint="eastAsia"/>
          <w:color w:val="auto"/>
          <w:highlight w:val="none"/>
          <w:u w:val="single"/>
        </w:rPr>
        <w:t xml:space="preserve">       </w:t>
      </w:r>
      <w:r>
        <w:rPr>
          <w:rFonts w:hint="eastAsia"/>
          <w:color w:val="auto"/>
          <w:highlight w:val="none"/>
        </w:rPr>
        <w:t>行业；制造商为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（小型企业、微型企业）；</w:t>
      </w:r>
    </w:p>
    <w:p w14:paraId="5D55C3E8">
      <w:pPr>
        <w:pStyle w:val="48"/>
        <w:spacing w:before="0" w:beforeAutospacing="0" w:after="0" w:afterAutospacing="0" w:line="440" w:lineRule="exact"/>
        <w:ind w:firstLine="360"/>
        <w:jc w:val="both"/>
        <w:rPr>
          <w:color w:val="auto"/>
          <w:highlight w:val="none"/>
        </w:rPr>
      </w:pPr>
      <w:r>
        <w:rPr>
          <w:rFonts w:hint="eastAsia"/>
          <w:color w:val="auto"/>
          <w:highlight w:val="none"/>
        </w:rPr>
        <w:t>2.</w:t>
      </w:r>
      <w:r>
        <w:rPr>
          <w:rFonts w:hint="eastAsia"/>
          <w:color w:val="auto"/>
          <w:highlight w:val="none"/>
          <w:u w:val="single"/>
        </w:rPr>
        <w:t>（标的名称）</w:t>
      </w:r>
      <w:r>
        <w:rPr>
          <w:rFonts w:hint="eastAsia"/>
          <w:i/>
          <w:color w:val="auto"/>
          <w:highlight w:val="none"/>
        </w:rPr>
        <w:t>，</w:t>
      </w:r>
      <w:r>
        <w:rPr>
          <w:rFonts w:hint="eastAsia"/>
          <w:color w:val="auto"/>
          <w:highlight w:val="none"/>
        </w:rPr>
        <w:t>属于</w:t>
      </w:r>
      <w:r>
        <w:rPr>
          <w:rFonts w:hint="eastAsia"/>
          <w:color w:val="auto"/>
          <w:highlight w:val="none"/>
          <w:u w:val="single"/>
        </w:rPr>
        <w:t xml:space="preserve">       </w:t>
      </w:r>
      <w:r>
        <w:rPr>
          <w:rFonts w:hint="eastAsia"/>
          <w:color w:val="auto"/>
          <w:highlight w:val="none"/>
        </w:rPr>
        <w:t>行业；制造商为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（小型企业、微型企业）；</w:t>
      </w:r>
    </w:p>
    <w:p w14:paraId="2E0C7626">
      <w:pPr>
        <w:pStyle w:val="48"/>
        <w:spacing w:before="0" w:beforeAutospacing="0" w:after="0" w:afterAutospacing="0" w:line="440" w:lineRule="exact"/>
        <w:ind w:firstLine="360"/>
        <w:jc w:val="both"/>
        <w:rPr>
          <w:color w:val="auto"/>
          <w:highlight w:val="none"/>
        </w:rPr>
      </w:pPr>
      <w:r>
        <w:rPr>
          <w:rFonts w:hint="eastAsia"/>
          <w:color w:val="auto"/>
          <w:highlight w:val="none"/>
        </w:rPr>
        <w:t>……</w:t>
      </w:r>
    </w:p>
    <w:p w14:paraId="55B9370A">
      <w:pPr>
        <w:pStyle w:val="48"/>
        <w:spacing w:before="0" w:beforeAutospacing="0" w:after="0" w:afterAutospacing="0" w:line="440" w:lineRule="exact"/>
        <w:ind w:firstLine="360"/>
        <w:jc w:val="both"/>
        <w:rPr>
          <w:color w:val="auto"/>
          <w:highlight w:val="none"/>
        </w:rPr>
      </w:pPr>
      <w:r>
        <w:rPr>
          <w:rFonts w:hint="eastAsia"/>
          <w:color w:val="auto"/>
          <w:highlight w:val="none"/>
        </w:rPr>
        <w:t>以上企业，不属于大企业的分支机构，不存在控股股东为大企业的情形，也不存在与大企业的负责人为同一人的情形。</w:t>
      </w:r>
    </w:p>
    <w:p w14:paraId="2CD4DE3F">
      <w:pPr>
        <w:pStyle w:val="48"/>
        <w:spacing w:before="0" w:beforeAutospacing="0" w:after="0" w:afterAutospacing="0" w:line="440" w:lineRule="exact"/>
        <w:ind w:firstLine="360"/>
        <w:jc w:val="both"/>
        <w:rPr>
          <w:color w:val="auto"/>
          <w:highlight w:val="none"/>
        </w:rPr>
      </w:pPr>
      <w:r>
        <w:rPr>
          <w:rFonts w:hint="eastAsia"/>
          <w:color w:val="auto"/>
          <w:highlight w:val="none"/>
        </w:rPr>
        <w:t>本企业对上述声明内容的真实性负责。如有虚假，将依法承担相应责任</w:t>
      </w:r>
    </w:p>
    <w:p w14:paraId="2A725AE6">
      <w:pPr>
        <w:pStyle w:val="48"/>
        <w:spacing w:before="0" w:beforeAutospacing="0" w:after="0" w:afterAutospacing="0" w:line="440" w:lineRule="exact"/>
        <w:jc w:val="both"/>
        <w:rPr>
          <w:color w:val="auto"/>
          <w:highlight w:val="none"/>
        </w:rPr>
      </w:pPr>
      <w:r>
        <w:rPr>
          <w:rFonts w:hint="eastAsia"/>
          <w:color w:val="auto"/>
          <w:highlight w:val="none"/>
        </w:rPr>
        <w:t> </w:t>
      </w:r>
    </w:p>
    <w:p w14:paraId="788A8904">
      <w:pPr>
        <w:pStyle w:val="48"/>
        <w:spacing w:before="0" w:beforeAutospacing="0" w:after="0" w:afterAutospacing="0" w:line="440" w:lineRule="exact"/>
        <w:ind w:firstLine="360"/>
        <w:jc w:val="center"/>
        <w:rPr>
          <w:color w:val="auto"/>
          <w:highlight w:val="none"/>
        </w:rPr>
      </w:pPr>
      <w:r>
        <w:rPr>
          <w:rFonts w:hint="eastAsia"/>
          <w:color w:val="auto"/>
          <w:highlight w:val="none"/>
        </w:rPr>
        <w:t xml:space="preserve">                                   企业名称（加盖</w:t>
      </w:r>
      <w:bookmarkStart w:id="182" w:name="OLE_LINK11"/>
      <w:r>
        <w:rPr>
          <w:rFonts w:hint="eastAsia"/>
          <w:color w:val="auto"/>
          <w:highlight w:val="none"/>
        </w:rPr>
        <w:t>CA电子</w:t>
      </w:r>
      <w:bookmarkEnd w:id="182"/>
      <w:r>
        <w:rPr>
          <w:rFonts w:hint="eastAsia"/>
          <w:color w:val="auto"/>
          <w:highlight w:val="none"/>
        </w:rPr>
        <w:t>公章）：</w:t>
      </w:r>
    </w:p>
    <w:p w14:paraId="268F994D">
      <w:pPr>
        <w:pStyle w:val="48"/>
        <w:spacing w:before="0" w:beforeAutospacing="0" w:after="0" w:afterAutospacing="0" w:line="440" w:lineRule="exact"/>
        <w:ind w:firstLine="5400"/>
        <w:jc w:val="both"/>
        <w:rPr>
          <w:color w:val="auto"/>
          <w:highlight w:val="none"/>
        </w:rPr>
      </w:pPr>
      <w:r>
        <w:rPr>
          <w:rFonts w:hint="eastAsia"/>
          <w:color w:val="auto"/>
          <w:highlight w:val="none"/>
        </w:rPr>
        <w:t>日  期：</w:t>
      </w:r>
    </w:p>
    <w:p w14:paraId="7398CBF8">
      <w:pPr>
        <w:pStyle w:val="48"/>
        <w:spacing w:before="0" w:beforeAutospacing="0" w:after="0" w:afterAutospacing="0" w:line="440" w:lineRule="exact"/>
        <w:ind w:firstLine="360"/>
        <w:jc w:val="both"/>
        <w:rPr>
          <w:color w:val="auto"/>
          <w:highlight w:val="none"/>
        </w:rPr>
      </w:pPr>
      <w:r>
        <w:rPr>
          <w:rFonts w:hint="eastAsia"/>
          <w:color w:val="auto"/>
          <w:highlight w:val="none"/>
        </w:rPr>
        <w:t> </w:t>
      </w:r>
    </w:p>
    <w:p w14:paraId="27262CCE">
      <w:pPr>
        <w:pStyle w:val="48"/>
        <w:spacing w:before="0" w:beforeAutospacing="0" w:after="0" w:afterAutospacing="0" w:line="440" w:lineRule="exact"/>
        <w:ind w:firstLine="480"/>
        <w:jc w:val="both"/>
        <w:rPr>
          <w:color w:val="auto"/>
          <w:highlight w:val="none"/>
        </w:rPr>
      </w:pPr>
      <w:r>
        <w:rPr>
          <w:rFonts w:hint="eastAsia"/>
          <w:color w:val="auto"/>
          <w:highlight w:val="none"/>
        </w:rPr>
        <w:t>备注1：从业人员、营业收入、资产总额填报上一年度数据，无上一年度数据的新成立企业可不填报。</w:t>
      </w:r>
    </w:p>
    <w:p w14:paraId="742C4C63">
      <w:pPr>
        <w:pStyle w:val="48"/>
        <w:spacing w:before="0" w:beforeAutospacing="0" w:after="0" w:afterAutospacing="0" w:line="440" w:lineRule="exact"/>
        <w:ind w:firstLine="480"/>
        <w:jc w:val="both"/>
        <w:rPr>
          <w:color w:val="auto"/>
          <w:highlight w:val="none"/>
        </w:rPr>
      </w:pPr>
      <w:r>
        <w:rPr>
          <w:rFonts w:hint="eastAsia"/>
          <w:color w:val="auto"/>
          <w:highlight w:val="none"/>
        </w:rPr>
        <w:t>备注2：供应商如不提供此声明函，价格将不做相应扣除（如项目全面面向中小企业，则资格审查不通过）。</w:t>
      </w:r>
    </w:p>
    <w:p w14:paraId="3BE15B6E">
      <w:pPr>
        <w:pStyle w:val="48"/>
        <w:spacing w:beforeAutospacing="0" w:afterAutospacing="0" w:line="0" w:lineRule="atLeast"/>
        <w:jc w:val="both"/>
        <w:rPr>
          <w:color w:val="auto"/>
          <w:highlight w:val="none"/>
        </w:rPr>
      </w:pPr>
      <w:r>
        <w:rPr>
          <w:rFonts w:hint="eastAsia" w:ascii="黑体" w:hAnsi="宋体" w:eastAsia="黑体" w:cs="黑体"/>
          <w:b/>
          <w:color w:val="auto"/>
          <w:sz w:val="32"/>
          <w:szCs w:val="32"/>
          <w:highlight w:val="none"/>
        </w:rPr>
        <w:t>小微企业声明函（服务）</w:t>
      </w:r>
    </w:p>
    <w:p w14:paraId="34537F67">
      <w:pPr>
        <w:pStyle w:val="48"/>
        <w:keepNext w:val="0"/>
        <w:keepLines w:val="0"/>
        <w:pageBreakBefore w:val="0"/>
        <w:widowControl w:val="0"/>
        <w:spacing w:beforeAutospacing="0" w:afterAutospacing="0" w:line="500" w:lineRule="exact"/>
        <w:ind w:firstLine="650" w:firstLineChars="271"/>
        <w:jc w:val="both"/>
        <w:rPr>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本公司（联合体）郑重声明，根据《政府采购促进中小企业发展管理办法》(财库[2020]46号)的规定，本公司（联合体）参加</w:t>
      </w:r>
      <w:r>
        <w:rPr>
          <w:rFonts w:hint="eastAsia" w:ascii="宋体" w:hAnsi="宋体" w:eastAsia="宋体" w:cs="宋体"/>
          <w:color w:val="auto"/>
          <w:highlight w:val="none"/>
          <w:lang w:val="en-US" w:eastAsia="zh-CN"/>
        </w:rPr>
        <w:t>采购人</w:t>
      </w:r>
      <w:r>
        <w:rPr>
          <w:rFonts w:hint="eastAsia" w:ascii="宋体" w:hAnsi="宋体" w:eastAsia="宋体" w:cs="宋体"/>
          <w:color w:val="auto"/>
          <w:highlight w:val="none"/>
        </w:rPr>
        <w:t>组织的</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采购编号为</w:t>
      </w:r>
      <w:r>
        <w:rPr>
          <w:rFonts w:hint="eastAsia" w:ascii="宋体" w:hAnsi="宋体" w:eastAsia="宋体" w:cs="宋体"/>
          <w:color w:val="auto"/>
          <w:highlight w:val="none"/>
          <w:u w:val="single"/>
        </w:rPr>
        <w:t>***</w:t>
      </w:r>
      <w:r>
        <w:rPr>
          <w:rFonts w:hint="eastAsia" w:ascii="宋体" w:hAnsi="宋体" w:eastAsia="宋体" w:cs="宋体"/>
          <w:color w:val="auto"/>
          <w:highlight w:val="none"/>
        </w:rPr>
        <w:t>，</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的采购活动，服务全部由符合政策的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p>
    <w:p w14:paraId="09AD4E1B">
      <w:pPr>
        <w:pStyle w:val="48"/>
        <w:keepNext w:val="0"/>
        <w:keepLines w:val="0"/>
        <w:pageBreakBefore w:val="0"/>
        <w:widowControl w:val="0"/>
        <w:spacing w:beforeAutospacing="0" w:afterAutospacing="0" w:line="500" w:lineRule="exact"/>
        <w:ind w:firstLine="360"/>
        <w:jc w:val="both"/>
        <w:rPr>
          <w:rFonts w:hint="eastAsia" w:ascii="宋体" w:hAnsi="宋体" w:eastAsia="宋体" w:cs="宋体"/>
          <w:color w:val="auto"/>
          <w:highlight w:val="none"/>
          <w:u w:val="single"/>
        </w:rPr>
      </w:pPr>
      <w:r>
        <w:rPr>
          <w:rFonts w:hint="eastAsia" w:ascii="宋体" w:hAnsi="宋体" w:eastAsia="宋体" w:cs="宋体"/>
          <w:color w:val="auto"/>
          <w:highlight w:val="none"/>
          <w:u w:val="single"/>
        </w:rPr>
        <w:t>（标的名称）</w:t>
      </w:r>
      <w:r>
        <w:rPr>
          <w:rFonts w:hint="eastAsia" w:ascii="宋体" w:hAnsi="宋体" w:eastAsia="宋体" w:cs="宋体"/>
          <w:i/>
          <w:color w:val="auto"/>
          <w:highlight w:val="none"/>
        </w:rPr>
        <w:t>，</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（采购文件中明确的所属行业-</w:t>
      </w:r>
      <w:r>
        <w:rPr>
          <w:rFonts w:hint="eastAsia" w:ascii="宋体" w:hAnsi="宋体" w:eastAsia="宋体" w:cs="宋体"/>
          <w:b/>
          <w:bCs/>
          <w:color w:val="auto"/>
          <w:highlight w:val="none"/>
          <w:u w:val="single"/>
        </w:rPr>
        <w:t>服务</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行业；承接企业为</w:t>
      </w:r>
      <w:r>
        <w:rPr>
          <w:rFonts w:hint="eastAsia" w:ascii="宋体" w:hAnsi="宋体" w:eastAsia="宋体" w:cs="宋体"/>
          <w:color w:val="auto"/>
          <w:highlight w:val="none"/>
          <w:u w:val="single"/>
        </w:rPr>
        <w:t>（企业名</w:t>
      </w:r>
    </w:p>
    <w:p w14:paraId="090E87AD">
      <w:pPr>
        <w:pStyle w:val="48"/>
        <w:keepNext w:val="0"/>
        <w:keepLines w:val="0"/>
        <w:pageBreakBefore w:val="0"/>
        <w:widowControl w:val="0"/>
        <w:spacing w:beforeAutospacing="0" w:afterAutospacing="0" w:line="500" w:lineRule="exact"/>
        <w:jc w:val="both"/>
        <w:rPr>
          <w:rFonts w:hint="eastAsia" w:eastAsia="宋体"/>
          <w:color w:val="auto"/>
          <w:highlight w:val="none"/>
          <w:lang w:eastAsia="zh-CN"/>
        </w:rPr>
      </w:pPr>
      <w:r>
        <w:rPr>
          <w:rFonts w:hint="eastAsia" w:ascii="宋体" w:hAnsi="宋体" w:eastAsia="宋体" w:cs="宋体"/>
          <w:color w:val="auto"/>
          <w:highlight w:val="none"/>
          <w:u w:val="single"/>
        </w:rPr>
        <w:t>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w:t>
      </w:r>
      <w:r>
        <w:rPr>
          <w:rFonts w:hint="eastAsia" w:ascii="宋体" w:hAnsi="宋体" w:eastAsia="宋体" w:cs="宋体"/>
          <w:color w:val="auto"/>
          <w:highlight w:val="none"/>
          <w:vertAlign w:val="superscript"/>
        </w:rPr>
        <w:t>1</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（小型企业、微型企业）</w:t>
      </w:r>
      <w:r>
        <w:rPr>
          <w:rFonts w:hint="eastAsia" w:ascii="宋体" w:hAnsi="宋体" w:eastAsia="宋体" w:cs="宋体"/>
          <w:color w:val="auto"/>
          <w:highlight w:val="none"/>
          <w:u w:val="single"/>
          <w:lang w:eastAsia="zh-CN"/>
        </w:rPr>
        <w:t>。</w:t>
      </w:r>
    </w:p>
    <w:p w14:paraId="1FA28DD9">
      <w:pPr>
        <w:pStyle w:val="48"/>
        <w:keepNext w:val="0"/>
        <w:keepLines w:val="0"/>
        <w:pageBreakBefore w:val="0"/>
        <w:widowControl w:val="0"/>
        <w:spacing w:beforeAutospacing="0" w:afterAutospacing="0" w:line="500" w:lineRule="exact"/>
        <w:ind w:firstLine="360"/>
        <w:jc w:val="both"/>
        <w:rPr>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14:paraId="57387D37">
      <w:pPr>
        <w:pStyle w:val="48"/>
        <w:keepNext w:val="0"/>
        <w:keepLines w:val="0"/>
        <w:pageBreakBefore w:val="0"/>
        <w:widowControl w:val="0"/>
        <w:spacing w:beforeAutospacing="0" w:afterAutospacing="0" w:line="500" w:lineRule="exact"/>
        <w:ind w:firstLine="360"/>
        <w:jc w:val="both"/>
        <w:rPr>
          <w:color w:val="auto"/>
          <w:highlight w:val="none"/>
        </w:rPr>
      </w:pPr>
      <w:r>
        <w:rPr>
          <w:rFonts w:hint="eastAsia" w:ascii="宋体" w:hAnsi="宋体" w:eastAsia="宋体" w:cs="宋体"/>
          <w:color w:val="auto"/>
          <w:highlight w:val="none"/>
        </w:rPr>
        <w:t>本企业对上述声明内容的真实性负责。如有虚假，将依法承担相应责任</w:t>
      </w:r>
    </w:p>
    <w:p w14:paraId="704610A9">
      <w:pPr>
        <w:pStyle w:val="48"/>
        <w:keepNext w:val="0"/>
        <w:keepLines w:val="0"/>
        <w:pageBreakBefore w:val="0"/>
        <w:widowControl w:val="0"/>
        <w:spacing w:beforeAutospacing="0" w:afterAutospacing="0" w:line="500" w:lineRule="exact"/>
        <w:ind w:right="720"/>
        <w:jc w:val="both"/>
        <w:rPr>
          <w:color w:val="auto"/>
          <w:highlight w:val="none"/>
        </w:rPr>
      </w:pPr>
      <w:r>
        <w:rPr>
          <w:color w:val="auto"/>
          <w:highlight w:val="none"/>
        </w:rPr>
        <w:t> </w:t>
      </w:r>
    </w:p>
    <w:p w14:paraId="7C49D7D4">
      <w:pPr>
        <w:pStyle w:val="48"/>
        <w:keepNext w:val="0"/>
        <w:keepLines w:val="0"/>
        <w:pageBreakBefore w:val="0"/>
        <w:widowControl w:val="0"/>
        <w:spacing w:beforeAutospacing="0" w:afterAutospacing="0" w:line="500" w:lineRule="exact"/>
        <w:ind w:right="180" w:firstLine="360"/>
        <w:jc w:val="right"/>
        <w:rPr>
          <w:color w:val="auto"/>
          <w:highlight w:val="none"/>
        </w:rPr>
      </w:pPr>
      <w:r>
        <w:rPr>
          <w:rFonts w:hint="eastAsia" w:ascii="宋体" w:hAnsi="宋体" w:eastAsia="宋体" w:cs="宋体"/>
          <w:color w:val="auto"/>
          <w:highlight w:val="none"/>
        </w:rPr>
        <w:t>企业名称（加盖CA电子公章）：</w:t>
      </w:r>
    </w:p>
    <w:p w14:paraId="7316A61C">
      <w:pPr>
        <w:pStyle w:val="48"/>
        <w:keepNext w:val="0"/>
        <w:keepLines w:val="0"/>
        <w:pageBreakBefore w:val="0"/>
        <w:widowControl w:val="0"/>
        <w:spacing w:beforeAutospacing="0" w:afterAutospacing="0" w:line="500" w:lineRule="exact"/>
        <w:ind w:right="480" w:firstLine="7128" w:firstLineChars="2970"/>
        <w:jc w:val="both"/>
        <w:rPr>
          <w:color w:val="auto"/>
          <w:highlight w:val="none"/>
        </w:rPr>
      </w:pPr>
      <w:r>
        <w:rPr>
          <w:rFonts w:hint="eastAsia" w:ascii="宋体" w:hAnsi="宋体" w:eastAsia="宋体" w:cs="宋体"/>
          <w:color w:val="auto"/>
          <w:highlight w:val="none"/>
        </w:rPr>
        <w:t>日  期：</w:t>
      </w:r>
    </w:p>
    <w:p w14:paraId="05AB09CE">
      <w:pPr>
        <w:pStyle w:val="48"/>
        <w:keepNext w:val="0"/>
        <w:keepLines w:val="0"/>
        <w:pageBreakBefore w:val="0"/>
        <w:widowControl w:val="0"/>
        <w:spacing w:beforeAutospacing="0" w:afterAutospacing="0" w:line="500" w:lineRule="exact"/>
        <w:ind w:firstLine="240"/>
        <w:jc w:val="both"/>
        <w:rPr>
          <w:color w:val="auto"/>
          <w:highlight w:val="none"/>
        </w:rPr>
      </w:pPr>
      <w:r>
        <w:rPr>
          <w:color w:val="auto"/>
          <w:highlight w:val="none"/>
        </w:rPr>
        <w:t> </w:t>
      </w:r>
    </w:p>
    <w:p w14:paraId="17E51EC6">
      <w:pPr>
        <w:pStyle w:val="48"/>
        <w:keepNext w:val="0"/>
        <w:keepLines w:val="0"/>
        <w:pageBreakBefore w:val="0"/>
        <w:widowControl w:val="0"/>
        <w:spacing w:beforeAutospacing="0" w:afterAutospacing="0" w:line="500" w:lineRule="exact"/>
        <w:ind w:firstLine="480"/>
        <w:jc w:val="both"/>
        <w:rPr>
          <w:color w:val="auto"/>
          <w:highlight w:val="none"/>
        </w:rPr>
      </w:pPr>
      <w:r>
        <w:rPr>
          <w:rFonts w:hint="eastAsia" w:ascii="宋体" w:hAnsi="宋体" w:eastAsia="宋体" w:cs="宋体"/>
          <w:color w:val="auto"/>
          <w:highlight w:val="none"/>
        </w:rPr>
        <w:t>备注1：从业人员、营业收入、资产总额填报上一年度数据，无上一年度数据的新成立企业可不填报。</w:t>
      </w:r>
    </w:p>
    <w:p w14:paraId="5DF8D5FC">
      <w:pPr>
        <w:pStyle w:val="48"/>
        <w:keepNext w:val="0"/>
        <w:keepLines w:val="0"/>
        <w:pageBreakBefore w:val="0"/>
        <w:widowControl w:val="0"/>
        <w:spacing w:beforeAutospacing="0" w:afterAutospacing="0" w:line="500" w:lineRule="exact"/>
        <w:ind w:firstLine="480"/>
        <w:jc w:val="both"/>
        <w:rPr>
          <w:color w:val="auto"/>
          <w:highlight w:val="none"/>
        </w:rPr>
      </w:pPr>
      <w:r>
        <w:rPr>
          <w:rFonts w:hint="eastAsia" w:ascii="宋体" w:hAnsi="宋体" w:eastAsia="宋体" w:cs="宋体"/>
          <w:color w:val="auto"/>
          <w:highlight w:val="none"/>
        </w:rPr>
        <w:t>备注2：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如不提供此声明函，价格将不做相应扣除。</w:t>
      </w:r>
    </w:p>
    <w:p w14:paraId="5246FD76">
      <w:pPr>
        <w:pStyle w:val="48"/>
        <w:spacing w:before="0" w:beforeAutospacing="0" w:after="0" w:afterAutospacing="0" w:line="0" w:lineRule="atLeast"/>
        <w:rPr>
          <w:color w:val="auto"/>
          <w:highlight w:val="none"/>
        </w:rPr>
      </w:pPr>
      <w:r>
        <w:rPr>
          <w:rFonts w:hint="eastAsia"/>
          <w:b/>
          <w:color w:val="auto"/>
          <w:sz w:val="32"/>
          <w:szCs w:val="32"/>
          <w:highlight w:val="none"/>
        </w:rPr>
        <w:br w:type="page" w:clear="all"/>
      </w:r>
      <w:r>
        <w:rPr>
          <w:rFonts w:hint="eastAsia"/>
          <w:b/>
          <w:color w:val="auto"/>
          <w:sz w:val="32"/>
          <w:szCs w:val="32"/>
          <w:highlight w:val="none"/>
        </w:rPr>
        <w:t>十、残疾人福利性单位声明函（分包号：**）</w:t>
      </w:r>
    </w:p>
    <w:p w14:paraId="41681237">
      <w:pPr>
        <w:pStyle w:val="48"/>
        <w:spacing w:before="0" w:beforeAutospacing="0" w:after="0" w:afterAutospacing="0" w:line="440" w:lineRule="exact"/>
        <w:ind w:firstLine="480"/>
        <w:jc w:val="both"/>
        <w:rPr>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color w:val="auto"/>
          <w:highlight w:val="none"/>
          <w:u w:val="single"/>
        </w:rPr>
        <w:t xml:space="preserve">          </w:t>
      </w:r>
      <w:r>
        <w:rPr>
          <w:rFonts w:hint="eastAsia"/>
          <w:color w:val="auto"/>
          <w:highlight w:val="none"/>
        </w:rPr>
        <w:t>项目（分包号：**）采购活动提供本单位制造的货物，或者提供其他残疾人福利性单位制造的货物（不包括使用非残疾人福利性单位注册商标的货物）。</w:t>
      </w:r>
    </w:p>
    <w:p w14:paraId="2829795A">
      <w:pPr>
        <w:pStyle w:val="48"/>
        <w:spacing w:before="0" w:beforeAutospacing="0" w:after="0" w:afterAutospacing="0" w:line="440" w:lineRule="exact"/>
        <w:ind w:firstLine="480"/>
        <w:jc w:val="both"/>
        <w:rPr>
          <w:color w:val="auto"/>
          <w:highlight w:val="none"/>
        </w:rPr>
      </w:pPr>
      <w:r>
        <w:rPr>
          <w:rFonts w:hint="eastAsia"/>
          <w:color w:val="auto"/>
          <w:highlight w:val="none"/>
        </w:rPr>
        <w:t>本单位对上述声明的真实性负责。如有虚假，将依法承担相应责任。</w:t>
      </w:r>
    </w:p>
    <w:p w14:paraId="39E5AD31">
      <w:pPr>
        <w:pStyle w:val="48"/>
        <w:spacing w:before="0" w:beforeAutospacing="0" w:after="0" w:afterAutospacing="0" w:line="440" w:lineRule="exact"/>
        <w:ind w:firstLine="480"/>
        <w:jc w:val="both"/>
        <w:rPr>
          <w:color w:val="auto"/>
          <w:highlight w:val="none"/>
        </w:rPr>
      </w:pPr>
      <w:r>
        <w:rPr>
          <w:rFonts w:hint="eastAsia"/>
          <w:color w:val="auto"/>
          <w:highlight w:val="none"/>
        </w:rPr>
        <w:t> </w:t>
      </w:r>
    </w:p>
    <w:p w14:paraId="7D8B23EF">
      <w:pPr>
        <w:pStyle w:val="48"/>
        <w:spacing w:before="0" w:beforeAutospacing="0" w:after="0" w:afterAutospacing="0" w:line="440" w:lineRule="exact"/>
        <w:ind w:firstLine="480"/>
        <w:jc w:val="both"/>
        <w:rPr>
          <w:color w:val="auto"/>
          <w:highlight w:val="none"/>
        </w:rPr>
      </w:pPr>
      <w:r>
        <w:rPr>
          <w:rFonts w:hint="eastAsia"/>
          <w:color w:val="auto"/>
          <w:highlight w:val="none"/>
        </w:rPr>
        <w:t>备注：1、供应商如不提供此声明函，价格将不做相应扣除（如项目全面面向中小企业，则资格审查不通过）。2、中标供应商为残疾人福利单位的，此声明函将随中标结果同时公告，接受社会监督</w:t>
      </w:r>
    </w:p>
    <w:p w14:paraId="3E9B4B50">
      <w:pPr>
        <w:pStyle w:val="48"/>
        <w:spacing w:beforeAutospacing="0" w:afterAutospacing="0" w:line="0" w:lineRule="atLeast"/>
        <w:ind w:firstLine="624"/>
        <w:jc w:val="both"/>
        <w:rPr>
          <w:color w:val="auto"/>
          <w:highlight w:val="none"/>
        </w:rPr>
      </w:pPr>
      <w:r>
        <w:rPr>
          <w:rFonts w:hint="eastAsia"/>
          <w:color w:val="auto"/>
          <w:highlight w:val="none"/>
        </w:rPr>
        <w:t> </w:t>
      </w:r>
    </w:p>
    <w:p w14:paraId="5212D2AB">
      <w:pPr>
        <w:pStyle w:val="48"/>
        <w:tabs>
          <w:tab w:val="left" w:pos="4864"/>
        </w:tabs>
        <w:spacing w:beforeAutospacing="0" w:afterAutospacing="0" w:line="0" w:lineRule="atLeast"/>
        <w:ind w:right="1560" w:firstLine="624"/>
        <w:jc w:val="center"/>
        <w:rPr>
          <w:color w:val="auto"/>
          <w:highlight w:val="none"/>
        </w:rPr>
      </w:pPr>
      <w:r>
        <w:rPr>
          <w:rFonts w:hint="eastAsia"/>
          <w:color w:val="auto"/>
          <w:sz w:val="30"/>
          <w:szCs w:val="30"/>
          <w:highlight w:val="none"/>
        </w:rPr>
        <w:t>          </w:t>
      </w:r>
      <w:r>
        <w:rPr>
          <w:rFonts w:hint="eastAsia"/>
          <w:color w:val="auto"/>
          <w:highlight w:val="none"/>
        </w:rPr>
        <w:t>供应商全称（加盖CA电子公章）：</w:t>
      </w:r>
    </w:p>
    <w:p w14:paraId="4BEA4198">
      <w:pPr>
        <w:pStyle w:val="48"/>
        <w:tabs>
          <w:tab w:val="left" w:pos="4864"/>
        </w:tabs>
        <w:spacing w:beforeAutospacing="0" w:afterAutospacing="0" w:line="0" w:lineRule="atLeast"/>
        <w:ind w:right="1560" w:firstLine="624"/>
        <w:jc w:val="center"/>
        <w:rPr>
          <w:color w:val="auto"/>
          <w:highlight w:val="none"/>
        </w:rPr>
      </w:pPr>
      <w:r>
        <w:rPr>
          <w:rFonts w:hint="eastAsia"/>
          <w:color w:val="auto"/>
          <w:highlight w:val="none"/>
        </w:rPr>
        <w:t xml:space="preserve">                     日  期：</w:t>
      </w:r>
    </w:p>
    <w:p w14:paraId="2011F2AF">
      <w:pPr>
        <w:pStyle w:val="48"/>
        <w:spacing w:beforeAutospacing="0" w:afterAutospacing="0" w:line="0" w:lineRule="atLeast"/>
        <w:jc w:val="center"/>
        <w:rPr>
          <w:color w:val="auto"/>
          <w:highlight w:val="none"/>
        </w:rPr>
      </w:pPr>
      <w:r>
        <w:rPr>
          <w:rFonts w:hint="eastAsia"/>
          <w:color w:val="auto"/>
          <w:highlight w:val="none"/>
        </w:rPr>
        <w:t> </w:t>
      </w:r>
    </w:p>
    <w:p w14:paraId="7704F37E">
      <w:pPr>
        <w:pStyle w:val="48"/>
        <w:spacing w:beforeAutospacing="0" w:afterAutospacing="0" w:line="0" w:lineRule="atLeast"/>
        <w:jc w:val="center"/>
        <w:rPr>
          <w:color w:val="auto"/>
          <w:highlight w:val="none"/>
        </w:rPr>
      </w:pPr>
      <w:r>
        <w:rPr>
          <w:rFonts w:hint="eastAsia"/>
          <w:color w:val="auto"/>
          <w:highlight w:val="none"/>
        </w:rPr>
        <w:t> </w:t>
      </w:r>
    </w:p>
    <w:p w14:paraId="6682E576">
      <w:pPr>
        <w:pStyle w:val="48"/>
        <w:spacing w:beforeAutospacing="0" w:afterAutospacing="0" w:line="0" w:lineRule="atLeast"/>
        <w:jc w:val="center"/>
        <w:rPr>
          <w:color w:val="auto"/>
          <w:highlight w:val="none"/>
        </w:rPr>
      </w:pPr>
      <w:r>
        <w:rPr>
          <w:rFonts w:hint="eastAsia"/>
          <w:color w:val="auto"/>
          <w:highlight w:val="none"/>
        </w:rPr>
        <w:t> </w:t>
      </w:r>
    </w:p>
    <w:p w14:paraId="159AAE39">
      <w:pPr>
        <w:pStyle w:val="48"/>
        <w:spacing w:beforeAutospacing="0" w:afterAutospacing="0" w:line="0" w:lineRule="atLeast"/>
        <w:jc w:val="center"/>
        <w:rPr>
          <w:color w:val="auto"/>
          <w:highlight w:val="none"/>
        </w:rPr>
      </w:pPr>
      <w:r>
        <w:rPr>
          <w:rFonts w:hint="eastAsia"/>
          <w:color w:val="auto"/>
          <w:highlight w:val="none"/>
        </w:rPr>
        <w:t> </w:t>
      </w:r>
    </w:p>
    <w:p w14:paraId="7A0A526C">
      <w:pPr>
        <w:pStyle w:val="48"/>
        <w:spacing w:beforeAutospacing="0" w:afterAutospacing="0" w:line="0" w:lineRule="atLeast"/>
        <w:jc w:val="center"/>
        <w:rPr>
          <w:color w:val="auto"/>
          <w:highlight w:val="none"/>
        </w:rPr>
      </w:pPr>
      <w:r>
        <w:rPr>
          <w:rFonts w:hint="eastAsia"/>
          <w:color w:val="auto"/>
          <w:highlight w:val="none"/>
        </w:rPr>
        <w:t> </w:t>
      </w:r>
    </w:p>
    <w:p w14:paraId="7E832986">
      <w:pPr>
        <w:pStyle w:val="48"/>
        <w:spacing w:beforeAutospacing="0" w:afterAutospacing="0" w:line="0" w:lineRule="atLeast"/>
        <w:jc w:val="center"/>
        <w:rPr>
          <w:color w:val="auto"/>
          <w:highlight w:val="none"/>
        </w:rPr>
      </w:pPr>
      <w:r>
        <w:rPr>
          <w:rFonts w:hint="eastAsia"/>
          <w:color w:val="auto"/>
          <w:highlight w:val="none"/>
        </w:rPr>
        <w:t> </w:t>
      </w:r>
    </w:p>
    <w:p w14:paraId="712E4857">
      <w:pPr>
        <w:pStyle w:val="48"/>
        <w:spacing w:beforeAutospacing="0" w:afterAutospacing="0" w:line="0" w:lineRule="atLeast"/>
        <w:jc w:val="center"/>
        <w:rPr>
          <w:color w:val="auto"/>
          <w:highlight w:val="none"/>
        </w:rPr>
      </w:pPr>
      <w:r>
        <w:rPr>
          <w:rFonts w:hint="eastAsia"/>
          <w:color w:val="auto"/>
          <w:highlight w:val="none"/>
        </w:rPr>
        <w:t> </w:t>
      </w:r>
    </w:p>
    <w:p w14:paraId="54280260">
      <w:pPr>
        <w:pStyle w:val="48"/>
        <w:spacing w:beforeAutospacing="0" w:afterAutospacing="0" w:line="0" w:lineRule="atLeast"/>
        <w:jc w:val="center"/>
        <w:rPr>
          <w:color w:val="auto"/>
          <w:highlight w:val="none"/>
        </w:rPr>
      </w:pPr>
      <w:r>
        <w:rPr>
          <w:rFonts w:hint="eastAsia"/>
          <w:color w:val="auto"/>
          <w:highlight w:val="none"/>
        </w:rPr>
        <w:t> </w:t>
      </w:r>
    </w:p>
    <w:p w14:paraId="5E4241D3">
      <w:pPr>
        <w:pStyle w:val="48"/>
        <w:spacing w:beforeAutospacing="0" w:afterAutospacing="0" w:line="0" w:lineRule="atLeast"/>
        <w:jc w:val="center"/>
        <w:rPr>
          <w:color w:val="auto"/>
          <w:highlight w:val="none"/>
        </w:rPr>
      </w:pPr>
      <w:r>
        <w:rPr>
          <w:rFonts w:hint="eastAsia"/>
          <w:color w:val="auto"/>
          <w:highlight w:val="none"/>
        </w:rPr>
        <w:t> </w:t>
      </w:r>
    </w:p>
    <w:p w14:paraId="48888D7C">
      <w:pPr>
        <w:pStyle w:val="48"/>
        <w:spacing w:beforeAutospacing="0" w:afterAutospacing="0" w:line="0" w:lineRule="atLeast"/>
        <w:jc w:val="center"/>
        <w:rPr>
          <w:color w:val="auto"/>
          <w:highlight w:val="none"/>
        </w:rPr>
      </w:pPr>
    </w:p>
    <w:p w14:paraId="41E5E5A6">
      <w:pPr>
        <w:pStyle w:val="48"/>
        <w:spacing w:beforeAutospacing="0" w:afterAutospacing="0" w:line="0" w:lineRule="atLeast"/>
        <w:jc w:val="center"/>
        <w:rPr>
          <w:color w:val="auto"/>
          <w:highlight w:val="none"/>
        </w:rPr>
      </w:pPr>
    </w:p>
    <w:p w14:paraId="5B4DEA7D">
      <w:pPr>
        <w:pStyle w:val="48"/>
        <w:spacing w:beforeAutospacing="0" w:afterAutospacing="0" w:line="0" w:lineRule="atLeast"/>
        <w:jc w:val="center"/>
        <w:rPr>
          <w:color w:val="auto"/>
          <w:highlight w:val="none"/>
        </w:rPr>
      </w:pPr>
    </w:p>
    <w:p w14:paraId="5F6CEC7E">
      <w:pPr>
        <w:pStyle w:val="48"/>
        <w:spacing w:beforeAutospacing="0" w:afterAutospacing="0" w:line="0" w:lineRule="atLeast"/>
        <w:jc w:val="center"/>
        <w:rPr>
          <w:color w:val="auto"/>
          <w:highlight w:val="none"/>
        </w:rPr>
      </w:pPr>
    </w:p>
    <w:p w14:paraId="3C40F682">
      <w:pPr>
        <w:pStyle w:val="48"/>
        <w:spacing w:beforeAutospacing="0" w:afterAutospacing="0" w:line="0" w:lineRule="atLeast"/>
        <w:jc w:val="center"/>
        <w:rPr>
          <w:color w:val="auto"/>
          <w:highlight w:val="none"/>
        </w:rPr>
      </w:pPr>
    </w:p>
    <w:p w14:paraId="3DC35AE8">
      <w:pPr>
        <w:pStyle w:val="48"/>
        <w:spacing w:beforeAutospacing="0" w:afterAutospacing="0" w:line="0" w:lineRule="atLeast"/>
        <w:jc w:val="center"/>
        <w:rPr>
          <w:color w:val="auto"/>
          <w:highlight w:val="none"/>
        </w:rPr>
      </w:pPr>
    </w:p>
    <w:p w14:paraId="7346AF14">
      <w:pPr>
        <w:pStyle w:val="48"/>
        <w:spacing w:beforeAutospacing="0" w:afterAutospacing="0" w:line="0" w:lineRule="atLeast"/>
        <w:jc w:val="center"/>
        <w:rPr>
          <w:color w:val="auto"/>
          <w:highlight w:val="none"/>
        </w:rPr>
      </w:pPr>
    </w:p>
    <w:p w14:paraId="6F0AFD46">
      <w:pPr>
        <w:pStyle w:val="48"/>
        <w:spacing w:beforeAutospacing="0" w:afterAutospacing="0" w:line="0" w:lineRule="atLeast"/>
        <w:jc w:val="center"/>
        <w:rPr>
          <w:color w:val="auto"/>
          <w:highlight w:val="none"/>
        </w:rPr>
      </w:pPr>
    </w:p>
    <w:p w14:paraId="6BE35409">
      <w:pPr>
        <w:pStyle w:val="48"/>
        <w:spacing w:beforeAutospacing="0" w:afterAutospacing="0" w:line="0" w:lineRule="atLeast"/>
        <w:jc w:val="center"/>
        <w:rPr>
          <w:color w:val="auto"/>
          <w:highlight w:val="none"/>
        </w:rPr>
      </w:pPr>
    </w:p>
    <w:p w14:paraId="33F3214A">
      <w:pPr>
        <w:pStyle w:val="48"/>
        <w:spacing w:beforeAutospacing="0" w:afterAutospacing="0" w:line="0" w:lineRule="atLeast"/>
        <w:jc w:val="center"/>
        <w:rPr>
          <w:color w:val="auto"/>
          <w:highlight w:val="none"/>
        </w:rPr>
      </w:pPr>
    </w:p>
    <w:p w14:paraId="036F4B78">
      <w:pPr>
        <w:pStyle w:val="48"/>
        <w:spacing w:beforeAutospacing="0" w:afterAutospacing="0" w:line="0" w:lineRule="atLeast"/>
        <w:rPr>
          <w:color w:val="auto"/>
          <w:highlight w:val="none"/>
        </w:rPr>
      </w:pPr>
      <w:r>
        <w:rPr>
          <w:rFonts w:hint="eastAsia"/>
          <w:b/>
          <w:color w:val="auto"/>
          <w:sz w:val="32"/>
          <w:szCs w:val="32"/>
          <w:highlight w:val="none"/>
          <w:u w:val="single"/>
        </w:rPr>
        <w:t>十一、联合体协议（参考格式）（分包号：**）</w:t>
      </w:r>
    </w:p>
    <w:p w14:paraId="4F0B947A">
      <w:pPr>
        <w:pStyle w:val="48"/>
        <w:spacing w:beforeAutospacing="0" w:afterAutospacing="0" w:line="0" w:lineRule="atLeast"/>
        <w:jc w:val="both"/>
        <w:rPr>
          <w:color w:val="auto"/>
          <w:highlight w:val="none"/>
        </w:rPr>
      </w:pPr>
    </w:p>
    <w:p w14:paraId="441E041F">
      <w:pPr>
        <w:pStyle w:val="48"/>
        <w:spacing w:beforeAutospacing="0" w:afterAutospacing="0" w:line="0" w:lineRule="atLeast"/>
        <w:jc w:val="both"/>
        <w:rPr>
          <w:color w:val="auto"/>
          <w:highlight w:val="none"/>
        </w:rPr>
      </w:pPr>
    </w:p>
    <w:p w14:paraId="664F1DBD">
      <w:pPr>
        <w:pStyle w:val="48"/>
        <w:spacing w:beforeAutospacing="0" w:afterAutospacing="0" w:line="0" w:lineRule="atLeast"/>
        <w:ind w:firstLine="1920" w:firstLineChars="800"/>
        <w:jc w:val="both"/>
        <w:rPr>
          <w:color w:val="auto"/>
          <w:highlight w:val="none"/>
        </w:rPr>
      </w:pPr>
      <w:r>
        <w:rPr>
          <w:rFonts w:hint="eastAsia"/>
          <w:color w:val="auto"/>
          <w:highlight w:val="none"/>
        </w:rPr>
        <w:t>本项目不接受联合体投标。 </w:t>
      </w:r>
    </w:p>
    <w:p w14:paraId="1ECD87A6">
      <w:pPr>
        <w:pStyle w:val="48"/>
        <w:spacing w:beforeAutospacing="0" w:afterAutospacing="0" w:line="0" w:lineRule="atLeast"/>
        <w:jc w:val="both"/>
        <w:rPr>
          <w:color w:val="auto"/>
          <w:highlight w:val="none"/>
        </w:rPr>
      </w:pPr>
      <w:r>
        <w:rPr>
          <w:rFonts w:hint="eastAsia"/>
          <w:color w:val="auto"/>
          <w:highlight w:val="none"/>
        </w:rPr>
        <w:t> </w:t>
      </w:r>
    </w:p>
    <w:p w14:paraId="50284A84">
      <w:pPr>
        <w:pStyle w:val="48"/>
        <w:spacing w:beforeAutospacing="0" w:afterAutospacing="0" w:line="0" w:lineRule="atLeast"/>
        <w:jc w:val="both"/>
        <w:rPr>
          <w:color w:val="auto"/>
          <w:highlight w:val="none"/>
        </w:rPr>
      </w:pPr>
      <w:r>
        <w:rPr>
          <w:rFonts w:hint="eastAsia"/>
          <w:color w:val="auto"/>
          <w:highlight w:val="none"/>
        </w:rPr>
        <w:t> </w:t>
      </w:r>
    </w:p>
    <w:p w14:paraId="659DFEDA">
      <w:pPr>
        <w:pStyle w:val="48"/>
        <w:spacing w:beforeAutospacing="0" w:afterAutospacing="0" w:line="0" w:lineRule="atLeast"/>
        <w:jc w:val="both"/>
        <w:rPr>
          <w:color w:val="auto"/>
          <w:highlight w:val="none"/>
        </w:rPr>
      </w:pPr>
      <w:r>
        <w:rPr>
          <w:rFonts w:hint="eastAsia"/>
          <w:color w:val="auto"/>
          <w:highlight w:val="none"/>
        </w:rPr>
        <w:t> </w:t>
      </w:r>
    </w:p>
    <w:p w14:paraId="06524D2C">
      <w:pPr>
        <w:pStyle w:val="48"/>
        <w:spacing w:beforeAutospacing="0" w:afterAutospacing="0" w:line="0" w:lineRule="atLeast"/>
        <w:jc w:val="both"/>
        <w:rPr>
          <w:color w:val="auto"/>
          <w:highlight w:val="none"/>
        </w:rPr>
      </w:pPr>
      <w:r>
        <w:rPr>
          <w:rFonts w:hint="eastAsia"/>
          <w:color w:val="auto"/>
          <w:highlight w:val="none"/>
        </w:rPr>
        <w:t> </w:t>
      </w:r>
    </w:p>
    <w:p w14:paraId="45DFBB04">
      <w:pPr>
        <w:pStyle w:val="48"/>
        <w:spacing w:beforeAutospacing="0" w:afterAutospacing="0" w:line="0" w:lineRule="atLeast"/>
        <w:jc w:val="both"/>
        <w:rPr>
          <w:color w:val="auto"/>
          <w:highlight w:val="none"/>
        </w:rPr>
      </w:pPr>
      <w:r>
        <w:rPr>
          <w:rFonts w:hint="eastAsia"/>
          <w:color w:val="auto"/>
          <w:highlight w:val="none"/>
        </w:rPr>
        <w:t> </w:t>
      </w:r>
    </w:p>
    <w:p w14:paraId="20861270">
      <w:pPr>
        <w:pStyle w:val="48"/>
        <w:spacing w:beforeAutospacing="0" w:afterAutospacing="0" w:line="0" w:lineRule="atLeast"/>
        <w:jc w:val="both"/>
        <w:rPr>
          <w:color w:val="auto"/>
          <w:highlight w:val="none"/>
        </w:rPr>
      </w:pPr>
    </w:p>
    <w:p w14:paraId="4EF0EF3E">
      <w:pPr>
        <w:pStyle w:val="48"/>
        <w:spacing w:beforeAutospacing="0" w:afterAutospacing="0" w:line="0" w:lineRule="atLeast"/>
        <w:jc w:val="both"/>
        <w:rPr>
          <w:color w:val="auto"/>
          <w:highlight w:val="none"/>
        </w:rPr>
      </w:pPr>
    </w:p>
    <w:p w14:paraId="648D3A50">
      <w:pPr>
        <w:pStyle w:val="48"/>
        <w:spacing w:beforeAutospacing="0" w:afterAutospacing="0" w:line="0" w:lineRule="atLeast"/>
        <w:jc w:val="both"/>
        <w:rPr>
          <w:color w:val="auto"/>
          <w:highlight w:val="none"/>
        </w:rPr>
      </w:pPr>
    </w:p>
    <w:p w14:paraId="1B1597FE">
      <w:pPr>
        <w:pStyle w:val="48"/>
        <w:spacing w:beforeAutospacing="0" w:afterAutospacing="0" w:line="0" w:lineRule="atLeast"/>
        <w:jc w:val="both"/>
        <w:rPr>
          <w:color w:val="auto"/>
          <w:highlight w:val="none"/>
        </w:rPr>
      </w:pPr>
    </w:p>
    <w:p w14:paraId="3E72C99B">
      <w:pPr>
        <w:pStyle w:val="48"/>
        <w:spacing w:beforeAutospacing="0" w:afterAutospacing="0" w:line="0" w:lineRule="atLeast"/>
        <w:jc w:val="both"/>
        <w:rPr>
          <w:color w:val="auto"/>
          <w:highlight w:val="none"/>
        </w:rPr>
      </w:pPr>
    </w:p>
    <w:p w14:paraId="29B87CD9">
      <w:pPr>
        <w:pStyle w:val="48"/>
        <w:spacing w:beforeAutospacing="0" w:afterAutospacing="0" w:line="0" w:lineRule="atLeast"/>
        <w:jc w:val="both"/>
        <w:rPr>
          <w:color w:val="auto"/>
          <w:highlight w:val="none"/>
        </w:rPr>
      </w:pPr>
    </w:p>
    <w:p w14:paraId="7B8E9D3C">
      <w:pPr>
        <w:pStyle w:val="48"/>
        <w:spacing w:beforeAutospacing="0" w:afterAutospacing="0" w:line="0" w:lineRule="atLeast"/>
        <w:jc w:val="both"/>
        <w:rPr>
          <w:color w:val="auto"/>
          <w:highlight w:val="none"/>
        </w:rPr>
        <w:sectPr>
          <w:footerReference r:id="rId3" w:type="default"/>
          <w:pgSz w:w="11906" w:h="16838"/>
          <w:pgMar w:top="1440" w:right="1080" w:bottom="1440" w:left="1080" w:header="851" w:footer="992" w:gutter="0"/>
          <w:pgNumType w:start="1"/>
          <w:cols w:space="425" w:num="1"/>
          <w:docGrid w:linePitch="360" w:charSpace="0"/>
        </w:sectPr>
      </w:pPr>
    </w:p>
    <w:p w14:paraId="4A3B4148">
      <w:pPr>
        <w:rPr>
          <w:rFonts w:ascii="宋体" w:hAnsi="宋体" w:cs="宋体"/>
          <w:b/>
          <w:color w:val="auto"/>
          <w:sz w:val="32"/>
          <w:szCs w:val="32"/>
          <w:highlight w:val="none"/>
        </w:rPr>
      </w:pPr>
      <w:r>
        <w:rPr>
          <w:rFonts w:hint="eastAsia" w:ascii="宋体" w:hAnsi="宋体" w:cs="宋体"/>
          <w:b/>
          <w:color w:val="auto"/>
          <w:sz w:val="32"/>
          <w:szCs w:val="32"/>
          <w:highlight w:val="none"/>
        </w:rPr>
        <w:t>十二、</w:t>
      </w:r>
      <w:r>
        <w:rPr>
          <w:rFonts w:hint="eastAsia" w:ascii="宋体" w:hAnsi="宋体" w:cs="宋体"/>
          <w:b/>
          <w:color w:val="auto"/>
          <w:sz w:val="32"/>
          <w:szCs w:val="32"/>
          <w:highlight w:val="none"/>
          <w:u w:val="single"/>
        </w:rPr>
        <w:t>投标分项报价表（分包号：**）</w:t>
      </w:r>
      <w:bookmarkEnd w:id="178"/>
      <w:bookmarkEnd w:id="179"/>
      <w:bookmarkEnd w:id="180"/>
    </w:p>
    <w:tbl>
      <w:tblPr>
        <w:tblStyle w:val="5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3799"/>
        <w:gridCol w:w="964"/>
        <w:gridCol w:w="981"/>
        <w:gridCol w:w="1627"/>
        <w:gridCol w:w="1250"/>
        <w:gridCol w:w="1261"/>
        <w:gridCol w:w="3220"/>
      </w:tblGrid>
      <w:tr w14:paraId="73F50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14:paraId="0E95B222">
            <w:pPr>
              <w:pStyle w:val="48"/>
              <w:spacing w:beforeAutospacing="0" w:afterAutospacing="0"/>
              <w:jc w:val="center"/>
              <w:rPr>
                <w:color w:val="auto"/>
                <w:sz w:val="28"/>
                <w:szCs w:val="28"/>
                <w:highlight w:val="none"/>
              </w:rPr>
            </w:pPr>
            <w:bookmarkStart w:id="183" w:name="OLE_LINK12" w:colFirst="0" w:colLast="4"/>
            <w:r>
              <w:rPr>
                <w:rFonts w:hint="eastAsia"/>
                <w:color w:val="auto"/>
                <w:sz w:val="28"/>
                <w:szCs w:val="28"/>
                <w:highlight w:val="none"/>
              </w:rPr>
              <w:t>序号</w:t>
            </w:r>
          </w:p>
        </w:tc>
        <w:tc>
          <w:tcPr>
            <w:tcW w:w="1340" w:type="pct"/>
            <w:vAlign w:val="center"/>
          </w:tcPr>
          <w:p w14:paraId="1805ECC0">
            <w:pPr>
              <w:pStyle w:val="48"/>
              <w:spacing w:beforeAutospacing="0" w:afterAutospacing="0"/>
              <w:jc w:val="center"/>
              <w:rPr>
                <w:color w:val="auto"/>
                <w:sz w:val="28"/>
                <w:szCs w:val="28"/>
                <w:highlight w:val="none"/>
              </w:rPr>
            </w:pPr>
            <w:r>
              <w:rPr>
                <w:rFonts w:hint="eastAsia"/>
                <w:color w:val="auto"/>
                <w:sz w:val="28"/>
                <w:szCs w:val="28"/>
                <w:highlight w:val="none"/>
              </w:rPr>
              <w:t>名称</w:t>
            </w:r>
          </w:p>
        </w:tc>
        <w:tc>
          <w:tcPr>
            <w:tcW w:w="340" w:type="pct"/>
            <w:vAlign w:val="center"/>
          </w:tcPr>
          <w:p w14:paraId="055566EE">
            <w:pPr>
              <w:pStyle w:val="48"/>
              <w:spacing w:beforeAutospacing="0" w:afterAutospacing="0"/>
              <w:jc w:val="center"/>
              <w:rPr>
                <w:color w:val="auto"/>
                <w:sz w:val="28"/>
                <w:szCs w:val="28"/>
                <w:highlight w:val="none"/>
              </w:rPr>
            </w:pPr>
            <w:r>
              <w:rPr>
                <w:rFonts w:hint="eastAsia"/>
                <w:color w:val="auto"/>
                <w:sz w:val="28"/>
                <w:szCs w:val="28"/>
                <w:highlight w:val="none"/>
              </w:rPr>
              <w:t>单位</w:t>
            </w:r>
          </w:p>
        </w:tc>
        <w:tc>
          <w:tcPr>
            <w:tcW w:w="346" w:type="pct"/>
            <w:vAlign w:val="center"/>
          </w:tcPr>
          <w:p w14:paraId="61EDCD98">
            <w:pPr>
              <w:pStyle w:val="48"/>
              <w:spacing w:beforeAutospacing="0" w:afterAutospacing="0"/>
              <w:jc w:val="center"/>
              <w:rPr>
                <w:color w:val="auto"/>
                <w:sz w:val="28"/>
                <w:szCs w:val="28"/>
                <w:highlight w:val="none"/>
              </w:rPr>
            </w:pPr>
            <w:r>
              <w:rPr>
                <w:rFonts w:hint="eastAsia"/>
                <w:color w:val="auto"/>
                <w:sz w:val="28"/>
                <w:szCs w:val="28"/>
                <w:highlight w:val="none"/>
              </w:rPr>
              <w:t>数量</w:t>
            </w:r>
          </w:p>
        </w:tc>
        <w:tc>
          <w:tcPr>
            <w:tcW w:w="574" w:type="pct"/>
            <w:vAlign w:val="center"/>
          </w:tcPr>
          <w:p w14:paraId="2A49FF20">
            <w:pPr>
              <w:pStyle w:val="48"/>
              <w:spacing w:beforeAutospacing="0" w:afterAutospacing="0"/>
              <w:jc w:val="center"/>
              <w:rPr>
                <w:color w:val="auto"/>
                <w:sz w:val="28"/>
                <w:szCs w:val="28"/>
                <w:highlight w:val="none"/>
              </w:rPr>
            </w:pPr>
            <w:bookmarkStart w:id="184" w:name="OLE_LINK9"/>
            <w:r>
              <w:rPr>
                <w:rFonts w:hint="eastAsia"/>
                <w:color w:val="auto"/>
                <w:sz w:val="28"/>
                <w:szCs w:val="28"/>
                <w:highlight w:val="none"/>
              </w:rPr>
              <w:t>控制单价</w:t>
            </w:r>
            <w:bookmarkEnd w:id="184"/>
            <w:r>
              <w:rPr>
                <w:rFonts w:hint="eastAsia"/>
                <w:color w:val="auto"/>
                <w:sz w:val="28"/>
                <w:szCs w:val="28"/>
                <w:highlight w:val="none"/>
              </w:rPr>
              <w:t>（元）</w:t>
            </w:r>
          </w:p>
        </w:tc>
        <w:tc>
          <w:tcPr>
            <w:tcW w:w="437" w:type="pct"/>
            <w:vAlign w:val="center"/>
          </w:tcPr>
          <w:p w14:paraId="6FDE017B">
            <w:pPr>
              <w:pStyle w:val="48"/>
              <w:spacing w:beforeAutospacing="0" w:afterAutospacing="0"/>
              <w:jc w:val="center"/>
              <w:rPr>
                <w:color w:val="auto"/>
                <w:sz w:val="28"/>
                <w:szCs w:val="28"/>
                <w:highlight w:val="none"/>
              </w:rPr>
            </w:pPr>
            <w:r>
              <w:rPr>
                <w:rFonts w:hint="eastAsia"/>
                <w:color w:val="auto"/>
                <w:sz w:val="28"/>
                <w:szCs w:val="28"/>
                <w:highlight w:val="none"/>
              </w:rPr>
              <w:t>单价（元）</w:t>
            </w:r>
          </w:p>
        </w:tc>
        <w:tc>
          <w:tcPr>
            <w:tcW w:w="445" w:type="pct"/>
            <w:vAlign w:val="center"/>
          </w:tcPr>
          <w:p w14:paraId="60665A33">
            <w:pPr>
              <w:pStyle w:val="48"/>
              <w:spacing w:beforeAutospacing="0" w:afterAutospacing="0"/>
              <w:jc w:val="center"/>
              <w:rPr>
                <w:color w:val="auto"/>
                <w:sz w:val="28"/>
                <w:szCs w:val="28"/>
                <w:highlight w:val="none"/>
              </w:rPr>
            </w:pPr>
            <w:r>
              <w:rPr>
                <w:rFonts w:hint="eastAsia"/>
                <w:color w:val="auto"/>
                <w:sz w:val="28"/>
                <w:szCs w:val="28"/>
                <w:highlight w:val="none"/>
              </w:rPr>
              <w:t>合价（元）</w:t>
            </w:r>
          </w:p>
        </w:tc>
        <w:tc>
          <w:tcPr>
            <w:tcW w:w="1136" w:type="pct"/>
            <w:vAlign w:val="center"/>
          </w:tcPr>
          <w:p w14:paraId="250D6484">
            <w:pPr>
              <w:pStyle w:val="48"/>
              <w:spacing w:beforeAutospacing="0" w:afterAutospacing="0"/>
              <w:jc w:val="center"/>
              <w:rPr>
                <w:color w:val="auto"/>
                <w:sz w:val="28"/>
                <w:szCs w:val="28"/>
                <w:highlight w:val="none"/>
              </w:rPr>
            </w:pPr>
            <w:r>
              <w:rPr>
                <w:rFonts w:hint="eastAsia"/>
                <w:color w:val="auto"/>
                <w:sz w:val="28"/>
                <w:szCs w:val="28"/>
                <w:highlight w:val="none"/>
              </w:rPr>
              <w:t>备注（厂家、品牌、规格、型号）</w:t>
            </w:r>
          </w:p>
        </w:tc>
      </w:tr>
      <w:tr w14:paraId="6817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14:paraId="2ABA6D23">
            <w:pPr>
              <w:pStyle w:val="48"/>
              <w:spacing w:beforeAutospacing="0" w:afterAutospacing="0"/>
              <w:jc w:val="center"/>
              <w:rPr>
                <w:color w:val="auto"/>
                <w:sz w:val="28"/>
                <w:szCs w:val="28"/>
                <w:highlight w:val="none"/>
              </w:rPr>
            </w:pPr>
          </w:p>
        </w:tc>
        <w:tc>
          <w:tcPr>
            <w:tcW w:w="1340" w:type="pct"/>
            <w:vAlign w:val="center"/>
          </w:tcPr>
          <w:p w14:paraId="5A920BDD">
            <w:pPr>
              <w:pStyle w:val="48"/>
              <w:spacing w:beforeAutospacing="0" w:afterAutospacing="0"/>
              <w:jc w:val="center"/>
              <w:rPr>
                <w:color w:val="auto"/>
                <w:szCs w:val="28"/>
                <w:highlight w:val="none"/>
              </w:rPr>
            </w:pPr>
          </w:p>
        </w:tc>
        <w:tc>
          <w:tcPr>
            <w:tcW w:w="340" w:type="pct"/>
          </w:tcPr>
          <w:p w14:paraId="6C617FE7">
            <w:pPr>
              <w:pStyle w:val="48"/>
              <w:spacing w:beforeAutospacing="0" w:afterAutospacing="0"/>
              <w:jc w:val="center"/>
              <w:rPr>
                <w:color w:val="auto"/>
                <w:szCs w:val="28"/>
                <w:highlight w:val="none"/>
              </w:rPr>
            </w:pPr>
          </w:p>
        </w:tc>
        <w:tc>
          <w:tcPr>
            <w:tcW w:w="346" w:type="pct"/>
            <w:vAlign w:val="center"/>
          </w:tcPr>
          <w:p w14:paraId="48C833E3">
            <w:pPr>
              <w:pStyle w:val="48"/>
              <w:spacing w:beforeAutospacing="0" w:afterAutospacing="0"/>
              <w:jc w:val="center"/>
              <w:rPr>
                <w:color w:val="auto"/>
                <w:szCs w:val="28"/>
                <w:highlight w:val="none"/>
              </w:rPr>
            </w:pPr>
          </w:p>
        </w:tc>
        <w:tc>
          <w:tcPr>
            <w:tcW w:w="574" w:type="pct"/>
            <w:vAlign w:val="center"/>
          </w:tcPr>
          <w:p w14:paraId="102463A2">
            <w:pPr>
              <w:pStyle w:val="48"/>
              <w:spacing w:beforeAutospacing="0" w:afterAutospacing="0"/>
              <w:jc w:val="center"/>
              <w:rPr>
                <w:color w:val="auto"/>
                <w:szCs w:val="28"/>
                <w:highlight w:val="none"/>
              </w:rPr>
            </w:pPr>
          </w:p>
        </w:tc>
        <w:tc>
          <w:tcPr>
            <w:tcW w:w="437" w:type="pct"/>
          </w:tcPr>
          <w:p w14:paraId="4B0F64FD">
            <w:pPr>
              <w:pStyle w:val="48"/>
              <w:spacing w:beforeAutospacing="0" w:afterAutospacing="0"/>
              <w:jc w:val="center"/>
              <w:rPr>
                <w:color w:val="auto"/>
                <w:sz w:val="28"/>
                <w:szCs w:val="28"/>
                <w:highlight w:val="none"/>
              </w:rPr>
            </w:pPr>
          </w:p>
        </w:tc>
        <w:tc>
          <w:tcPr>
            <w:tcW w:w="445" w:type="pct"/>
          </w:tcPr>
          <w:p w14:paraId="00DB0FA6">
            <w:pPr>
              <w:pStyle w:val="48"/>
              <w:spacing w:beforeAutospacing="0" w:afterAutospacing="0"/>
              <w:jc w:val="center"/>
              <w:rPr>
                <w:color w:val="auto"/>
                <w:sz w:val="28"/>
                <w:szCs w:val="28"/>
                <w:highlight w:val="none"/>
              </w:rPr>
            </w:pPr>
          </w:p>
        </w:tc>
        <w:tc>
          <w:tcPr>
            <w:tcW w:w="1136" w:type="pct"/>
          </w:tcPr>
          <w:p w14:paraId="78E8F321">
            <w:pPr>
              <w:pStyle w:val="48"/>
              <w:spacing w:beforeAutospacing="0" w:afterAutospacing="0"/>
              <w:jc w:val="center"/>
              <w:rPr>
                <w:color w:val="auto"/>
                <w:sz w:val="28"/>
                <w:szCs w:val="28"/>
                <w:highlight w:val="none"/>
              </w:rPr>
            </w:pPr>
          </w:p>
        </w:tc>
      </w:tr>
      <w:tr w14:paraId="523D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6" w:type="pct"/>
          </w:tcPr>
          <w:p w14:paraId="5A55B175">
            <w:pPr>
              <w:pStyle w:val="48"/>
              <w:spacing w:beforeAutospacing="0" w:afterAutospacing="0"/>
              <w:jc w:val="center"/>
              <w:rPr>
                <w:color w:val="auto"/>
                <w:sz w:val="28"/>
                <w:szCs w:val="28"/>
                <w:highlight w:val="none"/>
              </w:rPr>
            </w:pPr>
          </w:p>
        </w:tc>
        <w:tc>
          <w:tcPr>
            <w:tcW w:w="1340" w:type="pct"/>
            <w:vAlign w:val="center"/>
          </w:tcPr>
          <w:p w14:paraId="3ED6B171">
            <w:pPr>
              <w:pStyle w:val="48"/>
              <w:spacing w:beforeAutospacing="0" w:afterAutospacing="0"/>
              <w:jc w:val="center"/>
              <w:rPr>
                <w:color w:val="auto"/>
                <w:szCs w:val="28"/>
                <w:highlight w:val="none"/>
              </w:rPr>
            </w:pPr>
          </w:p>
        </w:tc>
        <w:tc>
          <w:tcPr>
            <w:tcW w:w="340" w:type="pct"/>
          </w:tcPr>
          <w:p w14:paraId="226F5379">
            <w:pPr>
              <w:pStyle w:val="48"/>
              <w:spacing w:beforeAutospacing="0" w:afterAutospacing="0"/>
              <w:jc w:val="center"/>
              <w:rPr>
                <w:color w:val="auto"/>
                <w:szCs w:val="28"/>
                <w:highlight w:val="none"/>
              </w:rPr>
            </w:pPr>
          </w:p>
        </w:tc>
        <w:tc>
          <w:tcPr>
            <w:tcW w:w="346" w:type="pct"/>
            <w:vAlign w:val="center"/>
          </w:tcPr>
          <w:p w14:paraId="0FF60EC4">
            <w:pPr>
              <w:pStyle w:val="48"/>
              <w:spacing w:beforeAutospacing="0" w:afterAutospacing="0"/>
              <w:jc w:val="center"/>
              <w:rPr>
                <w:color w:val="auto"/>
                <w:szCs w:val="28"/>
                <w:highlight w:val="none"/>
              </w:rPr>
            </w:pPr>
          </w:p>
        </w:tc>
        <w:tc>
          <w:tcPr>
            <w:tcW w:w="574" w:type="pct"/>
            <w:vAlign w:val="center"/>
          </w:tcPr>
          <w:p w14:paraId="5EF54C92">
            <w:pPr>
              <w:pStyle w:val="48"/>
              <w:spacing w:beforeAutospacing="0" w:afterAutospacing="0"/>
              <w:jc w:val="center"/>
              <w:rPr>
                <w:color w:val="auto"/>
                <w:szCs w:val="28"/>
                <w:highlight w:val="none"/>
              </w:rPr>
            </w:pPr>
          </w:p>
        </w:tc>
        <w:tc>
          <w:tcPr>
            <w:tcW w:w="437" w:type="pct"/>
          </w:tcPr>
          <w:p w14:paraId="1CA0E319">
            <w:pPr>
              <w:pStyle w:val="48"/>
              <w:spacing w:beforeAutospacing="0" w:afterAutospacing="0"/>
              <w:jc w:val="center"/>
              <w:rPr>
                <w:color w:val="auto"/>
                <w:sz w:val="28"/>
                <w:szCs w:val="28"/>
                <w:highlight w:val="none"/>
              </w:rPr>
            </w:pPr>
          </w:p>
        </w:tc>
        <w:tc>
          <w:tcPr>
            <w:tcW w:w="445" w:type="pct"/>
          </w:tcPr>
          <w:p w14:paraId="2E957DB5">
            <w:pPr>
              <w:pStyle w:val="48"/>
              <w:spacing w:beforeAutospacing="0" w:afterAutospacing="0"/>
              <w:jc w:val="center"/>
              <w:rPr>
                <w:color w:val="auto"/>
                <w:sz w:val="28"/>
                <w:szCs w:val="28"/>
                <w:highlight w:val="none"/>
              </w:rPr>
            </w:pPr>
          </w:p>
        </w:tc>
        <w:tc>
          <w:tcPr>
            <w:tcW w:w="1136" w:type="pct"/>
          </w:tcPr>
          <w:p w14:paraId="37F8454D">
            <w:pPr>
              <w:pStyle w:val="48"/>
              <w:spacing w:beforeAutospacing="0" w:afterAutospacing="0"/>
              <w:jc w:val="center"/>
              <w:rPr>
                <w:color w:val="auto"/>
                <w:sz w:val="28"/>
                <w:szCs w:val="28"/>
                <w:highlight w:val="none"/>
              </w:rPr>
            </w:pPr>
          </w:p>
        </w:tc>
      </w:tr>
      <w:tr w14:paraId="2583F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14:paraId="1C840814">
            <w:pPr>
              <w:pStyle w:val="48"/>
              <w:spacing w:beforeAutospacing="0" w:afterAutospacing="0"/>
              <w:jc w:val="center"/>
              <w:rPr>
                <w:color w:val="auto"/>
                <w:sz w:val="28"/>
                <w:szCs w:val="28"/>
                <w:highlight w:val="none"/>
              </w:rPr>
            </w:pPr>
          </w:p>
        </w:tc>
        <w:tc>
          <w:tcPr>
            <w:tcW w:w="1340" w:type="pct"/>
            <w:vAlign w:val="center"/>
          </w:tcPr>
          <w:p w14:paraId="1318EC84">
            <w:pPr>
              <w:pStyle w:val="48"/>
              <w:spacing w:beforeAutospacing="0" w:afterAutospacing="0"/>
              <w:jc w:val="center"/>
              <w:rPr>
                <w:color w:val="auto"/>
                <w:szCs w:val="28"/>
                <w:highlight w:val="none"/>
              </w:rPr>
            </w:pPr>
          </w:p>
        </w:tc>
        <w:tc>
          <w:tcPr>
            <w:tcW w:w="340" w:type="pct"/>
          </w:tcPr>
          <w:p w14:paraId="3440D255">
            <w:pPr>
              <w:pStyle w:val="48"/>
              <w:spacing w:beforeAutospacing="0" w:afterAutospacing="0"/>
              <w:jc w:val="center"/>
              <w:rPr>
                <w:color w:val="auto"/>
                <w:szCs w:val="28"/>
                <w:highlight w:val="none"/>
              </w:rPr>
            </w:pPr>
          </w:p>
        </w:tc>
        <w:tc>
          <w:tcPr>
            <w:tcW w:w="346" w:type="pct"/>
            <w:vAlign w:val="center"/>
          </w:tcPr>
          <w:p w14:paraId="4AC67D64">
            <w:pPr>
              <w:pStyle w:val="48"/>
              <w:spacing w:beforeAutospacing="0" w:afterAutospacing="0"/>
              <w:jc w:val="center"/>
              <w:rPr>
                <w:color w:val="auto"/>
                <w:szCs w:val="28"/>
                <w:highlight w:val="none"/>
              </w:rPr>
            </w:pPr>
          </w:p>
        </w:tc>
        <w:tc>
          <w:tcPr>
            <w:tcW w:w="574" w:type="pct"/>
            <w:vAlign w:val="center"/>
          </w:tcPr>
          <w:p w14:paraId="26DCE2DE">
            <w:pPr>
              <w:pStyle w:val="48"/>
              <w:spacing w:beforeAutospacing="0" w:afterAutospacing="0"/>
              <w:jc w:val="center"/>
              <w:rPr>
                <w:color w:val="auto"/>
                <w:szCs w:val="28"/>
                <w:highlight w:val="none"/>
              </w:rPr>
            </w:pPr>
          </w:p>
        </w:tc>
        <w:tc>
          <w:tcPr>
            <w:tcW w:w="437" w:type="pct"/>
          </w:tcPr>
          <w:p w14:paraId="1F489316">
            <w:pPr>
              <w:pStyle w:val="48"/>
              <w:spacing w:beforeAutospacing="0" w:afterAutospacing="0"/>
              <w:jc w:val="center"/>
              <w:rPr>
                <w:color w:val="auto"/>
                <w:sz w:val="28"/>
                <w:szCs w:val="28"/>
                <w:highlight w:val="none"/>
              </w:rPr>
            </w:pPr>
          </w:p>
        </w:tc>
        <w:tc>
          <w:tcPr>
            <w:tcW w:w="445" w:type="pct"/>
          </w:tcPr>
          <w:p w14:paraId="47574D24">
            <w:pPr>
              <w:pStyle w:val="48"/>
              <w:spacing w:beforeAutospacing="0" w:afterAutospacing="0"/>
              <w:jc w:val="center"/>
              <w:rPr>
                <w:color w:val="auto"/>
                <w:sz w:val="28"/>
                <w:szCs w:val="28"/>
                <w:highlight w:val="none"/>
              </w:rPr>
            </w:pPr>
          </w:p>
        </w:tc>
        <w:tc>
          <w:tcPr>
            <w:tcW w:w="1136" w:type="pct"/>
          </w:tcPr>
          <w:p w14:paraId="0F7B8BCF">
            <w:pPr>
              <w:pStyle w:val="48"/>
              <w:spacing w:beforeAutospacing="0" w:afterAutospacing="0"/>
              <w:jc w:val="center"/>
              <w:rPr>
                <w:color w:val="auto"/>
                <w:sz w:val="28"/>
                <w:szCs w:val="28"/>
                <w:highlight w:val="none"/>
              </w:rPr>
            </w:pPr>
          </w:p>
        </w:tc>
      </w:tr>
      <w:tr w14:paraId="5296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14:paraId="7B0C45BD">
            <w:pPr>
              <w:pStyle w:val="48"/>
              <w:spacing w:beforeAutospacing="0" w:afterAutospacing="0"/>
              <w:jc w:val="center"/>
              <w:rPr>
                <w:color w:val="auto"/>
                <w:sz w:val="28"/>
                <w:szCs w:val="28"/>
                <w:highlight w:val="none"/>
              </w:rPr>
            </w:pPr>
          </w:p>
        </w:tc>
        <w:tc>
          <w:tcPr>
            <w:tcW w:w="1340" w:type="pct"/>
            <w:vAlign w:val="center"/>
          </w:tcPr>
          <w:p w14:paraId="06719346">
            <w:pPr>
              <w:pStyle w:val="48"/>
              <w:spacing w:beforeAutospacing="0" w:afterAutospacing="0"/>
              <w:jc w:val="center"/>
              <w:rPr>
                <w:color w:val="auto"/>
                <w:szCs w:val="28"/>
                <w:highlight w:val="none"/>
              </w:rPr>
            </w:pPr>
          </w:p>
        </w:tc>
        <w:tc>
          <w:tcPr>
            <w:tcW w:w="340" w:type="pct"/>
          </w:tcPr>
          <w:p w14:paraId="2F8CD6D7">
            <w:pPr>
              <w:pStyle w:val="48"/>
              <w:spacing w:beforeAutospacing="0" w:afterAutospacing="0"/>
              <w:jc w:val="center"/>
              <w:rPr>
                <w:color w:val="auto"/>
                <w:szCs w:val="28"/>
                <w:highlight w:val="none"/>
              </w:rPr>
            </w:pPr>
          </w:p>
        </w:tc>
        <w:tc>
          <w:tcPr>
            <w:tcW w:w="346" w:type="pct"/>
            <w:vAlign w:val="center"/>
          </w:tcPr>
          <w:p w14:paraId="0DD7D725">
            <w:pPr>
              <w:pStyle w:val="48"/>
              <w:spacing w:beforeAutospacing="0" w:afterAutospacing="0"/>
              <w:jc w:val="center"/>
              <w:rPr>
                <w:color w:val="auto"/>
                <w:szCs w:val="28"/>
                <w:highlight w:val="none"/>
              </w:rPr>
            </w:pPr>
          </w:p>
        </w:tc>
        <w:tc>
          <w:tcPr>
            <w:tcW w:w="574" w:type="pct"/>
            <w:vAlign w:val="center"/>
          </w:tcPr>
          <w:p w14:paraId="1383E2DF">
            <w:pPr>
              <w:pStyle w:val="48"/>
              <w:spacing w:beforeAutospacing="0" w:afterAutospacing="0"/>
              <w:jc w:val="center"/>
              <w:rPr>
                <w:color w:val="auto"/>
                <w:szCs w:val="28"/>
                <w:highlight w:val="none"/>
              </w:rPr>
            </w:pPr>
          </w:p>
        </w:tc>
        <w:tc>
          <w:tcPr>
            <w:tcW w:w="437" w:type="pct"/>
          </w:tcPr>
          <w:p w14:paraId="7B7EED33">
            <w:pPr>
              <w:pStyle w:val="48"/>
              <w:spacing w:beforeAutospacing="0" w:afterAutospacing="0"/>
              <w:jc w:val="center"/>
              <w:rPr>
                <w:color w:val="auto"/>
                <w:sz w:val="28"/>
                <w:szCs w:val="28"/>
                <w:highlight w:val="none"/>
              </w:rPr>
            </w:pPr>
          </w:p>
        </w:tc>
        <w:tc>
          <w:tcPr>
            <w:tcW w:w="445" w:type="pct"/>
          </w:tcPr>
          <w:p w14:paraId="02FC2C7D">
            <w:pPr>
              <w:pStyle w:val="48"/>
              <w:spacing w:beforeAutospacing="0" w:afterAutospacing="0"/>
              <w:jc w:val="center"/>
              <w:rPr>
                <w:color w:val="auto"/>
                <w:sz w:val="28"/>
                <w:szCs w:val="28"/>
                <w:highlight w:val="none"/>
              </w:rPr>
            </w:pPr>
          </w:p>
        </w:tc>
        <w:tc>
          <w:tcPr>
            <w:tcW w:w="1136" w:type="pct"/>
          </w:tcPr>
          <w:p w14:paraId="62BE1C2F">
            <w:pPr>
              <w:pStyle w:val="48"/>
              <w:spacing w:beforeAutospacing="0" w:afterAutospacing="0"/>
              <w:jc w:val="center"/>
              <w:rPr>
                <w:color w:val="auto"/>
                <w:sz w:val="28"/>
                <w:szCs w:val="28"/>
                <w:highlight w:val="none"/>
              </w:rPr>
            </w:pPr>
          </w:p>
        </w:tc>
      </w:tr>
      <w:tr w14:paraId="6693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14:paraId="5045291F">
            <w:pPr>
              <w:pStyle w:val="48"/>
              <w:spacing w:beforeAutospacing="0" w:afterAutospacing="0"/>
              <w:jc w:val="center"/>
              <w:rPr>
                <w:color w:val="auto"/>
                <w:sz w:val="28"/>
                <w:szCs w:val="28"/>
                <w:highlight w:val="none"/>
              </w:rPr>
            </w:pPr>
          </w:p>
        </w:tc>
        <w:tc>
          <w:tcPr>
            <w:tcW w:w="1340" w:type="pct"/>
            <w:vAlign w:val="center"/>
          </w:tcPr>
          <w:p w14:paraId="7F53767F">
            <w:pPr>
              <w:pStyle w:val="48"/>
              <w:spacing w:beforeAutospacing="0" w:afterAutospacing="0"/>
              <w:jc w:val="center"/>
              <w:rPr>
                <w:color w:val="auto"/>
                <w:szCs w:val="28"/>
                <w:highlight w:val="none"/>
              </w:rPr>
            </w:pPr>
          </w:p>
        </w:tc>
        <w:tc>
          <w:tcPr>
            <w:tcW w:w="340" w:type="pct"/>
          </w:tcPr>
          <w:p w14:paraId="5B488CCC">
            <w:pPr>
              <w:pStyle w:val="48"/>
              <w:spacing w:beforeAutospacing="0" w:afterAutospacing="0"/>
              <w:jc w:val="center"/>
              <w:rPr>
                <w:color w:val="auto"/>
                <w:szCs w:val="28"/>
                <w:highlight w:val="none"/>
              </w:rPr>
            </w:pPr>
          </w:p>
        </w:tc>
        <w:tc>
          <w:tcPr>
            <w:tcW w:w="346" w:type="pct"/>
            <w:vAlign w:val="center"/>
          </w:tcPr>
          <w:p w14:paraId="5ED1F1B4">
            <w:pPr>
              <w:pStyle w:val="48"/>
              <w:spacing w:beforeAutospacing="0" w:afterAutospacing="0"/>
              <w:jc w:val="center"/>
              <w:rPr>
                <w:color w:val="auto"/>
                <w:szCs w:val="28"/>
                <w:highlight w:val="none"/>
              </w:rPr>
            </w:pPr>
          </w:p>
        </w:tc>
        <w:tc>
          <w:tcPr>
            <w:tcW w:w="574" w:type="pct"/>
            <w:vAlign w:val="center"/>
          </w:tcPr>
          <w:p w14:paraId="7A86A90B">
            <w:pPr>
              <w:pStyle w:val="48"/>
              <w:spacing w:beforeAutospacing="0" w:afterAutospacing="0"/>
              <w:jc w:val="center"/>
              <w:rPr>
                <w:color w:val="auto"/>
                <w:szCs w:val="28"/>
                <w:highlight w:val="none"/>
              </w:rPr>
            </w:pPr>
          </w:p>
        </w:tc>
        <w:tc>
          <w:tcPr>
            <w:tcW w:w="437" w:type="pct"/>
          </w:tcPr>
          <w:p w14:paraId="13A2DB44">
            <w:pPr>
              <w:pStyle w:val="48"/>
              <w:spacing w:beforeAutospacing="0" w:afterAutospacing="0"/>
              <w:jc w:val="center"/>
              <w:rPr>
                <w:color w:val="auto"/>
                <w:sz w:val="28"/>
                <w:szCs w:val="28"/>
                <w:highlight w:val="none"/>
              </w:rPr>
            </w:pPr>
          </w:p>
        </w:tc>
        <w:tc>
          <w:tcPr>
            <w:tcW w:w="445" w:type="pct"/>
          </w:tcPr>
          <w:p w14:paraId="4230C3DA">
            <w:pPr>
              <w:pStyle w:val="48"/>
              <w:spacing w:beforeAutospacing="0" w:afterAutospacing="0"/>
              <w:jc w:val="center"/>
              <w:rPr>
                <w:color w:val="auto"/>
                <w:sz w:val="28"/>
                <w:szCs w:val="28"/>
                <w:highlight w:val="none"/>
              </w:rPr>
            </w:pPr>
          </w:p>
        </w:tc>
        <w:tc>
          <w:tcPr>
            <w:tcW w:w="1136" w:type="pct"/>
          </w:tcPr>
          <w:p w14:paraId="7E346973">
            <w:pPr>
              <w:pStyle w:val="48"/>
              <w:spacing w:beforeAutospacing="0" w:afterAutospacing="0"/>
              <w:jc w:val="center"/>
              <w:rPr>
                <w:color w:val="auto"/>
                <w:sz w:val="28"/>
                <w:szCs w:val="28"/>
                <w:highlight w:val="none"/>
              </w:rPr>
            </w:pPr>
          </w:p>
        </w:tc>
      </w:tr>
      <w:tr w14:paraId="70B5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14:paraId="213AEDAE">
            <w:pPr>
              <w:pStyle w:val="48"/>
              <w:spacing w:beforeAutospacing="0" w:afterAutospacing="0"/>
              <w:jc w:val="center"/>
              <w:rPr>
                <w:color w:val="auto"/>
                <w:sz w:val="28"/>
                <w:szCs w:val="28"/>
                <w:highlight w:val="none"/>
              </w:rPr>
            </w:pPr>
          </w:p>
        </w:tc>
        <w:tc>
          <w:tcPr>
            <w:tcW w:w="1340" w:type="pct"/>
            <w:vAlign w:val="center"/>
          </w:tcPr>
          <w:p w14:paraId="1293C289">
            <w:pPr>
              <w:pStyle w:val="48"/>
              <w:spacing w:beforeAutospacing="0" w:afterAutospacing="0"/>
              <w:jc w:val="center"/>
              <w:rPr>
                <w:color w:val="auto"/>
                <w:szCs w:val="28"/>
                <w:highlight w:val="none"/>
              </w:rPr>
            </w:pPr>
          </w:p>
        </w:tc>
        <w:tc>
          <w:tcPr>
            <w:tcW w:w="340" w:type="pct"/>
          </w:tcPr>
          <w:p w14:paraId="671A3F0F">
            <w:pPr>
              <w:pStyle w:val="48"/>
              <w:spacing w:beforeAutospacing="0" w:afterAutospacing="0"/>
              <w:jc w:val="center"/>
              <w:rPr>
                <w:color w:val="auto"/>
                <w:szCs w:val="28"/>
                <w:highlight w:val="none"/>
              </w:rPr>
            </w:pPr>
          </w:p>
        </w:tc>
        <w:tc>
          <w:tcPr>
            <w:tcW w:w="346" w:type="pct"/>
            <w:vAlign w:val="center"/>
          </w:tcPr>
          <w:p w14:paraId="1881C8F2">
            <w:pPr>
              <w:pStyle w:val="48"/>
              <w:spacing w:beforeAutospacing="0" w:afterAutospacing="0"/>
              <w:jc w:val="center"/>
              <w:rPr>
                <w:color w:val="auto"/>
                <w:szCs w:val="28"/>
                <w:highlight w:val="none"/>
              </w:rPr>
            </w:pPr>
          </w:p>
        </w:tc>
        <w:tc>
          <w:tcPr>
            <w:tcW w:w="574" w:type="pct"/>
            <w:vAlign w:val="center"/>
          </w:tcPr>
          <w:p w14:paraId="49B93C99">
            <w:pPr>
              <w:pStyle w:val="48"/>
              <w:spacing w:beforeAutospacing="0" w:afterAutospacing="0"/>
              <w:jc w:val="center"/>
              <w:rPr>
                <w:color w:val="auto"/>
                <w:szCs w:val="28"/>
                <w:highlight w:val="none"/>
              </w:rPr>
            </w:pPr>
          </w:p>
        </w:tc>
        <w:tc>
          <w:tcPr>
            <w:tcW w:w="437" w:type="pct"/>
          </w:tcPr>
          <w:p w14:paraId="699481A8">
            <w:pPr>
              <w:pStyle w:val="48"/>
              <w:spacing w:beforeAutospacing="0" w:afterAutospacing="0"/>
              <w:jc w:val="center"/>
              <w:rPr>
                <w:color w:val="auto"/>
                <w:sz w:val="28"/>
                <w:szCs w:val="28"/>
                <w:highlight w:val="none"/>
              </w:rPr>
            </w:pPr>
          </w:p>
        </w:tc>
        <w:tc>
          <w:tcPr>
            <w:tcW w:w="445" w:type="pct"/>
          </w:tcPr>
          <w:p w14:paraId="0D4005B1">
            <w:pPr>
              <w:pStyle w:val="48"/>
              <w:spacing w:beforeAutospacing="0" w:afterAutospacing="0"/>
              <w:jc w:val="center"/>
              <w:rPr>
                <w:color w:val="auto"/>
                <w:sz w:val="28"/>
                <w:szCs w:val="28"/>
                <w:highlight w:val="none"/>
              </w:rPr>
            </w:pPr>
          </w:p>
        </w:tc>
        <w:tc>
          <w:tcPr>
            <w:tcW w:w="1136" w:type="pct"/>
          </w:tcPr>
          <w:p w14:paraId="48F93CDD">
            <w:pPr>
              <w:pStyle w:val="48"/>
              <w:spacing w:beforeAutospacing="0" w:afterAutospacing="0"/>
              <w:jc w:val="center"/>
              <w:rPr>
                <w:color w:val="auto"/>
                <w:sz w:val="28"/>
                <w:szCs w:val="28"/>
                <w:highlight w:val="none"/>
              </w:rPr>
            </w:pPr>
          </w:p>
        </w:tc>
      </w:tr>
      <w:tr w14:paraId="1529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14:paraId="40FC4FD9">
            <w:pPr>
              <w:pStyle w:val="48"/>
              <w:spacing w:beforeAutospacing="0" w:afterAutospacing="0"/>
              <w:jc w:val="center"/>
              <w:rPr>
                <w:color w:val="auto"/>
                <w:sz w:val="28"/>
                <w:szCs w:val="28"/>
                <w:highlight w:val="none"/>
              </w:rPr>
            </w:pPr>
          </w:p>
        </w:tc>
        <w:tc>
          <w:tcPr>
            <w:tcW w:w="1340" w:type="pct"/>
            <w:vAlign w:val="center"/>
          </w:tcPr>
          <w:p w14:paraId="3FC89EF2">
            <w:pPr>
              <w:pStyle w:val="48"/>
              <w:spacing w:beforeAutospacing="0" w:afterAutospacing="0"/>
              <w:jc w:val="center"/>
              <w:rPr>
                <w:color w:val="auto"/>
                <w:szCs w:val="28"/>
                <w:highlight w:val="none"/>
              </w:rPr>
            </w:pPr>
          </w:p>
        </w:tc>
        <w:tc>
          <w:tcPr>
            <w:tcW w:w="340" w:type="pct"/>
          </w:tcPr>
          <w:p w14:paraId="1C297A97">
            <w:pPr>
              <w:pStyle w:val="48"/>
              <w:spacing w:beforeAutospacing="0" w:afterAutospacing="0"/>
              <w:jc w:val="center"/>
              <w:rPr>
                <w:color w:val="auto"/>
                <w:szCs w:val="28"/>
                <w:highlight w:val="none"/>
              </w:rPr>
            </w:pPr>
          </w:p>
        </w:tc>
        <w:tc>
          <w:tcPr>
            <w:tcW w:w="346" w:type="pct"/>
            <w:vAlign w:val="center"/>
          </w:tcPr>
          <w:p w14:paraId="17E65EB9">
            <w:pPr>
              <w:pStyle w:val="48"/>
              <w:spacing w:beforeAutospacing="0" w:afterAutospacing="0"/>
              <w:jc w:val="center"/>
              <w:rPr>
                <w:color w:val="auto"/>
                <w:szCs w:val="28"/>
                <w:highlight w:val="none"/>
              </w:rPr>
            </w:pPr>
          </w:p>
        </w:tc>
        <w:tc>
          <w:tcPr>
            <w:tcW w:w="574" w:type="pct"/>
            <w:vAlign w:val="center"/>
          </w:tcPr>
          <w:p w14:paraId="63E974CD">
            <w:pPr>
              <w:pStyle w:val="48"/>
              <w:spacing w:beforeAutospacing="0" w:afterAutospacing="0"/>
              <w:jc w:val="center"/>
              <w:rPr>
                <w:color w:val="auto"/>
                <w:szCs w:val="28"/>
                <w:highlight w:val="none"/>
              </w:rPr>
            </w:pPr>
          </w:p>
        </w:tc>
        <w:tc>
          <w:tcPr>
            <w:tcW w:w="437" w:type="pct"/>
          </w:tcPr>
          <w:p w14:paraId="1CB094EC">
            <w:pPr>
              <w:pStyle w:val="48"/>
              <w:spacing w:beforeAutospacing="0" w:afterAutospacing="0"/>
              <w:jc w:val="center"/>
              <w:rPr>
                <w:color w:val="auto"/>
                <w:sz w:val="28"/>
                <w:szCs w:val="28"/>
                <w:highlight w:val="none"/>
              </w:rPr>
            </w:pPr>
          </w:p>
        </w:tc>
        <w:tc>
          <w:tcPr>
            <w:tcW w:w="445" w:type="pct"/>
          </w:tcPr>
          <w:p w14:paraId="27A64A36">
            <w:pPr>
              <w:pStyle w:val="48"/>
              <w:spacing w:beforeAutospacing="0" w:afterAutospacing="0"/>
              <w:jc w:val="center"/>
              <w:rPr>
                <w:color w:val="auto"/>
                <w:sz w:val="28"/>
                <w:szCs w:val="28"/>
                <w:highlight w:val="none"/>
              </w:rPr>
            </w:pPr>
          </w:p>
        </w:tc>
        <w:tc>
          <w:tcPr>
            <w:tcW w:w="1136" w:type="pct"/>
          </w:tcPr>
          <w:p w14:paraId="64C60AB8">
            <w:pPr>
              <w:pStyle w:val="48"/>
              <w:spacing w:beforeAutospacing="0" w:afterAutospacing="0"/>
              <w:jc w:val="center"/>
              <w:rPr>
                <w:color w:val="auto"/>
                <w:sz w:val="28"/>
                <w:szCs w:val="28"/>
                <w:highlight w:val="none"/>
              </w:rPr>
            </w:pPr>
          </w:p>
        </w:tc>
      </w:tr>
      <w:tr w14:paraId="5D82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6" w:type="pct"/>
          </w:tcPr>
          <w:p w14:paraId="68CCEC72">
            <w:pPr>
              <w:pStyle w:val="48"/>
              <w:spacing w:beforeAutospacing="0" w:afterAutospacing="0"/>
              <w:jc w:val="center"/>
              <w:rPr>
                <w:color w:val="auto"/>
                <w:sz w:val="28"/>
                <w:szCs w:val="28"/>
                <w:highlight w:val="none"/>
              </w:rPr>
            </w:pPr>
          </w:p>
        </w:tc>
        <w:tc>
          <w:tcPr>
            <w:tcW w:w="1340" w:type="pct"/>
          </w:tcPr>
          <w:p w14:paraId="375E8AFD">
            <w:pPr>
              <w:pStyle w:val="48"/>
              <w:spacing w:beforeAutospacing="0" w:afterAutospacing="0"/>
              <w:jc w:val="center"/>
              <w:rPr>
                <w:color w:val="auto"/>
                <w:sz w:val="28"/>
                <w:szCs w:val="28"/>
                <w:highlight w:val="none"/>
              </w:rPr>
            </w:pPr>
          </w:p>
        </w:tc>
        <w:tc>
          <w:tcPr>
            <w:tcW w:w="340" w:type="pct"/>
          </w:tcPr>
          <w:p w14:paraId="0F19C081">
            <w:pPr>
              <w:jc w:val="center"/>
              <w:rPr>
                <w:rFonts w:cs="宋体"/>
                <w:color w:val="auto"/>
                <w:sz w:val="28"/>
                <w:szCs w:val="28"/>
                <w:highlight w:val="none"/>
              </w:rPr>
            </w:pPr>
          </w:p>
        </w:tc>
        <w:tc>
          <w:tcPr>
            <w:tcW w:w="346" w:type="pct"/>
          </w:tcPr>
          <w:p w14:paraId="22EE868A">
            <w:pPr>
              <w:pStyle w:val="48"/>
              <w:spacing w:beforeAutospacing="0" w:afterAutospacing="0"/>
              <w:jc w:val="center"/>
              <w:rPr>
                <w:color w:val="auto"/>
                <w:sz w:val="28"/>
                <w:szCs w:val="28"/>
                <w:highlight w:val="none"/>
              </w:rPr>
            </w:pPr>
          </w:p>
        </w:tc>
        <w:tc>
          <w:tcPr>
            <w:tcW w:w="574" w:type="pct"/>
          </w:tcPr>
          <w:p w14:paraId="6F6F4A91">
            <w:pPr>
              <w:pStyle w:val="48"/>
              <w:spacing w:beforeAutospacing="0" w:afterAutospacing="0"/>
              <w:jc w:val="center"/>
              <w:rPr>
                <w:color w:val="auto"/>
                <w:sz w:val="28"/>
                <w:szCs w:val="28"/>
                <w:highlight w:val="none"/>
              </w:rPr>
            </w:pPr>
          </w:p>
        </w:tc>
        <w:tc>
          <w:tcPr>
            <w:tcW w:w="437" w:type="pct"/>
          </w:tcPr>
          <w:p w14:paraId="44A0D585">
            <w:pPr>
              <w:pStyle w:val="48"/>
              <w:spacing w:beforeAutospacing="0" w:afterAutospacing="0"/>
              <w:jc w:val="center"/>
              <w:rPr>
                <w:color w:val="auto"/>
                <w:sz w:val="28"/>
                <w:szCs w:val="28"/>
                <w:highlight w:val="none"/>
              </w:rPr>
            </w:pPr>
          </w:p>
        </w:tc>
        <w:tc>
          <w:tcPr>
            <w:tcW w:w="445" w:type="pct"/>
          </w:tcPr>
          <w:p w14:paraId="13BA366A">
            <w:pPr>
              <w:pStyle w:val="48"/>
              <w:spacing w:beforeAutospacing="0" w:afterAutospacing="0"/>
              <w:jc w:val="center"/>
              <w:rPr>
                <w:color w:val="auto"/>
                <w:sz w:val="28"/>
                <w:szCs w:val="28"/>
                <w:highlight w:val="none"/>
              </w:rPr>
            </w:pPr>
          </w:p>
        </w:tc>
        <w:tc>
          <w:tcPr>
            <w:tcW w:w="1136" w:type="pct"/>
          </w:tcPr>
          <w:p w14:paraId="7A80F84F">
            <w:pPr>
              <w:pStyle w:val="48"/>
              <w:spacing w:beforeAutospacing="0" w:afterAutospacing="0"/>
              <w:jc w:val="center"/>
              <w:rPr>
                <w:color w:val="auto"/>
                <w:sz w:val="28"/>
                <w:szCs w:val="28"/>
                <w:highlight w:val="none"/>
              </w:rPr>
            </w:pPr>
          </w:p>
        </w:tc>
      </w:tr>
      <w:tr w14:paraId="3B1D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14:paraId="1002F838">
            <w:pPr>
              <w:pStyle w:val="48"/>
              <w:spacing w:beforeAutospacing="0" w:afterAutospacing="0"/>
              <w:jc w:val="center"/>
              <w:rPr>
                <w:color w:val="auto"/>
                <w:sz w:val="28"/>
                <w:szCs w:val="28"/>
                <w:highlight w:val="none"/>
              </w:rPr>
            </w:pPr>
          </w:p>
        </w:tc>
        <w:tc>
          <w:tcPr>
            <w:tcW w:w="1340" w:type="pct"/>
          </w:tcPr>
          <w:p w14:paraId="1D8FB24C">
            <w:pPr>
              <w:pStyle w:val="48"/>
              <w:spacing w:beforeAutospacing="0" w:afterAutospacing="0"/>
              <w:jc w:val="center"/>
              <w:rPr>
                <w:color w:val="auto"/>
                <w:sz w:val="28"/>
                <w:szCs w:val="28"/>
                <w:highlight w:val="none"/>
              </w:rPr>
            </w:pPr>
          </w:p>
        </w:tc>
        <w:tc>
          <w:tcPr>
            <w:tcW w:w="340" w:type="pct"/>
          </w:tcPr>
          <w:p w14:paraId="6BB3B283">
            <w:pPr>
              <w:jc w:val="center"/>
              <w:rPr>
                <w:rFonts w:cs="宋体"/>
                <w:color w:val="auto"/>
                <w:sz w:val="28"/>
                <w:szCs w:val="28"/>
                <w:highlight w:val="none"/>
              </w:rPr>
            </w:pPr>
          </w:p>
        </w:tc>
        <w:tc>
          <w:tcPr>
            <w:tcW w:w="346" w:type="pct"/>
          </w:tcPr>
          <w:p w14:paraId="2D7D9ADD">
            <w:pPr>
              <w:pStyle w:val="48"/>
              <w:spacing w:beforeAutospacing="0" w:afterAutospacing="0"/>
              <w:jc w:val="center"/>
              <w:rPr>
                <w:color w:val="auto"/>
                <w:sz w:val="28"/>
                <w:szCs w:val="28"/>
                <w:highlight w:val="none"/>
              </w:rPr>
            </w:pPr>
          </w:p>
        </w:tc>
        <w:tc>
          <w:tcPr>
            <w:tcW w:w="574" w:type="pct"/>
          </w:tcPr>
          <w:p w14:paraId="0591156E">
            <w:pPr>
              <w:pStyle w:val="48"/>
              <w:spacing w:beforeAutospacing="0" w:afterAutospacing="0"/>
              <w:jc w:val="center"/>
              <w:rPr>
                <w:color w:val="auto"/>
                <w:sz w:val="28"/>
                <w:szCs w:val="28"/>
                <w:highlight w:val="none"/>
              </w:rPr>
            </w:pPr>
          </w:p>
        </w:tc>
        <w:tc>
          <w:tcPr>
            <w:tcW w:w="437" w:type="pct"/>
          </w:tcPr>
          <w:p w14:paraId="0F21E2AC">
            <w:pPr>
              <w:pStyle w:val="48"/>
              <w:spacing w:beforeAutospacing="0" w:afterAutospacing="0"/>
              <w:jc w:val="center"/>
              <w:rPr>
                <w:color w:val="auto"/>
                <w:sz w:val="28"/>
                <w:szCs w:val="28"/>
                <w:highlight w:val="none"/>
              </w:rPr>
            </w:pPr>
          </w:p>
        </w:tc>
        <w:tc>
          <w:tcPr>
            <w:tcW w:w="445" w:type="pct"/>
          </w:tcPr>
          <w:p w14:paraId="1E187FA6">
            <w:pPr>
              <w:pStyle w:val="48"/>
              <w:spacing w:beforeAutospacing="0" w:afterAutospacing="0"/>
              <w:jc w:val="center"/>
              <w:rPr>
                <w:color w:val="auto"/>
                <w:sz w:val="28"/>
                <w:szCs w:val="28"/>
                <w:highlight w:val="none"/>
              </w:rPr>
            </w:pPr>
          </w:p>
        </w:tc>
        <w:tc>
          <w:tcPr>
            <w:tcW w:w="1136" w:type="pct"/>
          </w:tcPr>
          <w:p w14:paraId="1391058B">
            <w:pPr>
              <w:pStyle w:val="48"/>
              <w:spacing w:beforeAutospacing="0" w:afterAutospacing="0"/>
              <w:jc w:val="center"/>
              <w:rPr>
                <w:color w:val="auto"/>
                <w:sz w:val="28"/>
                <w:szCs w:val="28"/>
                <w:highlight w:val="none"/>
              </w:rPr>
            </w:pPr>
          </w:p>
        </w:tc>
      </w:tr>
      <w:tr w14:paraId="4845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14:paraId="29350455">
            <w:pPr>
              <w:pStyle w:val="48"/>
              <w:spacing w:beforeAutospacing="0" w:afterAutospacing="0"/>
              <w:jc w:val="center"/>
              <w:rPr>
                <w:color w:val="auto"/>
                <w:sz w:val="28"/>
                <w:szCs w:val="28"/>
                <w:highlight w:val="none"/>
              </w:rPr>
            </w:pPr>
          </w:p>
        </w:tc>
        <w:tc>
          <w:tcPr>
            <w:tcW w:w="1340" w:type="pct"/>
          </w:tcPr>
          <w:p w14:paraId="12F7DA17">
            <w:pPr>
              <w:pStyle w:val="48"/>
              <w:spacing w:beforeAutospacing="0" w:afterAutospacing="0"/>
              <w:jc w:val="center"/>
              <w:rPr>
                <w:color w:val="auto"/>
                <w:sz w:val="28"/>
                <w:szCs w:val="28"/>
                <w:highlight w:val="none"/>
              </w:rPr>
            </w:pPr>
          </w:p>
        </w:tc>
        <w:tc>
          <w:tcPr>
            <w:tcW w:w="340" w:type="pct"/>
          </w:tcPr>
          <w:p w14:paraId="1B484323">
            <w:pPr>
              <w:jc w:val="center"/>
              <w:rPr>
                <w:rFonts w:cs="宋体"/>
                <w:color w:val="auto"/>
                <w:sz w:val="28"/>
                <w:szCs w:val="28"/>
                <w:highlight w:val="none"/>
              </w:rPr>
            </w:pPr>
          </w:p>
        </w:tc>
        <w:tc>
          <w:tcPr>
            <w:tcW w:w="346" w:type="pct"/>
          </w:tcPr>
          <w:p w14:paraId="2D0ACA44">
            <w:pPr>
              <w:pStyle w:val="48"/>
              <w:spacing w:beforeAutospacing="0" w:afterAutospacing="0"/>
              <w:jc w:val="center"/>
              <w:rPr>
                <w:color w:val="auto"/>
                <w:sz w:val="28"/>
                <w:szCs w:val="28"/>
                <w:highlight w:val="none"/>
              </w:rPr>
            </w:pPr>
          </w:p>
        </w:tc>
        <w:tc>
          <w:tcPr>
            <w:tcW w:w="574" w:type="pct"/>
          </w:tcPr>
          <w:p w14:paraId="20ED42B9">
            <w:pPr>
              <w:pStyle w:val="48"/>
              <w:spacing w:beforeAutospacing="0" w:afterAutospacing="0"/>
              <w:jc w:val="center"/>
              <w:rPr>
                <w:color w:val="auto"/>
                <w:sz w:val="28"/>
                <w:szCs w:val="28"/>
                <w:highlight w:val="none"/>
              </w:rPr>
            </w:pPr>
          </w:p>
        </w:tc>
        <w:tc>
          <w:tcPr>
            <w:tcW w:w="437" w:type="pct"/>
          </w:tcPr>
          <w:p w14:paraId="6703C8F5">
            <w:pPr>
              <w:pStyle w:val="48"/>
              <w:spacing w:beforeAutospacing="0" w:afterAutospacing="0"/>
              <w:jc w:val="center"/>
              <w:rPr>
                <w:color w:val="auto"/>
                <w:sz w:val="28"/>
                <w:szCs w:val="28"/>
                <w:highlight w:val="none"/>
              </w:rPr>
            </w:pPr>
          </w:p>
        </w:tc>
        <w:tc>
          <w:tcPr>
            <w:tcW w:w="445" w:type="pct"/>
          </w:tcPr>
          <w:p w14:paraId="68B78BE6">
            <w:pPr>
              <w:pStyle w:val="48"/>
              <w:spacing w:beforeAutospacing="0" w:afterAutospacing="0"/>
              <w:jc w:val="center"/>
              <w:rPr>
                <w:color w:val="auto"/>
                <w:sz w:val="28"/>
                <w:szCs w:val="28"/>
                <w:highlight w:val="none"/>
              </w:rPr>
            </w:pPr>
          </w:p>
        </w:tc>
        <w:tc>
          <w:tcPr>
            <w:tcW w:w="1136" w:type="pct"/>
          </w:tcPr>
          <w:p w14:paraId="2AE3AC78">
            <w:pPr>
              <w:pStyle w:val="48"/>
              <w:spacing w:beforeAutospacing="0" w:afterAutospacing="0"/>
              <w:jc w:val="center"/>
              <w:rPr>
                <w:color w:val="auto"/>
                <w:sz w:val="28"/>
                <w:szCs w:val="28"/>
                <w:highlight w:val="none"/>
              </w:rPr>
            </w:pPr>
          </w:p>
        </w:tc>
      </w:tr>
      <w:tr w14:paraId="10A90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76" w:type="pct"/>
          </w:tcPr>
          <w:p w14:paraId="6C67C5B4">
            <w:pPr>
              <w:pStyle w:val="48"/>
              <w:spacing w:beforeAutospacing="0" w:afterAutospacing="0"/>
              <w:jc w:val="center"/>
              <w:rPr>
                <w:color w:val="auto"/>
                <w:sz w:val="28"/>
                <w:szCs w:val="28"/>
                <w:highlight w:val="none"/>
              </w:rPr>
            </w:pPr>
          </w:p>
        </w:tc>
        <w:tc>
          <w:tcPr>
            <w:tcW w:w="1340" w:type="pct"/>
          </w:tcPr>
          <w:p w14:paraId="0A511F30">
            <w:pPr>
              <w:pStyle w:val="48"/>
              <w:spacing w:beforeAutospacing="0" w:afterAutospacing="0"/>
              <w:jc w:val="center"/>
              <w:rPr>
                <w:color w:val="auto"/>
                <w:sz w:val="28"/>
                <w:szCs w:val="28"/>
                <w:highlight w:val="none"/>
              </w:rPr>
            </w:pPr>
          </w:p>
        </w:tc>
        <w:tc>
          <w:tcPr>
            <w:tcW w:w="340" w:type="pct"/>
          </w:tcPr>
          <w:p w14:paraId="69992106">
            <w:pPr>
              <w:jc w:val="center"/>
              <w:rPr>
                <w:rFonts w:cs="宋体"/>
                <w:color w:val="auto"/>
                <w:sz w:val="28"/>
                <w:szCs w:val="28"/>
                <w:highlight w:val="none"/>
              </w:rPr>
            </w:pPr>
          </w:p>
        </w:tc>
        <w:tc>
          <w:tcPr>
            <w:tcW w:w="346" w:type="pct"/>
          </w:tcPr>
          <w:p w14:paraId="15C7C93F">
            <w:pPr>
              <w:pStyle w:val="48"/>
              <w:spacing w:beforeAutospacing="0" w:afterAutospacing="0"/>
              <w:jc w:val="center"/>
              <w:rPr>
                <w:color w:val="auto"/>
                <w:sz w:val="28"/>
                <w:szCs w:val="28"/>
                <w:highlight w:val="none"/>
              </w:rPr>
            </w:pPr>
          </w:p>
        </w:tc>
        <w:tc>
          <w:tcPr>
            <w:tcW w:w="574" w:type="pct"/>
          </w:tcPr>
          <w:p w14:paraId="677C62D1">
            <w:pPr>
              <w:pStyle w:val="48"/>
              <w:spacing w:beforeAutospacing="0" w:afterAutospacing="0"/>
              <w:jc w:val="center"/>
              <w:rPr>
                <w:color w:val="auto"/>
                <w:sz w:val="28"/>
                <w:szCs w:val="28"/>
                <w:highlight w:val="none"/>
              </w:rPr>
            </w:pPr>
          </w:p>
        </w:tc>
        <w:tc>
          <w:tcPr>
            <w:tcW w:w="437" w:type="pct"/>
          </w:tcPr>
          <w:p w14:paraId="549BF6DC">
            <w:pPr>
              <w:pStyle w:val="48"/>
              <w:spacing w:beforeAutospacing="0" w:afterAutospacing="0"/>
              <w:jc w:val="center"/>
              <w:rPr>
                <w:color w:val="auto"/>
                <w:sz w:val="28"/>
                <w:szCs w:val="28"/>
                <w:highlight w:val="none"/>
              </w:rPr>
            </w:pPr>
          </w:p>
        </w:tc>
        <w:tc>
          <w:tcPr>
            <w:tcW w:w="445" w:type="pct"/>
          </w:tcPr>
          <w:p w14:paraId="415B67FA">
            <w:pPr>
              <w:pStyle w:val="48"/>
              <w:spacing w:beforeAutospacing="0" w:afterAutospacing="0"/>
              <w:jc w:val="center"/>
              <w:rPr>
                <w:color w:val="auto"/>
                <w:sz w:val="28"/>
                <w:szCs w:val="28"/>
                <w:highlight w:val="none"/>
              </w:rPr>
            </w:pPr>
          </w:p>
        </w:tc>
        <w:tc>
          <w:tcPr>
            <w:tcW w:w="1136" w:type="pct"/>
          </w:tcPr>
          <w:p w14:paraId="02A05E7E">
            <w:pPr>
              <w:pStyle w:val="48"/>
              <w:spacing w:beforeAutospacing="0" w:afterAutospacing="0"/>
              <w:jc w:val="center"/>
              <w:rPr>
                <w:color w:val="auto"/>
                <w:sz w:val="28"/>
                <w:szCs w:val="28"/>
                <w:highlight w:val="none"/>
              </w:rPr>
            </w:pPr>
          </w:p>
        </w:tc>
      </w:tr>
      <w:bookmarkEnd w:id="183"/>
      <w:tr w14:paraId="2817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17" w:type="pct"/>
            <w:gridSpan w:val="6"/>
          </w:tcPr>
          <w:p w14:paraId="11027A1A">
            <w:pPr>
              <w:pStyle w:val="48"/>
              <w:spacing w:beforeAutospacing="0" w:afterAutospacing="0"/>
              <w:jc w:val="center"/>
              <w:rPr>
                <w:color w:val="auto"/>
                <w:sz w:val="28"/>
                <w:szCs w:val="28"/>
                <w:highlight w:val="none"/>
              </w:rPr>
            </w:pPr>
            <w:r>
              <w:rPr>
                <w:rFonts w:hint="eastAsia"/>
                <w:color w:val="auto"/>
                <w:sz w:val="28"/>
                <w:szCs w:val="28"/>
                <w:highlight w:val="none"/>
              </w:rPr>
              <w:t>合计（元）</w:t>
            </w:r>
          </w:p>
        </w:tc>
        <w:tc>
          <w:tcPr>
            <w:tcW w:w="445" w:type="pct"/>
          </w:tcPr>
          <w:p w14:paraId="75711A60">
            <w:pPr>
              <w:pStyle w:val="48"/>
              <w:spacing w:beforeAutospacing="0" w:afterAutospacing="0"/>
              <w:jc w:val="center"/>
              <w:rPr>
                <w:color w:val="auto"/>
                <w:sz w:val="28"/>
                <w:szCs w:val="28"/>
                <w:highlight w:val="none"/>
              </w:rPr>
            </w:pPr>
          </w:p>
        </w:tc>
        <w:tc>
          <w:tcPr>
            <w:tcW w:w="1136" w:type="pct"/>
          </w:tcPr>
          <w:p w14:paraId="6D388853">
            <w:pPr>
              <w:pStyle w:val="48"/>
              <w:spacing w:beforeAutospacing="0" w:afterAutospacing="0"/>
              <w:jc w:val="center"/>
              <w:rPr>
                <w:color w:val="auto"/>
                <w:sz w:val="28"/>
                <w:szCs w:val="28"/>
                <w:highlight w:val="none"/>
              </w:rPr>
            </w:pPr>
          </w:p>
        </w:tc>
      </w:tr>
    </w:tbl>
    <w:p w14:paraId="36868043">
      <w:pPr>
        <w:pStyle w:val="48"/>
        <w:spacing w:beforeAutospacing="0" w:afterAutospacing="0"/>
        <w:jc w:val="both"/>
        <w:rPr>
          <w:b/>
          <w:color w:val="auto"/>
          <w:sz w:val="32"/>
          <w:szCs w:val="32"/>
          <w:highlight w:val="none"/>
        </w:rPr>
        <w:sectPr>
          <w:headerReference r:id="rId4" w:type="default"/>
          <w:footerReference r:id="rId5" w:type="default"/>
          <w:pgSz w:w="16838" w:h="11906" w:orient="landscape"/>
          <w:pgMar w:top="1080" w:right="1440" w:bottom="1080" w:left="1440" w:header="851" w:footer="992" w:gutter="0"/>
          <w:cols w:space="720" w:num="1"/>
          <w:docGrid w:linePitch="360" w:charSpace="0"/>
        </w:sectPr>
      </w:pPr>
      <w:r>
        <w:rPr>
          <w:rFonts w:hint="eastAsia"/>
          <w:b/>
          <w:color w:val="auto"/>
          <w:highlight w:val="none"/>
        </w:rPr>
        <w:t>投标人全称（加盖CA电子公章）</w:t>
      </w:r>
      <w:r>
        <w:rPr>
          <w:rFonts w:hint="eastAsia"/>
          <w:b/>
          <w:color w:val="auto"/>
          <w:sz w:val="32"/>
          <w:szCs w:val="32"/>
          <w:highlight w:val="none"/>
        </w:rPr>
        <w:t>：</w:t>
      </w:r>
    </w:p>
    <w:p w14:paraId="1847221E">
      <w:pPr>
        <w:pStyle w:val="48"/>
        <w:numPr>
          <w:ilvl w:val="0"/>
          <w:numId w:val="6"/>
        </w:numPr>
        <w:spacing w:beforeAutospacing="0" w:afterAutospacing="0"/>
        <w:jc w:val="center"/>
        <w:rPr>
          <w:b/>
          <w:color w:val="auto"/>
          <w:sz w:val="32"/>
          <w:szCs w:val="32"/>
          <w:highlight w:val="none"/>
        </w:rPr>
      </w:pPr>
      <w:r>
        <w:rPr>
          <w:rFonts w:hint="eastAsia"/>
          <w:b/>
          <w:color w:val="auto"/>
          <w:sz w:val="32"/>
          <w:szCs w:val="32"/>
          <w:highlight w:val="none"/>
        </w:rPr>
        <w:t>技术要求响应及偏离表</w:t>
      </w:r>
    </w:p>
    <w:p w14:paraId="649EA946">
      <w:pPr>
        <w:pStyle w:val="48"/>
        <w:spacing w:beforeAutospacing="0" w:afterAutospacing="0"/>
        <w:jc w:val="both"/>
        <w:rPr>
          <w:b/>
          <w:color w:val="auto"/>
          <w:highlight w:val="none"/>
        </w:rPr>
      </w:pPr>
      <w:r>
        <w:rPr>
          <w:rFonts w:hint="eastAsia"/>
          <w:b/>
          <w:color w:val="auto"/>
          <w:highlight w:val="none"/>
        </w:rPr>
        <w:t>投标人全称（加盖投标人CA电子公章）</w:t>
      </w:r>
    </w:p>
    <w:tbl>
      <w:tblPr>
        <w:tblStyle w:val="53"/>
        <w:tblW w:w="9978" w:type="dxa"/>
        <w:tblCellSpacing w:w="0" w:type="dxa"/>
        <w:tblInd w:w="0" w:type="dxa"/>
        <w:tblLayout w:type="fixed"/>
        <w:tblCellMar>
          <w:top w:w="0" w:type="dxa"/>
          <w:left w:w="108" w:type="dxa"/>
          <w:bottom w:w="0" w:type="dxa"/>
          <w:right w:w="108" w:type="dxa"/>
        </w:tblCellMar>
      </w:tblPr>
      <w:tblGrid>
        <w:gridCol w:w="982"/>
        <w:gridCol w:w="1782"/>
        <w:gridCol w:w="1486"/>
        <w:gridCol w:w="1457"/>
        <w:gridCol w:w="1317"/>
        <w:gridCol w:w="2954"/>
      </w:tblGrid>
      <w:tr w14:paraId="1BD9311E">
        <w:tblPrEx>
          <w:tblCellMar>
            <w:top w:w="0" w:type="dxa"/>
            <w:left w:w="108" w:type="dxa"/>
            <w:bottom w:w="0" w:type="dxa"/>
            <w:right w:w="108" w:type="dxa"/>
          </w:tblCellMar>
        </w:tblPrEx>
        <w:trPr>
          <w:tblCellSpacing w:w="0" w:type="dxa"/>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AAF3">
            <w:pPr>
              <w:pStyle w:val="48"/>
              <w:spacing w:beforeAutospacing="0" w:afterAutospacing="0"/>
              <w:jc w:val="center"/>
              <w:rPr>
                <w:color w:val="auto"/>
                <w:highlight w:val="none"/>
              </w:rPr>
            </w:pPr>
            <w:r>
              <w:rPr>
                <w:rFonts w:hint="eastAsia"/>
                <w:color w:val="auto"/>
                <w:highlight w:val="none"/>
              </w:rPr>
              <w:t>序号</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3CF7">
            <w:pPr>
              <w:pStyle w:val="48"/>
              <w:spacing w:beforeAutospacing="0" w:afterAutospacing="0"/>
              <w:jc w:val="center"/>
              <w:rPr>
                <w:color w:val="auto"/>
                <w:highlight w:val="none"/>
              </w:rPr>
            </w:pPr>
            <w:r>
              <w:rPr>
                <w:rFonts w:hint="eastAsia"/>
                <w:color w:val="auto"/>
                <w:highlight w:val="none"/>
              </w:rPr>
              <w:t>招标文件要求</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D148">
            <w:pPr>
              <w:pStyle w:val="48"/>
              <w:spacing w:beforeAutospacing="0" w:afterAutospacing="0"/>
              <w:jc w:val="center"/>
              <w:rPr>
                <w:color w:val="auto"/>
                <w:highlight w:val="none"/>
              </w:rPr>
            </w:pPr>
            <w:r>
              <w:rPr>
                <w:rFonts w:hint="eastAsia"/>
                <w:color w:val="auto"/>
                <w:highlight w:val="none"/>
              </w:rPr>
              <w:t>投标响应情况</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5A9D">
            <w:pPr>
              <w:pStyle w:val="48"/>
              <w:spacing w:beforeAutospacing="0" w:afterAutospacing="0"/>
              <w:jc w:val="center"/>
              <w:rPr>
                <w:color w:val="auto"/>
                <w:highlight w:val="none"/>
              </w:rPr>
            </w:pPr>
            <w:r>
              <w:rPr>
                <w:rFonts w:hint="eastAsia"/>
                <w:color w:val="auto"/>
                <w:highlight w:val="none"/>
              </w:rPr>
              <w:t>超出、符合或偏离</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E0CE">
            <w:pPr>
              <w:pStyle w:val="48"/>
              <w:spacing w:beforeAutospacing="0" w:afterAutospacing="0"/>
              <w:jc w:val="center"/>
              <w:rPr>
                <w:color w:val="auto"/>
                <w:highlight w:val="none"/>
              </w:rPr>
            </w:pPr>
            <w:r>
              <w:rPr>
                <w:rFonts w:hint="eastAsia"/>
                <w:color w:val="auto"/>
                <w:highlight w:val="none"/>
              </w:rPr>
              <w:t>原因</w:t>
            </w: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42D4">
            <w:pPr>
              <w:pStyle w:val="48"/>
              <w:spacing w:beforeAutospacing="0" w:afterAutospacing="0"/>
              <w:jc w:val="center"/>
              <w:rPr>
                <w:color w:val="auto"/>
                <w:highlight w:val="none"/>
              </w:rPr>
            </w:pPr>
            <w:r>
              <w:rPr>
                <w:rFonts w:hint="eastAsia"/>
                <w:color w:val="auto"/>
                <w:highlight w:val="none"/>
              </w:rPr>
              <w:t>备注（具体响应材料在投标文件中页码、行数等）</w:t>
            </w:r>
          </w:p>
        </w:tc>
      </w:tr>
      <w:tr w14:paraId="2EBBA825">
        <w:tblPrEx>
          <w:tblCellMar>
            <w:top w:w="0" w:type="dxa"/>
            <w:left w:w="108" w:type="dxa"/>
            <w:bottom w:w="0" w:type="dxa"/>
            <w:right w:w="108" w:type="dxa"/>
          </w:tblCellMar>
        </w:tblPrEx>
        <w:trPr>
          <w:trHeight w:val="640" w:hRule="atLeast"/>
          <w:tblCellSpacing w:w="0" w:type="dxa"/>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0010">
            <w:pPr>
              <w:pStyle w:val="48"/>
              <w:spacing w:beforeAutospacing="0" w:afterAutospacing="0"/>
              <w:jc w:val="center"/>
              <w:rPr>
                <w:color w:val="auto"/>
                <w:highlight w:val="none"/>
              </w:rPr>
            </w:pPr>
            <w:r>
              <w:rPr>
                <w:rFonts w:hint="eastAsia"/>
                <w:color w:val="auto"/>
                <w:highlight w:val="none"/>
              </w:rPr>
              <w:t> </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C829">
            <w:pPr>
              <w:pStyle w:val="48"/>
              <w:spacing w:beforeAutospacing="0" w:afterAutospacing="0"/>
              <w:jc w:val="center"/>
              <w:rPr>
                <w:color w:val="auto"/>
                <w:highlight w:val="none"/>
              </w:rPr>
            </w:pPr>
            <w:r>
              <w:rPr>
                <w:rFonts w:hint="eastAsia"/>
                <w:color w:val="auto"/>
                <w:highlight w:val="none"/>
              </w:rPr>
              <w:t>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75B7">
            <w:pPr>
              <w:pStyle w:val="48"/>
              <w:spacing w:beforeAutospacing="0" w:afterAutospacing="0"/>
              <w:jc w:val="center"/>
              <w:rPr>
                <w:color w:val="auto"/>
                <w:highlight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82A6">
            <w:pPr>
              <w:pStyle w:val="48"/>
              <w:spacing w:beforeAutospacing="0" w:afterAutospacing="0"/>
              <w:jc w:val="center"/>
              <w:rPr>
                <w:color w:val="auto"/>
                <w:highlight w:val="none"/>
              </w:rPr>
            </w:pPr>
            <w:r>
              <w:rPr>
                <w:rFonts w:hint="eastAsia"/>
                <w:color w:val="auto"/>
                <w:highlight w:val="none"/>
              </w:rPr>
              <w:t> </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7535">
            <w:pPr>
              <w:pStyle w:val="48"/>
              <w:spacing w:beforeAutospacing="0" w:afterAutospacing="0"/>
              <w:jc w:val="center"/>
              <w:rPr>
                <w:color w:val="auto"/>
                <w:highlight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2D51">
            <w:pPr>
              <w:pStyle w:val="48"/>
              <w:spacing w:beforeAutospacing="0" w:afterAutospacing="0"/>
              <w:jc w:val="center"/>
              <w:rPr>
                <w:color w:val="auto"/>
                <w:highlight w:val="none"/>
              </w:rPr>
            </w:pPr>
            <w:r>
              <w:rPr>
                <w:rFonts w:hint="eastAsia"/>
                <w:color w:val="auto"/>
                <w:highlight w:val="none"/>
              </w:rPr>
              <w:t> </w:t>
            </w:r>
          </w:p>
        </w:tc>
      </w:tr>
      <w:tr w14:paraId="567801EA">
        <w:tblPrEx>
          <w:tblCellMar>
            <w:top w:w="0" w:type="dxa"/>
            <w:left w:w="108" w:type="dxa"/>
            <w:bottom w:w="0" w:type="dxa"/>
            <w:right w:w="108" w:type="dxa"/>
          </w:tblCellMar>
        </w:tblPrEx>
        <w:trPr>
          <w:trHeight w:val="640" w:hRule="atLeast"/>
          <w:tblCellSpacing w:w="0" w:type="dxa"/>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7293">
            <w:pPr>
              <w:pStyle w:val="48"/>
              <w:spacing w:beforeAutospacing="0" w:afterAutospacing="0"/>
              <w:jc w:val="center"/>
              <w:rPr>
                <w:color w:val="auto"/>
                <w:highlight w:val="none"/>
              </w:rPr>
            </w:pPr>
            <w:r>
              <w:rPr>
                <w:rFonts w:hint="eastAsia"/>
                <w:color w:val="auto"/>
                <w:highlight w:val="none"/>
              </w:rPr>
              <w:t> </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9C7B">
            <w:pPr>
              <w:pStyle w:val="48"/>
              <w:spacing w:beforeAutospacing="0" w:afterAutospacing="0"/>
              <w:jc w:val="center"/>
              <w:rPr>
                <w:color w:val="auto"/>
                <w:highlight w:val="none"/>
              </w:rPr>
            </w:pPr>
            <w:r>
              <w:rPr>
                <w:rFonts w:hint="eastAsia"/>
                <w:color w:val="auto"/>
                <w:highlight w:val="none"/>
              </w:rPr>
              <w:t>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B2B98">
            <w:pPr>
              <w:pStyle w:val="48"/>
              <w:spacing w:beforeAutospacing="0" w:afterAutospacing="0"/>
              <w:jc w:val="center"/>
              <w:rPr>
                <w:color w:val="auto"/>
                <w:highlight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105B">
            <w:pPr>
              <w:pStyle w:val="48"/>
              <w:spacing w:beforeAutospacing="0" w:afterAutospacing="0"/>
              <w:jc w:val="center"/>
              <w:rPr>
                <w:color w:val="auto"/>
                <w:highlight w:val="none"/>
              </w:rPr>
            </w:pPr>
            <w:r>
              <w:rPr>
                <w:rFonts w:hint="eastAsia"/>
                <w:color w:val="auto"/>
                <w:highlight w:val="none"/>
              </w:rPr>
              <w:t> </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DDEE">
            <w:pPr>
              <w:pStyle w:val="48"/>
              <w:spacing w:beforeAutospacing="0" w:afterAutospacing="0"/>
              <w:jc w:val="center"/>
              <w:rPr>
                <w:color w:val="auto"/>
                <w:highlight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125E">
            <w:pPr>
              <w:pStyle w:val="48"/>
              <w:spacing w:beforeAutospacing="0" w:afterAutospacing="0"/>
              <w:jc w:val="center"/>
              <w:rPr>
                <w:color w:val="auto"/>
                <w:highlight w:val="none"/>
              </w:rPr>
            </w:pPr>
            <w:r>
              <w:rPr>
                <w:rFonts w:hint="eastAsia"/>
                <w:color w:val="auto"/>
                <w:highlight w:val="none"/>
              </w:rPr>
              <w:t> </w:t>
            </w:r>
          </w:p>
        </w:tc>
      </w:tr>
      <w:tr w14:paraId="54EF090E">
        <w:tblPrEx>
          <w:tblCellMar>
            <w:top w:w="0" w:type="dxa"/>
            <w:left w:w="108" w:type="dxa"/>
            <w:bottom w:w="0" w:type="dxa"/>
            <w:right w:w="108" w:type="dxa"/>
          </w:tblCellMar>
        </w:tblPrEx>
        <w:trPr>
          <w:trHeight w:val="640" w:hRule="atLeast"/>
          <w:tblCellSpacing w:w="0" w:type="dxa"/>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C5D3">
            <w:pPr>
              <w:pStyle w:val="48"/>
              <w:spacing w:beforeAutospacing="0" w:afterAutospacing="0"/>
              <w:jc w:val="center"/>
              <w:rPr>
                <w:color w:val="auto"/>
                <w:highlight w:val="none"/>
              </w:rPr>
            </w:pPr>
            <w:r>
              <w:rPr>
                <w:rFonts w:hint="eastAsia"/>
                <w:color w:val="auto"/>
                <w:highlight w:val="none"/>
              </w:rPr>
              <w:t> </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606E">
            <w:pPr>
              <w:pStyle w:val="48"/>
              <w:spacing w:beforeAutospacing="0" w:afterAutospacing="0"/>
              <w:jc w:val="center"/>
              <w:rPr>
                <w:color w:val="auto"/>
                <w:highlight w:val="none"/>
              </w:rPr>
            </w:pPr>
            <w:r>
              <w:rPr>
                <w:rFonts w:hint="eastAsia"/>
                <w:color w:val="auto"/>
                <w:highlight w:val="none"/>
              </w:rPr>
              <w:t>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2899">
            <w:pPr>
              <w:pStyle w:val="48"/>
              <w:spacing w:beforeAutospacing="0" w:afterAutospacing="0"/>
              <w:jc w:val="center"/>
              <w:rPr>
                <w:color w:val="auto"/>
                <w:highlight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2D47">
            <w:pPr>
              <w:pStyle w:val="48"/>
              <w:spacing w:beforeAutospacing="0" w:afterAutospacing="0"/>
              <w:jc w:val="center"/>
              <w:rPr>
                <w:color w:val="auto"/>
                <w:highlight w:val="none"/>
              </w:rPr>
            </w:pPr>
            <w:r>
              <w:rPr>
                <w:rFonts w:hint="eastAsia"/>
                <w:color w:val="auto"/>
                <w:highlight w:val="none"/>
              </w:rPr>
              <w:t> </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043C">
            <w:pPr>
              <w:pStyle w:val="48"/>
              <w:spacing w:beforeAutospacing="0" w:afterAutospacing="0"/>
              <w:jc w:val="center"/>
              <w:rPr>
                <w:color w:val="auto"/>
                <w:highlight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6B125">
            <w:pPr>
              <w:pStyle w:val="48"/>
              <w:spacing w:beforeAutospacing="0" w:afterAutospacing="0"/>
              <w:jc w:val="center"/>
              <w:rPr>
                <w:color w:val="auto"/>
                <w:highlight w:val="none"/>
              </w:rPr>
            </w:pPr>
            <w:r>
              <w:rPr>
                <w:rFonts w:hint="eastAsia"/>
                <w:color w:val="auto"/>
                <w:highlight w:val="none"/>
              </w:rPr>
              <w:t> </w:t>
            </w:r>
          </w:p>
        </w:tc>
      </w:tr>
      <w:tr w14:paraId="51AA8F61">
        <w:tblPrEx>
          <w:tblCellMar>
            <w:top w:w="0" w:type="dxa"/>
            <w:left w:w="108" w:type="dxa"/>
            <w:bottom w:w="0" w:type="dxa"/>
            <w:right w:w="108" w:type="dxa"/>
          </w:tblCellMar>
        </w:tblPrEx>
        <w:trPr>
          <w:trHeight w:val="640" w:hRule="atLeast"/>
          <w:tblCellSpacing w:w="0" w:type="dxa"/>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CF7C">
            <w:pPr>
              <w:pStyle w:val="48"/>
              <w:spacing w:beforeAutospacing="0" w:afterAutospacing="0"/>
              <w:jc w:val="center"/>
              <w:rPr>
                <w:color w:val="auto"/>
                <w:highlight w:val="none"/>
              </w:rPr>
            </w:pPr>
            <w:r>
              <w:rPr>
                <w:rFonts w:hint="eastAsia"/>
                <w:color w:val="auto"/>
                <w:highlight w:val="none"/>
              </w:rPr>
              <w:t> </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0D55">
            <w:pPr>
              <w:pStyle w:val="48"/>
              <w:spacing w:beforeAutospacing="0" w:afterAutospacing="0"/>
              <w:jc w:val="center"/>
              <w:rPr>
                <w:color w:val="auto"/>
                <w:highlight w:val="none"/>
              </w:rPr>
            </w:pPr>
            <w:r>
              <w:rPr>
                <w:rFonts w:hint="eastAsia"/>
                <w:color w:val="auto"/>
                <w:highlight w:val="none"/>
              </w:rPr>
              <w:t>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4712">
            <w:pPr>
              <w:pStyle w:val="48"/>
              <w:spacing w:beforeAutospacing="0" w:afterAutospacing="0"/>
              <w:jc w:val="center"/>
              <w:rPr>
                <w:color w:val="auto"/>
                <w:highlight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146B">
            <w:pPr>
              <w:pStyle w:val="48"/>
              <w:spacing w:beforeAutospacing="0" w:afterAutospacing="0"/>
              <w:jc w:val="center"/>
              <w:rPr>
                <w:color w:val="auto"/>
                <w:highlight w:val="none"/>
              </w:rPr>
            </w:pPr>
            <w:r>
              <w:rPr>
                <w:rFonts w:hint="eastAsia"/>
                <w:color w:val="auto"/>
                <w:highlight w:val="none"/>
              </w:rPr>
              <w:t> </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986D">
            <w:pPr>
              <w:pStyle w:val="48"/>
              <w:spacing w:beforeAutospacing="0" w:afterAutospacing="0"/>
              <w:jc w:val="center"/>
              <w:rPr>
                <w:color w:val="auto"/>
                <w:highlight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D070">
            <w:pPr>
              <w:pStyle w:val="48"/>
              <w:spacing w:beforeAutospacing="0" w:afterAutospacing="0"/>
              <w:jc w:val="center"/>
              <w:rPr>
                <w:color w:val="auto"/>
                <w:highlight w:val="none"/>
              </w:rPr>
            </w:pPr>
            <w:r>
              <w:rPr>
                <w:rFonts w:hint="eastAsia"/>
                <w:color w:val="auto"/>
                <w:highlight w:val="none"/>
              </w:rPr>
              <w:t> </w:t>
            </w:r>
          </w:p>
        </w:tc>
      </w:tr>
      <w:tr w14:paraId="0A7D7147">
        <w:tblPrEx>
          <w:tblCellMar>
            <w:top w:w="0" w:type="dxa"/>
            <w:left w:w="108" w:type="dxa"/>
            <w:bottom w:w="0" w:type="dxa"/>
            <w:right w:w="108" w:type="dxa"/>
          </w:tblCellMar>
        </w:tblPrEx>
        <w:trPr>
          <w:trHeight w:val="640" w:hRule="atLeast"/>
          <w:tblCellSpacing w:w="0" w:type="dxa"/>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DF89">
            <w:pPr>
              <w:pStyle w:val="48"/>
              <w:spacing w:beforeAutospacing="0" w:afterAutospacing="0"/>
              <w:jc w:val="center"/>
              <w:rPr>
                <w:color w:val="auto"/>
                <w:highlight w:val="none"/>
              </w:rPr>
            </w:pPr>
            <w:r>
              <w:rPr>
                <w:rFonts w:hint="eastAsia"/>
                <w:color w:val="auto"/>
                <w:highlight w:val="none"/>
              </w:rPr>
              <w:t> </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8946">
            <w:pPr>
              <w:pStyle w:val="48"/>
              <w:spacing w:beforeAutospacing="0" w:afterAutospacing="0"/>
              <w:jc w:val="center"/>
              <w:rPr>
                <w:color w:val="auto"/>
                <w:highlight w:val="none"/>
              </w:rPr>
            </w:pPr>
            <w:r>
              <w:rPr>
                <w:rFonts w:hint="eastAsia"/>
                <w:color w:val="auto"/>
                <w:highlight w:val="none"/>
              </w:rPr>
              <w:t>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B44D">
            <w:pPr>
              <w:pStyle w:val="48"/>
              <w:spacing w:beforeAutospacing="0" w:afterAutospacing="0"/>
              <w:jc w:val="center"/>
              <w:rPr>
                <w:color w:val="auto"/>
                <w:highlight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CE53">
            <w:pPr>
              <w:pStyle w:val="48"/>
              <w:spacing w:beforeAutospacing="0" w:afterAutospacing="0"/>
              <w:jc w:val="center"/>
              <w:rPr>
                <w:color w:val="auto"/>
                <w:highlight w:val="none"/>
              </w:rPr>
            </w:pPr>
            <w:r>
              <w:rPr>
                <w:rFonts w:hint="eastAsia"/>
                <w:color w:val="auto"/>
                <w:highlight w:val="none"/>
              </w:rPr>
              <w:t> </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AE69">
            <w:pPr>
              <w:pStyle w:val="48"/>
              <w:spacing w:beforeAutospacing="0" w:afterAutospacing="0"/>
              <w:jc w:val="center"/>
              <w:rPr>
                <w:color w:val="auto"/>
                <w:highlight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C6C9">
            <w:pPr>
              <w:pStyle w:val="48"/>
              <w:spacing w:beforeAutospacing="0" w:afterAutospacing="0"/>
              <w:jc w:val="center"/>
              <w:rPr>
                <w:color w:val="auto"/>
                <w:highlight w:val="none"/>
              </w:rPr>
            </w:pPr>
            <w:r>
              <w:rPr>
                <w:rFonts w:hint="eastAsia"/>
                <w:color w:val="auto"/>
                <w:highlight w:val="none"/>
              </w:rPr>
              <w:t> </w:t>
            </w:r>
          </w:p>
        </w:tc>
      </w:tr>
      <w:tr w14:paraId="706171A0">
        <w:tblPrEx>
          <w:tblCellMar>
            <w:top w:w="0" w:type="dxa"/>
            <w:left w:w="108" w:type="dxa"/>
            <w:bottom w:w="0" w:type="dxa"/>
            <w:right w:w="108" w:type="dxa"/>
          </w:tblCellMar>
        </w:tblPrEx>
        <w:trPr>
          <w:trHeight w:val="640" w:hRule="atLeast"/>
          <w:tblCellSpacing w:w="0" w:type="dxa"/>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5D96">
            <w:pPr>
              <w:pStyle w:val="48"/>
              <w:spacing w:beforeAutospacing="0" w:afterAutospacing="0"/>
              <w:jc w:val="center"/>
              <w:rPr>
                <w:color w:val="auto"/>
                <w:highlight w:val="none"/>
              </w:rPr>
            </w:pPr>
            <w:r>
              <w:rPr>
                <w:rFonts w:hint="eastAsia"/>
                <w:color w:val="auto"/>
                <w:highlight w:val="none"/>
              </w:rPr>
              <w:t> </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40D3">
            <w:pPr>
              <w:pStyle w:val="48"/>
              <w:spacing w:beforeAutospacing="0" w:afterAutospacing="0"/>
              <w:jc w:val="center"/>
              <w:rPr>
                <w:color w:val="auto"/>
                <w:highlight w:val="none"/>
              </w:rPr>
            </w:pPr>
            <w:r>
              <w:rPr>
                <w:rFonts w:hint="eastAsia"/>
                <w:color w:val="auto"/>
                <w:highlight w:val="none"/>
              </w:rPr>
              <w:t>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2DD3">
            <w:pPr>
              <w:pStyle w:val="48"/>
              <w:spacing w:beforeAutospacing="0" w:afterAutospacing="0"/>
              <w:jc w:val="center"/>
              <w:rPr>
                <w:color w:val="auto"/>
                <w:highlight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05EC">
            <w:pPr>
              <w:pStyle w:val="48"/>
              <w:spacing w:beforeAutospacing="0" w:afterAutospacing="0"/>
              <w:jc w:val="center"/>
              <w:rPr>
                <w:color w:val="auto"/>
                <w:highlight w:val="none"/>
              </w:rPr>
            </w:pPr>
            <w:r>
              <w:rPr>
                <w:rFonts w:hint="eastAsia"/>
                <w:color w:val="auto"/>
                <w:highlight w:val="none"/>
              </w:rPr>
              <w:t> </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0859">
            <w:pPr>
              <w:pStyle w:val="48"/>
              <w:spacing w:beforeAutospacing="0" w:afterAutospacing="0"/>
              <w:jc w:val="center"/>
              <w:rPr>
                <w:color w:val="auto"/>
                <w:highlight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FE0C">
            <w:pPr>
              <w:pStyle w:val="48"/>
              <w:spacing w:beforeAutospacing="0" w:afterAutospacing="0"/>
              <w:jc w:val="center"/>
              <w:rPr>
                <w:color w:val="auto"/>
                <w:highlight w:val="none"/>
              </w:rPr>
            </w:pPr>
            <w:r>
              <w:rPr>
                <w:rFonts w:hint="eastAsia"/>
                <w:color w:val="auto"/>
                <w:highlight w:val="none"/>
              </w:rPr>
              <w:t> </w:t>
            </w:r>
          </w:p>
        </w:tc>
      </w:tr>
      <w:tr w14:paraId="21A3B3A7">
        <w:tblPrEx>
          <w:tblCellMar>
            <w:top w:w="0" w:type="dxa"/>
            <w:left w:w="108" w:type="dxa"/>
            <w:bottom w:w="0" w:type="dxa"/>
            <w:right w:w="108" w:type="dxa"/>
          </w:tblCellMar>
        </w:tblPrEx>
        <w:trPr>
          <w:trHeight w:val="640" w:hRule="atLeast"/>
          <w:tblCellSpacing w:w="0" w:type="dxa"/>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873E">
            <w:pPr>
              <w:pStyle w:val="48"/>
              <w:spacing w:beforeAutospacing="0" w:afterAutospacing="0"/>
              <w:jc w:val="center"/>
              <w:rPr>
                <w:color w:val="auto"/>
                <w:highlight w:val="none"/>
              </w:rPr>
            </w:pPr>
            <w:r>
              <w:rPr>
                <w:rFonts w:hint="eastAsia"/>
                <w:color w:val="auto"/>
                <w:highlight w:val="none"/>
              </w:rPr>
              <w:t> </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BFA0">
            <w:pPr>
              <w:pStyle w:val="48"/>
              <w:spacing w:beforeAutospacing="0" w:afterAutospacing="0"/>
              <w:jc w:val="center"/>
              <w:rPr>
                <w:color w:val="auto"/>
                <w:highlight w:val="none"/>
              </w:rPr>
            </w:pPr>
            <w:r>
              <w:rPr>
                <w:rFonts w:hint="eastAsia"/>
                <w:color w:val="auto"/>
                <w:highlight w:val="none"/>
              </w:rPr>
              <w:t> </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301C0">
            <w:pPr>
              <w:pStyle w:val="48"/>
              <w:spacing w:beforeAutospacing="0" w:afterAutospacing="0"/>
              <w:jc w:val="center"/>
              <w:rPr>
                <w:color w:val="auto"/>
                <w:highlight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E721">
            <w:pPr>
              <w:pStyle w:val="48"/>
              <w:spacing w:beforeAutospacing="0" w:afterAutospacing="0"/>
              <w:jc w:val="center"/>
              <w:rPr>
                <w:color w:val="auto"/>
                <w:highlight w:val="none"/>
              </w:rPr>
            </w:pPr>
            <w:r>
              <w:rPr>
                <w:rFonts w:hint="eastAsia"/>
                <w:color w:val="auto"/>
                <w:highlight w:val="none"/>
              </w:rPr>
              <w:t> </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E1A0">
            <w:pPr>
              <w:pStyle w:val="48"/>
              <w:spacing w:beforeAutospacing="0" w:afterAutospacing="0"/>
              <w:jc w:val="center"/>
              <w:rPr>
                <w:color w:val="auto"/>
                <w:highlight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8B05">
            <w:pPr>
              <w:pStyle w:val="48"/>
              <w:spacing w:beforeAutospacing="0" w:afterAutospacing="0"/>
              <w:jc w:val="center"/>
              <w:rPr>
                <w:color w:val="auto"/>
                <w:highlight w:val="none"/>
              </w:rPr>
            </w:pPr>
            <w:r>
              <w:rPr>
                <w:rFonts w:hint="eastAsia"/>
                <w:color w:val="auto"/>
                <w:highlight w:val="none"/>
              </w:rPr>
              <w:t> </w:t>
            </w:r>
          </w:p>
        </w:tc>
      </w:tr>
      <w:tr w14:paraId="47FB2272">
        <w:tblPrEx>
          <w:tblCellMar>
            <w:top w:w="0" w:type="dxa"/>
            <w:left w:w="108" w:type="dxa"/>
            <w:bottom w:w="0" w:type="dxa"/>
            <w:right w:w="108" w:type="dxa"/>
          </w:tblCellMar>
        </w:tblPrEx>
        <w:trPr>
          <w:trHeight w:val="640" w:hRule="atLeast"/>
          <w:tblCellSpacing w:w="0" w:type="dxa"/>
        </w:trPr>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4200">
            <w:pPr>
              <w:pStyle w:val="48"/>
              <w:spacing w:beforeAutospacing="0" w:afterAutospacing="0"/>
              <w:jc w:val="center"/>
              <w:rPr>
                <w:color w:val="auto"/>
                <w:highlight w:val="none"/>
              </w:rPr>
            </w:pPr>
            <w:r>
              <w:rPr>
                <w:rFonts w:hint="eastAsia"/>
                <w:color w:val="auto"/>
                <w:highlight w:val="none"/>
              </w:rPr>
              <w:t> </w:t>
            </w:r>
          </w:p>
        </w:tc>
        <w:tc>
          <w:tcPr>
            <w:tcW w:w="17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01B09">
            <w:pPr>
              <w:pStyle w:val="48"/>
              <w:spacing w:beforeAutospacing="0" w:afterAutospacing="0"/>
              <w:jc w:val="center"/>
              <w:rPr>
                <w:color w:val="auto"/>
                <w:highlight w:val="none"/>
              </w:rPr>
            </w:pPr>
            <w:r>
              <w:rPr>
                <w:rFonts w:hint="eastAsia"/>
                <w:color w:val="auto"/>
                <w:highlight w:val="none"/>
              </w:rPr>
              <w:t>……</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ED37">
            <w:pPr>
              <w:pStyle w:val="48"/>
              <w:spacing w:beforeAutospacing="0" w:afterAutospacing="0"/>
              <w:jc w:val="center"/>
              <w:rPr>
                <w:color w:val="auto"/>
                <w:highlight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8141">
            <w:pPr>
              <w:pStyle w:val="48"/>
              <w:spacing w:beforeAutospacing="0" w:afterAutospacing="0"/>
              <w:jc w:val="center"/>
              <w:rPr>
                <w:color w:val="auto"/>
                <w:highlight w:val="none"/>
              </w:rPr>
            </w:pPr>
            <w:r>
              <w:rPr>
                <w:rFonts w:hint="eastAsia"/>
                <w:color w:val="auto"/>
                <w:highlight w:val="none"/>
              </w:rPr>
              <w:t> </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DF7C">
            <w:pPr>
              <w:pStyle w:val="48"/>
              <w:spacing w:beforeAutospacing="0" w:afterAutospacing="0"/>
              <w:jc w:val="center"/>
              <w:rPr>
                <w:color w:val="auto"/>
                <w:highlight w:val="none"/>
              </w:rPr>
            </w:pPr>
          </w:p>
        </w:tc>
        <w:tc>
          <w:tcPr>
            <w:tcW w:w="2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8733">
            <w:pPr>
              <w:pStyle w:val="48"/>
              <w:spacing w:beforeAutospacing="0" w:afterAutospacing="0"/>
              <w:jc w:val="center"/>
              <w:rPr>
                <w:color w:val="auto"/>
                <w:highlight w:val="none"/>
              </w:rPr>
            </w:pPr>
            <w:r>
              <w:rPr>
                <w:rFonts w:hint="eastAsia"/>
                <w:color w:val="auto"/>
                <w:highlight w:val="none"/>
              </w:rPr>
              <w:t> </w:t>
            </w:r>
          </w:p>
        </w:tc>
      </w:tr>
    </w:tbl>
    <w:p w14:paraId="13277641">
      <w:pPr>
        <w:pStyle w:val="48"/>
        <w:spacing w:beforeAutospacing="0" w:afterAutospacing="0"/>
        <w:jc w:val="both"/>
        <w:rPr>
          <w:color w:val="auto"/>
          <w:highlight w:val="none"/>
        </w:rPr>
      </w:pPr>
      <w:r>
        <w:rPr>
          <w:rFonts w:hint="eastAsia"/>
          <w:color w:val="auto"/>
          <w:highlight w:val="none"/>
        </w:rPr>
        <w:t>注：行数不够，可自行添加。出现超出或偏离时详细列明。</w:t>
      </w:r>
    </w:p>
    <w:p w14:paraId="6FC2F8A1">
      <w:pPr>
        <w:pStyle w:val="48"/>
        <w:spacing w:beforeAutospacing="0" w:afterAutospacing="0"/>
        <w:jc w:val="center"/>
        <w:rPr>
          <w:color w:val="auto"/>
          <w:highlight w:val="none"/>
        </w:rPr>
      </w:pPr>
      <w:r>
        <w:rPr>
          <w:rFonts w:hint="eastAsia"/>
          <w:color w:val="auto"/>
          <w:highlight w:val="none"/>
        </w:rPr>
        <w:t> </w:t>
      </w:r>
    </w:p>
    <w:p w14:paraId="0287F2B5">
      <w:pPr>
        <w:pStyle w:val="48"/>
        <w:spacing w:beforeAutospacing="0" w:afterAutospacing="0"/>
        <w:jc w:val="center"/>
        <w:rPr>
          <w:color w:val="auto"/>
          <w:highlight w:val="none"/>
        </w:rPr>
      </w:pPr>
      <w:r>
        <w:rPr>
          <w:rFonts w:hint="eastAsia"/>
          <w:color w:val="auto"/>
          <w:highlight w:val="none"/>
        </w:rPr>
        <w:t> </w:t>
      </w:r>
    </w:p>
    <w:p w14:paraId="2C33F474">
      <w:pPr>
        <w:pStyle w:val="48"/>
        <w:spacing w:beforeAutospacing="0" w:afterAutospacing="0"/>
        <w:jc w:val="center"/>
        <w:rPr>
          <w:color w:val="auto"/>
          <w:highlight w:val="none"/>
        </w:rPr>
      </w:pPr>
      <w:r>
        <w:rPr>
          <w:rFonts w:hint="eastAsia"/>
          <w:color w:val="auto"/>
          <w:highlight w:val="none"/>
        </w:rPr>
        <w:t> </w:t>
      </w:r>
    </w:p>
    <w:p w14:paraId="35F8B7BB">
      <w:pPr>
        <w:pStyle w:val="48"/>
        <w:spacing w:beforeAutospacing="0" w:afterAutospacing="0"/>
        <w:jc w:val="center"/>
        <w:rPr>
          <w:color w:val="auto"/>
          <w:highlight w:val="none"/>
        </w:rPr>
      </w:pPr>
      <w:r>
        <w:rPr>
          <w:rFonts w:hint="eastAsia"/>
          <w:color w:val="auto"/>
          <w:highlight w:val="none"/>
        </w:rPr>
        <w:t> </w:t>
      </w:r>
    </w:p>
    <w:p w14:paraId="023D5B6A">
      <w:pPr>
        <w:pStyle w:val="48"/>
        <w:spacing w:beforeAutospacing="0" w:afterAutospacing="0"/>
        <w:jc w:val="both"/>
        <w:rPr>
          <w:color w:val="auto"/>
          <w:highlight w:val="none"/>
        </w:rPr>
      </w:pPr>
      <w:r>
        <w:rPr>
          <w:rFonts w:hint="eastAsia"/>
          <w:color w:val="auto"/>
          <w:highlight w:val="none"/>
        </w:rPr>
        <w:t> </w:t>
      </w:r>
    </w:p>
    <w:p w14:paraId="76C289E8">
      <w:pPr>
        <w:pStyle w:val="48"/>
        <w:spacing w:beforeAutospacing="0" w:afterAutospacing="0"/>
        <w:jc w:val="both"/>
        <w:rPr>
          <w:color w:val="auto"/>
          <w:highlight w:val="none"/>
        </w:rPr>
      </w:pPr>
      <w:r>
        <w:rPr>
          <w:rFonts w:hint="eastAsia"/>
          <w:color w:val="auto"/>
          <w:highlight w:val="none"/>
        </w:rPr>
        <w:t> </w:t>
      </w:r>
    </w:p>
    <w:p w14:paraId="704BEF1D">
      <w:pPr>
        <w:pStyle w:val="48"/>
        <w:spacing w:beforeAutospacing="0" w:afterAutospacing="0"/>
        <w:jc w:val="both"/>
        <w:rPr>
          <w:color w:val="auto"/>
          <w:highlight w:val="none"/>
        </w:rPr>
      </w:pPr>
      <w:r>
        <w:rPr>
          <w:rFonts w:hint="eastAsia"/>
          <w:color w:val="auto"/>
          <w:highlight w:val="none"/>
        </w:rPr>
        <w:t> </w:t>
      </w:r>
    </w:p>
    <w:p w14:paraId="4DEAF6EA">
      <w:pPr>
        <w:pStyle w:val="48"/>
        <w:spacing w:beforeAutospacing="0" w:afterAutospacing="0"/>
        <w:jc w:val="both"/>
        <w:rPr>
          <w:color w:val="auto"/>
          <w:highlight w:val="none"/>
        </w:rPr>
      </w:pPr>
      <w:r>
        <w:rPr>
          <w:rFonts w:hint="eastAsia"/>
          <w:color w:val="auto"/>
          <w:highlight w:val="none"/>
        </w:rPr>
        <w:t> </w:t>
      </w:r>
    </w:p>
    <w:p w14:paraId="570D5DFC">
      <w:pPr>
        <w:pStyle w:val="48"/>
        <w:spacing w:beforeAutospacing="0" w:afterAutospacing="0"/>
        <w:jc w:val="both"/>
        <w:rPr>
          <w:color w:val="auto"/>
          <w:highlight w:val="none"/>
        </w:rPr>
      </w:pPr>
    </w:p>
    <w:p w14:paraId="2FD02A23">
      <w:pPr>
        <w:pStyle w:val="48"/>
        <w:spacing w:beforeAutospacing="0" w:afterAutospacing="0"/>
        <w:jc w:val="both"/>
        <w:rPr>
          <w:color w:val="auto"/>
          <w:highlight w:val="none"/>
        </w:rPr>
      </w:pPr>
    </w:p>
    <w:p w14:paraId="7EF9B1D9">
      <w:pPr>
        <w:pStyle w:val="48"/>
        <w:spacing w:beforeAutospacing="0" w:afterAutospacing="0"/>
        <w:jc w:val="both"/>
        <w:rPr>
          <w:color w:val="auto"/>
          <w:highlight w:val="none"/>
        </w:rPr>
      </w:pPr>
    </w:p>
    <w:p w14:paraId="6201381D">
      <w:pPr>
        <w:pStyle w:val="48"/>
        <w:spacing w:beforeAutospacing="0" w:afterAutospacing="0"/>
        <w:jc w:val="both"/>
        <w:rPr>
          <w:color w:val="auto"/>
          <w:highlight w:val="none"/>
        </w:rPr>
      </w:pPr>
    </w:p>
    <w:p w14:paraId="01DD7227">
      <w:pPr>
        <w:pStyle w:val="48"/>
        <w:spacing w:beforeAutospacing="0" w:afterAutospacing="0"/>
        <w:jc w:val="both"/>
        <w:rPr>
          <w:color w:val="auto"/>
          <w:highlight w:val="none"/>
        </w:rPr>
      </w:pPr>
    </w:p>
    <w:p w14:paraId="2CA874C5">
      <w:pPr>
        <w:pStyle w:val="48"/>
        <w:spacing w:beforeAutospacing="0" w:afterAutospacing="0"/>
        <w:jc w:val="both"/>
        <w:rPr>
          <w:color w:val="auto"/>
          <w:highlight w:val="none"/>
        </w:rPr>
      </w:pPr>
    </w:p>
    <w:p w14:paraId="5C4ACA47">
      <w:pPr>
        <w:pStyle w:val="48"/>
        <w:spacing w:beforeAutospacing="0" w:afterAutospacing="0"/>
        <w:jc w:val="both"/>
        <w:rPr>
          <w:color w:val="auto"/>
          <w:highlight w:val="none"/>
        </w:rPr>
      </w:pPr>
    </w:p>
    <w:p w14:paraId="432EB8C6">
      <w:pPr>
        <w:pStyle w:val="48"/>
        <w:numPr>
          <w:ilvl w:val="0"/>
          <w:numId w:val="6"/>
        </w:numPr>
        <w:spacing w:beforeAutospacing="0" w:afterAutospacing="0"/>
        <w:rPr>
          <w:b/>
          <w:color w:val="auto"/>
          <w:sz w:val="32"/>
          <w:szCs w:val="32"/>
          <w:highlight w:val="none"/>
          <w:u w:val="single"/>
        </w:rPr>
      </w:pPr>
      <w:bookmarkStart w:id="185" w:name="_Hlt26955054"/>
      <w:r>
        <w:rPr>
          <w:rFonts w:hint="eastAsia"/>
          <w:b/>
          <w:color w:val="auto"/>
          <w:sz w:val="32"/>
          <w:szCs w:val="32"/>
          <w:highlight w:val="none"/>
          <w:u w:val="single"/>
        </w:rPr>
        <w:t>商务要求响应及偏离表</w:t>
      </w:r>
    </w:p>
    <w:p w14:paraId="5DDD48F4">
      <w:pPr>
        <w:pStyle w:val="48"/>
        <w:spacing w:beforeAutospacing="0" w:afterAutospacing="0"/>
        <w:rPr>
          <w:b/>
          <w:color w:val="auto"/>
          <w:highlight w:val="none"/>
          <w:u w:val="single"/>
        </w:rPr>
      </w:pPr>
      <w:r>
        <w:rPr>
          <w:rFonts w:hint="eastAsia"/>
          <w:b/>
          <w:color w:val="auto"/>
          <w:highlight w:val="none"/>
          <w:u w:val="single"/>
        </w:rPr>
        <w:t>投标人全称（加盖投标人CA电子公章）</w:t>
      </w:r>
    </w:p>
    <w:tbl>
      <w:tblPr>
        <w:tblStyle w:val="53"/>
        <w:tblW w:w="9978" w:type="dxa"/>
        <w:tblCellSpacing w:w="0" w:type="dxa"/>
        <w:tblInd w:w="0" w:type="dxa"/>
        <w:tblLayout w:type="fixed"/>
        <w:tblCellMar>
          <w:top w:w="0" w:type="dxa"/>
          <w:left w:w="108" w:type="dxa"/>
          <w:bottom w:w="0" w:type="dxa"/>
          <w:right w:w="108" w:type="dxa"/>
        </w:tblCellMar>
      </w:tblPr>
      <w:tblGrid>
        <w:gridCol w:w="936"/>
        <w:gridCol w:w="1393"/>
        <w:gridCol w:w="1395"/>
        <w:gridCol w:w="1815"/>
        <w:gridCol w:w="1440"/>
        <w:gridCol w:w="2999"/>
      </w:tblGrid>
      <w:tr w14:paraId="43EF1B27">
        <w:tblPrEx>
          <w:tblCellMar>
            <w:top w:w="0" w:type="dxa"/>
            <w:left w:w="108" w:type="dxa"/>
            <w:bottom w:w="0" w:type="dxa"/>
            <w:right w:w="108" w:type="dxa"/>
          </w:tblCellMar>
        </w:tblPrEx>
        <w:trPr>
          <w:tblCellSpacing w:w="0" w:type="dxa"/>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60D6">
            <w:pPr>
              <w:pStyle w:val="48"/>
              <w:spacing w:beforeAutospacing="0" w:afterAutospacing="0"/>
              <w:jc w:val="center"/>
              <w:rPr>
                <w:color w:val="auto"/>
                <w:highlight w:val="none"/>
              </w:rPr>
            </w:pPr>
            <w:bookmarkStart w:id="186" w:name="_Hlt26580838"/>
            <w:bookmarkStart w:id="187" w:name="_Hlt24879081"/>
            <w:bookmarkStart w:id="188" w:name="_Hlt26955064"/>
            <w:bookmarkStart w:id="189" w:name="_Hlt26671372"/>
            <w:bookmarkStart w:id="190" w:name="_Hlt26609391"/>
            <w:bookmarkStart w:id="191" w:name="_Hlt26782999"/>
            <w:bookmarkStart w:id="192" w:name="_Hlt26671343"/>
            <w:bookmarkStart w:id="193" w:name="_Hlt26955056"/>
            <w:r>
              <w:rPr>
                <w:rFonts w:hint="eastAsia"/>
                <w:color w:val="auto"/>
                <w:highlight w:val="none"/>
              </w:rPr>
              <w:t>序号</w:t>
            </w:r>
            <w:bookmarkEnd w:id="186"/>
            <w:bookmarkEnd w:id="187"/>
            <w:bookmarkEnd w:id="188"/>
            <w:bookmarkEnd w:id="189"/>
            <w:bookmarkEnd w:id="190"/>
            <w:bookmarkEnd w:id="191"/>
            <w:bookmarkEnd w:id="192"/>
            <w:bookmarkEnd w:id="193"/>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D995">
            <w:pPr>
              <w:pStyle w:val="48"/>
              <w:spacing w:beforeAutospacing="0" w:afterAutospacing="0"/>
              <w:jc w:val="center"/>
              <w:rPr>
                <w:color w:val="auto"/>
                <w:highlight w:val="none"/>
              </w:rPr>
            </w:pPr>
            <w:r>
              <w:rPr>
                <w:rFonts w:hint="eastAsia"/>
                <w:color w:val="auto"/>
                <w:highlight w:val="none"/>
              </w:rPr>
              <w:t>招标文件要求</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AF0C">
            <w:pPr>
              <w:pStyle w:val="48"/>
              <w:spacing w:beforeAutospacing="0" w:afterAutospacing="0"/>
              <w:jc w:val="center"/>
              <w:rPr>
                <w:color w:val="auto"/>
                <w:highlight w:val="none"/>
              </w:rPr>
            </w:pPr>
            <w:r>
              <w:rPr>
                <w:rFonts w:hint="eastAsia"/>
                <w:color w:val="auto"/>
                <w:highlight w:val="none"/>
              </w:rPr>
              <w:t>投标响应情况</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9CFC">
            <w:pPr>
              <w:pStyle w:val="48"/>
              <w:spacing w:beforeAutospacing="0" w:afterAutospacing="0"/>
              <w:jc w:val="center"/>
              <w:rPr>
                <w:color w:val="auto"/>
                <w:highlight w:val="none"/>
              </w:rPr>
            </w:pPr>
            <w:r>
              <w:rPr>
                <w:rFonts w:hint="eastAsia"/>
                <w:color w:val="auto"/>
                <w:highlight w:val="none"/>
              </w:rPr>
              <w:t>超出、符合或偏离</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C1E1">
            <w:pPr>
              <w:pStyle w:val="48"/>
              <w:spacing w:beforeAutospacing="0" w:afterAutospacing="0"/>
              <w:jc w:val="center"/>
              <w:rPr>
                <w:color w:val="auto"/>
                <w:highlight w:val="none"/>
              </w:rPr>
            </w:pPr>
            <w:r>
              <w:rPr>
                <w:rFonts w:hint="eastAsia"/>
                <w:color w:val="auto"/>
                <w:highlight w:val="none"/>
              </w:rPr>
              <w:t>原因</w:t>
            </w: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FD2A">
            <w:pPr>
              <w:pStyle w:val="48"/>
              <w:spacing w:beforeAutospacing="0" w:afterAutospacing="0"/>
              <w:jc w:val="center"/>
              <w:rPr>
                <w:color w:val="auto"/>
                <w:highlight w:val="none"/>
              </w:rPr>
            </w:pPr>
            <w:r>
              <w:rPr>
                <w:rFonts w:hint="eastAsia"/>
                <w:color w:val="auto"/>
                <w:highlight w:val="none"/>
              </w:rPr>
              <w:t>备注（具体响应材料在投标文件中页码、行数等）</w:t>
            </w:r>
          </w:p>
        </w:tc>
      </w:tr>
      <w:tr w14:paraId="32DC23AE">
        <w:tblPrEx>
          <w:tblCellMar>
            <w:top w:w="0" w:type="dxa"/>
            <w:left w:w="108" w:type="dxa"/>
            <w:bottom w:w="0" w:type="dxa"/>
            <w:right w:w="108" w:type="dxa"/>
          </w:tblCellMar>
        </w:tblPrEx>
        <w:trPr>
          <w:trHeight w:val="640" w:hRule="atLeast"/>
          <w:tblCellSpacing w:w="0" w:type="dxa"/>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D6BF">
            <w:pPr>
              <w:pStyle w:val="48"/>
              <w:spacing w:beforeAutospacing="0" w:afterAutospacing="0"/>
              <w:jc w:val="center"/>
              <w:rPr>
                <w:color w:val="auto"/>
                <w:highlight w:val="none"/>
              </w:rPr>
            </w:pPr>
            <w:r>
              <w:rPr>
                <w:rFonts w:hint="eastAsia"/>
                <w:color w:val="auto"/>
                <w:highlight w:val="none"/>
              </w:rPr>
              <w:t> </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3C42">
            <w:pPr>
              <w:pStyle w:val="48"/>
              <w:spacing w:beforeAutospacing="0" w:afterAutospacing="0"/>
              <w:jc w:val="center"/>
              <w:rPr>
                <w:color w:val="auto"/>
                <w:highlight w:val="none"/>
              </w:rPr>
            </w:pPr>
            <w:r>
              <w:rPr>
                <w:rFonts w:hint="eastAsia"/>
                <w:color w:val="auto"/>
                <w:highlight w:val="none"/>
              </w:rPr>
              <w:t>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D0D8">
            <w:pPr>
              <w:pStyle w:val="48"/>
              <w:spacing w:beforeAutospacing="0" w:afterAutospacing="0"/>
              <w:jc w:val="center"/>
              <w:rPr>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38FC">
            <w:pPr>
              <w:pStyle w:val="48"/>
              <w:spacing w:beforeAutospacing="0" w:afterAutospacing="0"/>
              <w:jc w:val="center"/>
              <w:rPr>
                <w:color w:val="auto"/>
                <w:highlight w:val="none"/>
              </w:rPr>
            </w:pPr>
            <w:r>
              <w:rPr>
                <w:rFonts w:hint="eastAsia"/>
                <w:color w:val="auto"/>
                <w:highlight w:val="none"/>
              </w:rPr>
              <w:t>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BAA9">
            <w:pPr>
              <w:pStyle w:val="48"/>
              <w:spacing w:beforeAutospacing="0" w:afterAutospacing="0"/>
              <w:jc w:val="center"/>
              <w:rPr>
                <w:color w:val="auto"/>
                <w:highlight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9C3A">
            <w:pPr>
              <w:pStyle w:val="48"/>
              <w:spacing w:beforeAutospacing="0" w:afterAutospacing="0"/>
              <w:jc w:val="center"/>
              <w:rPr>
                <w:color w:val="auto"/>
                <w:highlight w:val="none"/>
              </w:rPr>
            </w:pPr>
            <w:r>
              <w:rPr>
                <w:rFonts w:hint="eastAsia"/>
                <w:color w:val="auto"/>
                <w:highlight w:val="none"/>
              </w:rPr>
              <w:t> </w:t>
            </w:r>
          </w:p>
        </w:tc>
      </w:tr>
      <w:tr w14:paraId="74121D16">
        <w:tblPrEx>
          <w:tblCellMar>
            <w:top w:w="0" w:type="dxa"/>
            <w:left w:w="108" w:type="dxa"/>
            <w:bottom w:w="0" w:type="dxa"/>
            <w:right w:w="108" w:type="dxa"/>
          </w:tblCellMar>
        </w:tblPrEx>
        <w:trPr>
          <w:trHeight w:val="640" w:hRule="atLeast"/>
          <w:tblCellSpacing w:w="0" w:type="dxa"/>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6127">
            <w:pPr>
              <w:pStyle w:val="48"/>
              <w:spacing w:beforeAutospacing="0" w:afterAutospacing="0"/>
              <w:jc w:val="center"/>
              <w:rPr>
                <w:color w:val="auto"/>
                <w:highlight w:val="none"/>
              </w:rPr>
            </w:pPr>
            <w:r>
              <w:rPr>
                <w:rFonts w:hint="eastAsia"/>
                <w:color w:val="auto"/>
                <w:highlight w:val="none"/>
              </w:rPr>
              <w:t> </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2372">
            <w:pPr>
              <w:pStyle w:val="48"/>
              <w:spacing w:beforeAutospacing="0" w:afterAutospacing="0"/>
              <w:jc w:val="center"/>
              <w:rPr>
                <w:color w:val="auto"/>
                <w:highlight w:val="none"/>
              </w:rPr>
            </w:pPr>
            <w:r>
              <w:rPr>
                <w:rFonts w:hint="eastAsia"/>
                <w:color w:val="auto"/>
                <w:highlight w:val="none"/>
              </w:rPr>
              <w:t>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A4A4">
            <w:pPr>
              <w:pStyle w:val="48"/>
              <w:spacing w:beforeAutospacing="0" w:afterAutospacing="0"/>
              <w:jc w:val="center"/>
              <w:rPr>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9340">
            <w:pPr>
              <w:pStyle w:val="48"/>
              <w:spacing w:beforeAutospacing="0" w:afterAutospacing="0"/>
              <w:jc w:val="center"/>
              <w:rPr>
                <w:color w:val="auto"/>
                <w:highlight w:val="none"/>
              </w:rPr>
            </w:pPr>
            <w:r>
              <w:rPr>
                <w:rFonts w:hint="eastAsia"/>
                <w:color w:val="auto"/>
                <w:highlight w:val="none"/>
              </w:rPr>
              <w:t>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B8A3">
            <w:pPr>
              <w:pStyle w:val="48"/>
              <w:spacing w:beforeAutospacing="0" w:afterAutospacing="0"/>
              <w:jc w:val="center"/>
              <w:rPr>
                <w:color w:val="auto"/>
                <w:highlight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A710">
            <w:pPr>
              <w:pStyle w:val="48"/>
              <w:spacing w:beforeAutospacing="0" w:afterAutospacing="0"/>
              <w:jc w:val="center"/>
              <w:rPr>
                <w:color w:val="auto"/>
                <w:highlight w:val="none"/>
              </w:rPr>
            </w:pPr>
            <w:r>
              <w:rPr>
                <w:rFonts w:hint="eastAsia"/>
                <w:color w:val="auto"/>
                <w:highlight w:val="none"/>
              </w:rPr>
              <w:t> </w:t>
            </w:r>
          </w:p>
        </w:tc>
      </w:tr>
      <w:tr w14:paraId="0CCA77CA">
        <w:tblPrEx>
          <w:tblCellMar>
            <w:top w:w="0" w:type="dxa"/>
            <w:left w:w="108" w:type="dxa"/>
            <w:bottom w:w="0" w:type="dxa"/>
            <w:right w:w="108" w:type="dxa"/>
          </w:tblCellMar>
        </w:tblPrEx>
        <w:trPr>
          <w:trHeight w:val="640" w:hRule="atLeast"/>
          <w:tblCellSpacing w:w="0" w:type="dxa"/>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4B32D">
            <w:pPr>
              <w:pStyle w:val="48"/>
              <w:spacing w:beforeAutospacing="0" w:afterAutospacing="0"/>
              <w:jc w:val="center"/>
              <w:rPr>
                <w:color w:val="auto"/>
                <w:highlight w:val="none"/>
              </w:rPr>
            </w:pPr>
            <w:r>
              <w:rPr>
                <w:rFonts w:hint="eastAsia"/>
                <w:color w:val="auto"/>
                <w:highlight w:val="none"/>
              </w:rPr>
              <w:t> </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1BF5">
            <w:pPr>
              <w:pStyle w:val="48"/>
              <w:spacing w:beforeAutospacing="0" w:afterAutospacing="0"/>
              <w:jc w:val="center"/>
              <w:rPr>
                <w:color w:val="auto"/>
                <w:highlight w:val="none"/>
              </w:rPr>
            </w:pPr>
            <w:r>
              <w:rPr>
                <w:rFonts w:hint="eastAsia"/>
                <w:color w:val="auto"/>
                <w:highlight w:val="none"/>
              </w:rPr>
              <w:t>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1B5E">
            <w:pPr>
              <w:pStyle w:val="48"/>
              <w:spacing w:beforeAutospacing="0" w:afterAutospacing="0"/>
              <w:jc w:val="center"/>
              <w:rPr>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3274">
            <w:pPr>
              <w:pStyle w:val="48"/>
              <w:spacing w:beforeAutospacing="0" w:afterAutospacing="0"/>
              <w:jc w:val="center"/>
              <w:rPr>
                <w:color w:val="auto"/>
                <w:highlight w:val="none"/>
              </w:rPr>
            </w:pPr>
            <w:r>
              <w:rPr>
                <w:rFonts w:hint="eastAsia"/>
                <w:color w:val="auto"/>
                <w:highlight w:val="none"/>
              </w:rPr>
              <w:t>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4E04">
            <w:pPr>
              <w:pStyle w:val="48"/>
              <w:spacing w:beforeAutospacing="0" w:afterAutospacing="0"/>
              <w:jc w:val="center"/>
              <w:rPr>
                <w:color w:val="auto"/>
                <w:highlight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E558">
            <w:pPr>
              <w:pStyle w:val="48"/>
              <w:spacing w:beforeAutospacing="0" w:afterAutospacing="0"/>
              <w:jc w:val="center"/>
              <w:rPr>
                <w:color w:val="auto"/>
                <w:highlight w:val="none"/>
              </w:rPr>
            </w:pPr>
            <w:r>
              <w:rPr>
                <w:rFonts w:hint="eastAsia"/>
                <w:color w:val="auto"/>
                <w:highlight w:val="none"/>
              </w:rPr>
              <w:t> </w:t>
            </w:r>
          </w:p>
        </w:tc>
      </w:tr>
      <w:tr w14:paraId="283331D8">
        <w:tblPrEx>
          <w:tblCellMar>
            <w:top w:w="0" w:type="dxa"/>
            <w:left w:w="108" w:type="dxa"/>
            <w:bottom w:w="0" w:type="dxa"/>
            <w:right w:w="108" w:type="dxa"/>
          </w:tblCellMar>
        </w:tblPrEx>
        <w:trPr>
          <w:trHeight w:val="640" w:hRule="atLeast"/>
          <w:tblCellSpacing w:w="0" w:type="dxa"/>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4940">
            <w:pPr>
              <w:pStyle w:val="48"/>
              <w:spacing w:beforeAutospacing="0" w:afterAutospacing="0"/>
              <w:jc w:val="center"/>
              <w:rPr>
                <w:color w:val="auto"/>
                <w:highlight w:val="none"/>
              </w:rPr>
            </w:pPr>
            <w:r>
              <w:rPr>
                <w:rFonts w:hint="eastAsia"/>
                <w:color w:val="auto"/>
                <w:highlight w:val="none"/>
              </w:rPr>
              <w:t> </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8C86">
            <w:pPr>
              <w:pStyle w:val="48"/>
              <w:spacing w:beforeAutospacing="0" w:afterAutospacing="0"/>
              <w:jc w:val="center"/>
              <w:rPr>
                <w:color w:val="auto"/>
                <w:highlight w:val="none"/>
              </w:rPr>
            </w:pPr>
            <w:r>
              <w:rPr>
                <w:rFonts w:hint="eastAsia"/>
                <w:color w:val="auto"/>
                <w:highlight w:val="none"/>
              </w:rPr>
              <w:t>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65C8">
            <w:pPr>
              <w:pStyle w:val="48"/>
              <w:spacing w:beforeAutospacing="0" w:afterAutospacing="0"/>
              <w:jc w:val="center"/>
              <w:rPr>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D0B1">
            <w:pPr>
              <w:pStyle w:val="48"/>
              <w:spacing w:beforeAutospacing="0" w:afterAutospacing="0"/>
              <w:jc w:val="center"/>
              <w:rPr>
                <w:color w:val="auto"/>
                <w:highlight w:val="none"/>
              </w:rPr>
            </w:pPr>
            <w:r>
              <w:rPr>
                <w:rFonts w:hint="eastAsia"/>
                <w:color w:val="auto"/>
                <w:highlight w:val="none"/>
              </w:rPr>
              <w:t>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EB00A">
            <w:pPr>
              <w:pStyle w:val="48"/>
              <w:spacing w:beforeAutospacing="0" w:afterAutospacing="0"/>
              <w:jc w:val="center"/>
              <w:rPr>
                <w:color w:val="auto"/>
                <w:highlight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7B4D">
            <w:pPr>
              <w:pStyle w:val="48"/>
              <w:spacing w:beforeAutospacing="0" w:afterAutospacing="0"/>
              <w:jc w:val="center"/>
              <w:rPr>
                <w:color w:val="auto"/>
                <w:highlight w:val="none"/>
              </w:rPr>
            </w:pPr>
            <w:r>
              <w:rPr>
                <w:rFonts w:hint="eastAsia"/>
                <w:color w:val="auto"/>
                <w:highlight w:val="none"/>
              </w:rPr>
              <w:t> </w:t>
            </w:r>
          </w:p>
        </w:tc>
      </w:tr>
      <w:tr w14:paraId="4F123B4E">
        <w:tblPrEx>
          <w:tblCellMar>
            <w:top w:w="0" w:type="dxa"/>
            <w:left w:w="108" w:type="dxa"/>
            <w:bottom w:w="0" w:type="dxa"/>
            <w:right w:w="108" w:type="dxa"/>
          </w:tblCellMar>
        </w:tblPrEx>
        <w:trPr>
          <w:trHeight w:val="640" w:hRule="atLeast"/>
          <w:tblCellSpacing w:w="0" w:type="dxa"/>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B272">
            <w:pPr>
              <w:pStyle w:val="48"/>
              <w:spacing w:beforeAutospacing="0" w:afterAutospacing="0"/>
              <w:jc w:val="center"/>
              <w:rPr>
                <w:color w:val="auto"/>
                <w:highlight w:val="none"/>
              </w:rPr>
            </w:pPr>
            <w:r>
              <w:rPr>
                <w:rFonts w:hint="eastAsia"/>
                <w:color w:val="auto"/>
                <w:highlight w:val="none"/>
              </w:rPr>
              <w:t> </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5D20">
            <w:pPr>
              <w:pStyle w:val="48"/>
              <w:spacing w:beforeAutospacing="0" w:afterAutospacing="0"/>
              <w:jc w:val="center"/>
              <w:rPr>
                <w:color w:val="auto"/>
                <w:highlight w:val="none"/>
              </w:rPr>
            </w:pPr>
            <w:r>
              <w:rPr>
                <w:rFonts w:hint="eastAsia"/>
                <w:color w:val="auto"/>
                <w:highlight w:val="none"/>
              </w:rPr>
              <w:t>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C433">
            <w:pPr>
              <w:pStyle w:val="48"/>
              <w:spacing w:beforeAutospacing="0" w:afterAutospacing="0"/>
              <w:jc w:val="center"/>
              <w:rPr>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999">
            <w:pPr>
              <w:pStyle w:val="48"/>
              <w:spacing w:beforeAutospacing="0" w:afterAutospacing="0"/>
              <w:jc w:val="center"/>
              <w:rPr>
                <w:color w:val="auto"/>
                <w:highlight w:val="none"/>
              </w:rPr>
            </w:pPr>
            <w:r>
              <w:rPr>
                <w:rFonts w:hint="eastAsia"/>
                <w:color w:val="auto"/>
                <w:highlight w:val="none"/>
              </w:rPr>
              <w:t>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BE93">
            <w:pPr>
              <w:pStyle w:val="48"/>
              <w:spacing w:beforeAutospacing="0" w:afterAutospacing="0"/>
              <w:jc w:val="center"/>
              <w:rPr>
                <w:color w:val="auto"/>
                <w:highlight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0771">
            <w:pPr>
              <w:pStyle w:val="48"/>
              <w:spacing w:beforeAutospacing="0" w:afterAutospacing="0"/>
              <w:jc w:val="center"/>
              <w:rPr>
                <w:color w:val="auto"/>
                <w:highlight w:val="none"/>
              </w:rPr>
            </w:pPr>
            <w:r>
              <w:rPr>
                <w:rFonts w:hint="eastAsia"/>
                <w:color w:val="auto"/>
                <w:highlight w:val="none"/>
              </w:rPr>
              <w:t> </w:t>
            </w:r>
          </w:p>
        </w:tc>
      </w:tr>
      <w:tr w14:paraId="6BC57193">
        <w:tblPrEx>
          <w:tblCellMar>
            <w:top w:w="0" w:type="dxa"/>
            <w:left w:w="108" w:type="dxa"/>
            <w:bottom w:w="0" w:type="dxa"/>
            <w:right w:w="108" w:type="dxa"/>
          </w:tblCellMar>
        </w:tblPrEx>
        <w:trPr>
          <w:trHeight w:val="640" w:hRule="atLeast"/>
          <w:tblCellSpacing w:w="0" w:type="dxa"/>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36C2">
            <w:pPr>
              <w:pStyle w:val="48"/>
              <w:spacing w:beforeAutospacing="0" w:afterAutospacing="0"/>
              <w:jc w:val="center"/>
              <w:rPr>
                <w:color w:val="auto"/>
                <w:highlight w:val="none"/>
              </w:rPr>
            </w:pPr>
            <w:r>
              <w:rPr>
                <w:rFonts w:hint="eastAsia"/>
                <w:color w:val="auto"/>
                <w:highlight w:val="none"/>
              </w:rPr>
              <w:t> </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5335">
            <w:pPr>
              <w:pStyle w:val="48"/>
              <w:spacing w:beforeAutospacing="0" w:afterAutospacing="0"/>
              <w:jc w:val="center"/>
              <w:rPr>
                <w:color w:val="auto"/>
                <w:highlight w:val="none"/>
              </w:rPr>
            </w:pPr>
            <w:r>
              <w:rPr>
                <w:rFonts w:hint="eastAsia"/>
                <w:color w:val="auto"/>
                <w:highlight w:val="none"/>
              </w:rPr>
              <w:t>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0936">
            <w:pPr>
              <w:pStyle w:val="48"/>
              <w:spacing w:beforeAutospacing="0" w:afterAutospacing="0"/>
              <w:jc w:val="center"/>
              <w:rPr>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CD3C">
            <w:pPr>
              <w:pStyle w:val="48"/>
              <w:spacing w:beforeAutospacing="0" w:afterAutospacing="0"/>
              <w:jc w:val="center"/>
              <w:rPr>
                <w:color w:val="auto"/>
                <w:highlight w:val="none"/>
              </w:rPr>
            </w:pPr>
            <w:r>
              <w:rPr>
                <w:rFonts w:hint="eastAsia"/>
                <w:color w:val="auto"/>
                <w:highlight w:val="none"/>
              </w:rPr>
              <w:t>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BDCD">
            <w:pPr>
              <w:pStyle w:val="48"/>
              <w:spacing w:beforeAutospacing="0" w:afterAutospacing="0"/>
              <w:jc w:val="center"/>
              <w:rPr>
                <w:color w:val="auto"/>
                <w:highlight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A81C">
            <w:pPr>
              <w:pStyle w:val="48"/>
              <w:spacing w:beforeAutospacing="0" w:afterAutospacing="0"/>
              <w:jc w:val="center"/>
              <w:rPr>
                <w:color w:val="auto"/>
                <w:highlight w:val="none"/>
              </w:rPr>
            </w:pPr>
            <w:r>
              <w:rPr>
                <w:rFonts w:hint="eastAsia"/>
                <w:color w:val="auto"/>
                <w:highlight w:val="none"/>
              </w:rPr>
              <w:t> </w:t>
            </w:r>
          </w:p>
        </w:tc>
      </w:tr>
      <w:tr w14:paraId="6CA93B4E">
        <w:tblPrEx>
          <w:tblCellMar>
            <w:top w:w="0" w:type="dxa"/>
            <w:left w:w="108" w:type="dxa"/>
            <w:bottom w:w="0" w:type="dxa"/>
            <w:right w:w="108" w:type="dxa"/>
          </w:tblCellMar>
        </w:tblPrEx>
        <w:trPr>
          <w:trHeight w:val="640" w:hRule="atLeast"/>
          <w:tblCellSpacing w:w="0" w:type="dxa"/>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45DA">
            <w:pPr>
              <w:pStyle w:val="48"/>
              <w:spacing w:beforeAutospacing="0" w:afterAutospacing="0"/>
              <w:jc w:val="center"/>
              <w:rPr>
                <w:color w:val="auto"/>
                <w:highlight w:val="none"/>
              </w:rPr>
            </w:pPr>
            <w:r>
              <w:rPr>
                <w:rFonts w:hint="eastAsia"/>
                <w:color w:val="auto"/>
                <w:highlight w:val="none"/>
              </w:rPr>
              <w:t> </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818D">
            <w:pPr>
              <w:pStyle w:val="48"/>
              <w:spacing w:beforeAutospacing="0" w:afterAutospacing="0"/>
              <w:jc w:val="center"/>
              <w:rPr>
                <w:color w:val="auto"/>
                <w:highlight w:val="none"/>
              </w:rPr>
            </w:pPr>
            <w:r>
              <w:rPr>
                <w:rFonts w:hint="eastAsia"/>
                <w:color w:val="auto"/>
                <w:highlight w:val="none"/>
              </w:rPr>
              <w:t>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1602">
            <w:pPr>
              <w:pStyle w:val="48"/>
              <w:spacing w:beforeAutospacing="0" w:afterAutospacing="0"/>
              <w:jc w:val="center"/>
              <w:rPr>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C3BD">
            <w:pPr>
              <w:pStyle w:val="48"/>
              <w:spacing w:beforeAutospacing="0" w:afterAutospacing="0"/>
              <w:jc w:val="center"/>
              <w:rPr>
                <w:color w:val="auto"/>
                <w:highlight w:val="none"/>
              </w:rPr>
            </w:pPr>
            <w:r>
              <w:rPr>
                <w:rFonts w:hint="eastAsia"/>
                <w:color w:val="auto"/>
                <w:highlight w:val="none"/>
              </w:rPr>
              <w:t>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294D">
            <w:pPr>
              <w:pStyle w:val="48"/>
              <w:spacing w:beforeAutospacing="0" w:afterAutospacing="0"/>
              <w:jc w:val="center"/>
              <w:rPr>
                <w:color w:val="auto"/>
                <w:highlight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376C">
            <w:pPr>
              <w:pStyle w:val="48"/>
              <w:spacing w:beforeAutospacing="0" w:afterAutospacing="0"/>
              <w:jc w:val="center"/>
              <w:rPr>
                <w:color w:val="auto"/>
                <w:highlight w:val="none"/>
              </w:rPr>
            </w:pPr>
            <w:r>
              <w:rPr>
                <w:rFonts w:hint="eastAsia"/>
                <w:color w:val="auto"/>
                <w:highlight w:val="none"/>
              </w:rPr>
              <w:t> </w:t>
            </w:r>
          </w:p>
        </w:tc>
      </w:tr>
      <w:tr w14:paraId="6382637A">
        <w:tblPrEx>
          <w:tblCellMar>
            <w:top w:w="0" w:type="dxa"/>
            <w:left w:w="108" w:type="dxa"/>
            <w:bottom w:w="0" w:type="dxa"/>
            <w:right w:w="108" w:type="dxa"/>
          </w:tblCellMar>
        </w:tblPrEx>
        <w:trPr>
          <w:trHeight w:val="640" w:hRule="atLeast"/>
          <w:tblCellSpacing w:w="0" w:type="dxa"/>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410B">
            <w:pPr>
              <w:pStyle w:val="48"/>
              <w:spacing w:beforeAutospacing="0" w:afterAutospacing="0"/>
              <w:jc w:val="center"/>
              <w:rPr>
                <w:color w:val="auto"/>
                <w:highlight w:val="none"/>
              </w:rPr>
            </w:pPr>
            <w:r>
              <w:rPr>
                <w:rFonts w:hint="eastAsia"/>
                <w:color w:val="auto"/>
                <w:highlight w:val="none"/>
              </w:rPr>
              <w:t> </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5B03">
            <w:pPr>
              <w:pStyle w:val="48"/>
              <w:spacing w:beforeAutospacing="0" w:afterAutospacing="0"/>
              <w:jc w:val="center"/>
              <w:rPr>
                <w:color w:val="auto"/>
                <w:highlight w:val="none"/>
              </w:rPr>
            </w:pPr>
            <w:r>
              <w:rPr>
                <w:rFonts w:hint="eastAsia"/>
                <w:color w:val="auto"/>
                <w:highlight w:val="none"/>
              </w:rPr>
              <w:t>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5495">
            <w:pPr>
              <w:pStyle w:val="48"/>
              <w:spacing w:beforeAutospacing="0" w:afterAutospacing="0"/>
              <w:jc w:val="center"/>
              <w:rPr>
                <w:color w:val="auto"/>
                <w:highlight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714E">
            <w:pPr>
              <w:pStyle w:val="48"/>
              <w:spacing w:beforeAutospacing="0" w:afterAutospacing="0"/>
              <w:jc w:val="center"/>
              <w:rPr>
                <w:color w:val="auto"/>
                <w:highlight w:val="none"/>
              </w:rPr>
            </w:pPr>
            <w:r>
              <w:rPr>
                <w:rFonts w:hint="eastAsia"/>
                <w:color w:val="auto"/>
                <w:highlight w:val="none"/>
              </w:rPr>
              <w:t>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D86B">
            <w:pPr>
              <w:pStyle w:val="48"/>
              <w:spacing w:beforeAutospacing="0" w:afterAutospacing="0"/>
              <w:jc w:val="center"/>
              <w:rPr>
                <w:color w:val="auto"/>
                <w:highlight w:val="none"/>
              </w:rPr>
            </w:pPr>
          </w:p>
        </w:tc>
        <w:tc>
          <w:tcPr>
            <w:tcW w:w="2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5EA3F">
            <w:pPr>
              <w:pStyle w:val="48"/>
              <w:spacing w:beforeAutospacing="0" w:afterAutospacing="0"/>
              <w:jc w:val="center"/>
              <w:rPr>
                <w:color w:val="auto"/>
                <w:highlight w:val="none"/>
              </w:rPr>
            </w:pPr>
            <w:r>
              <w:rPr>
                <w:rFonts w:hint="eastAsia"/>
                <w:color w:val="auto"/>
                <w:highlight w:val="none"/>
              </w:rPr>
              <w:t> </w:t>
            </w:r>
          </w:p>
        </w:tc>
      </w:tr>
    </w:tbl>
    <w:p w14:paraId="5D930273">
      <w:pPr>
        <w:pStyle w:val="48"/>
        <w:spacing w:beforeAutospacing="0" w:afterAutospacing="0"/>
        <w:jc w:val="both"/>
        <w:rPr>
          <w:color w:val="auto"/>
          <w:highlight w:val="none"/>
        </w:rPr>
      </w:pPr>
      <w:r>
        <w:rPr>
          <w:rFonts w:hint="eastAsia"/>
          <w:color w:val="auto"/>
          <w:highlight w:val="none"/>
        </w:rPr>
        <w:t>注： 行数不够，可自行添加。出现超出或偏离时详细列明。</w:t>
      </w:r>
    </w:p>
    <w:p w14:paraId="777E0CEA">
      <w:pPr>
        <w:pStyle w:val="48"/>
        <w:spacing w:beforeAutospacing="0" w:afterAutospacing="0" w:line="480" w:lineRule="auto"/>
        <w:jc w:val="both"/>
        <w:rPr>
          <w:color w:val="auto"/>
          <w:highlight w:val="none"/>
        </w:rPr>
      </w:pPr>
      <w:r>
        <w:rPr>
          <w:rFonts w:hint="eastAsia"/>
          <w:color w:val="auto"/>
          <w:highlight w:val="none"/>
        </w:rPr>
        <w:t> </w:t>
      </w:r>
    </w:p>
    <w:p w14:paraId="151D2AED">
      <w:pPr>
        <w:pStyle w:val="48"/>
        <w:spacing w:beforeAutospacing="0" w:afterAutospacing="0" w:line="480" w:lineRule="auto"/>
        <w:jc w:val="both"/>
        <w:rPr>
          <w:color w:val="auto"/>
          <w:highlight w:val="none"/>
        </w:rPr>
      </w:pPr>
      <w:r>
        <w:rPr>
          <w:rFonts w:hint="eastAsia"/>
          <w:color w:val="auto"/>
          <w:highlight w:val="none"/>
        </w:rPr>
        <w:t> </w:t>
      </w:r>
    </w:p>
    <w:p w14:paraId="4415D97E">
      <w:pPr>
        <w:pStyle w:val="48"/>
        <w:spacing w:beforeAutospacing="0" w:afterAutospacing="0"/>
        <w:jc w:val="center"/>
        <w:rPr>
          <w:color w:val="auto"/>
          <w:highlight w:val="none"/>
        </w:rPr>
      </w:pPr>
      <w:bookmarkStart w:id="194" w:name="_格式2__法定代表人授权书"/>
      <w:bookmarkStart w:id="195" w:name="_Hlt26609389"/>
      <w:bookmarkStart w:id="196" w:name="_Hlt26955066"/>
      <w:bookmarkStart w:id="197" w:name="_Toc462564146"/>
      <w:bookmarkStart w:id="198" w:name="_Hlt26671374"/>
      <w:r>
        <w:rPr>
          <w:rFonts w:hint="eastAsia"/>
          <w:color w:val="auto"/>
          <w:highlight w:val="none"/>
        </w:rPr>
        <w:t> </w:t>
      </w:r>
    </w:p>
    <w:p w14:paraId="51CB0E39">
      <w:pPr>
        <w:pStyle w:val="48"/>
        <w:spacing w:beforeAutospacing="0" w:afterAutospacing="0"/>
        <w:jc w:val="both"/>
        <w:rPr>
          <w:color w:val="auto"/>
          <w:highlight w:val="none"/>
        </w:rPr>
      </w:pPr>
      <w:r>
        <w:rPr>
          <w:rFonts w:hint="eastAsia"/>
          <w:color w:val="auto"/>
          <w:highlight w:val="none"/>
        </w:rPr>
        <w:t> </w:t>
      </w:r>
    </w:p>
    <w:p w14:paraId="2325B337">
      <w:pPr>
        <w:pStyle w:val="48"/>
        <w:spacing w:beforeAutospacing="0" w:afterAutospacing="0"/>
        <w:jc w:val="both"/>
        <w:rPr>
          <w:color w:val="auto"/>
          <w:highlight w:val="none"/>
        </w:rPr>
      </w:pPr>
      <w:r>
        <w:rPr>
          <w:rFonts w:hint="eastAsia"/>
          <w:color w:val="auto"/>
          <w:highlight w:val="none"/>
        </w:rPr>
        <w:t> </w:t>
      </w:r>
    </w:p>
    <w:p w14:paraId="04E7FBEF">
      <w:pPr>
        <w:pStyle w:val="48"/>
        <w:spacing w:beforeAutospacing="0" w:afterAutospacing="0"/>
        <w:jc w:val="both"/>
        <w:rPr>
          <w:color w:val="auto"/>
          <w:highlight w:val="none"/>
        </w:rPr>
      </w:pPr>
    </w:p>
    <w:p w14:paraId="44A2CB05">
      <w:pPr>
        <w:pStyle w:val="48"/>
        <w:spacing w:beforeAutospacing="0" w:afterAutospacing="0"/>
        <w:jc w:val="both"/>
        <w:rPr>
          <w:color w:val="auto"/>
          <w:highlight w:val="none"/>
        </w:rPr>
      </w:pPr>
    </w:p>
    <w:p w14:paraId="0C4CE4E8">
      <w:pPr>
        <w:pStyle w:val="48"/>
        <w:spacing w:beforeAutospacing="0" w:afterAutospacing="0"/>
        <w:jc w:val="both"/>
        <w:rPr>
          <w:color w:val="auto"/>
          <w:highlight w:val="none"/>
        </w:rPr>
      </w:pPr>
    </w:p>
    <w:p w14:paraId="450ADD0D">
      <w:pPr>
        <w:pStyle w:val="48"/>
        <w:spacing w:beforeAutospacing="0" w:afterAutospacing="0"/>
        <w:jc w:val="both"/>
        <w:rPr>
          <w:color w:val="auto"/>
          <w:highlight w:val="none"/>
        </w:rPr>
      </w:pPr>
    </w:p>
    <w:p w14:paraId="74155AAE">
      <w:pPr>
        <w:pStyle w:val="48"/>
        <w:spacing w:beforeAutospacing="0" w:afterAutospacing="0"/>
        <w:jc w:val="both"/>
        <w:rPr>
          <w:b/>
          <w:i/>
          <w:color w:val="auto"/>
          <w:sz w:val="32"/>
          <w:szCs w:val="32"/>
          <w:highlight w:val="none"/>
          <w:u w:val="single"/>
        </w:rPr>
      </w:pPr>
    </w:p>
    <w:p w14:paraId="386BC739">
      <w:pPr>
        <w:pStyle w:val="48"/>
        <w:spacing w:beforeAutospacing="0" w:afterAutospacing="0"/>
        <w:jc w:val="both"/>
        <w:rPr>
          <w:b/>
          <w:i/>
          <w:color w:val="auto"/>
          <w:sz w:val="32"/>
          <w:szCs w:val="32"/>
          <w:highlight w:val="none"/>
          <w:u w:val="single"/>
        </w:rPr>
      </w:pPr>
    </w:p>
    <w:p w14:paraId="1B710C10">
      <w:pPr>
        <w:pStyle w:val="48"/>
        <w:spacing w:beforeAutospacing="0" w:afterAutospacing="0"/>
        <w:jc w:val="both"/>
        <w:rPr>
          <w:b/>
          <w:i/>
          <w:color w:val="auto"/>
          <w:sz w:val="32"/>
          <w:szCs w:val="32"/>
          <w:highlight w:val="none"/>
          <w:u w:val="single"/>
        </w:rPr>
      </w:pPr>
    </w:p>
    <w:p w14:paraId="60C1EF3F">
      <w:pPr>
        <w:pStyle w:val="48"/>
        <w:spacing w:beforeAutospacing="0" w:afterAutospacing="0"/>
        <w:jc w:val="both"/>
        <w:rPr>
          <w:b/>
          <w:iCs/>
          <w:color w:val="auto"/>
          <w:sz w:val="32"/>
          <w:szCs w:val="32"/>
          <w:highlight w:val="none"/>
          <w:u w:val="single"/>
        </w:rPr>
      </w:pPr>
    </w:p>
    <w:p w14:paraId="04A506A5">
      <w:pPr>
        <w:pStyle w:val="48"/>
        <w:spacing w:beforeAutospacing="0" w:afterAutospacing="0"/>
        <w:jc w:val="both"/>
        <w:rPr>
          <w:b/>
          <w:iCs/>
          <w:color w:val="auto"/>
          <w:sz w:val="32"/>
          <w:szCs w:val="32"/>
          <w:highlight w:val="none"/>
          <w:u w:val="single"/>
        </w:rPr>
      </w:pPr>
    </w:p>
    <w:p w14:paraId="249DE0A8">
      <w:pPr>
        <w:pStyle w:val="48"/>
        <w:spacing w:beforeAutospacing="0" w:afterAutospacing="0"/>
        <w:jc w:val="both"/>
        <w:rPr>
          <w:color w:val="auto"/>
          <w:highlight w:val="none"/>
        </w:rPr>
      </w:pPr>
      <w:r>
        <w:rPr>
          <w:rFonts w:hint="eastAsia"/>
          <w:b/>
          <w:iCs/>
          <w:color w:val="auto"/>
          <w:sz w:val="32"/>
          <w:szCs w:val="32"/>
          <w:highlight w:val="none"/>
          <w:u w:val="single"/>
        </w:rPr>
        <w:t>十五、开标一览表</w:t>
      </w:r>
    </w:p>
    <w:p w14:paraId="3B695ABF">
      <w:pPr>
        <w:pStyle w:val="48"/>
        <w:spacing w:beforeAutospacing="0" w:afterAutospacing="0"/>
        <w:jc w:val="both"/>
        <w:rPr>
          <w:color w:val="auto"/>
          <w:highlight w:val="none"/>
        </w:rPr>
      </w:pPr>
      <w:r>
        <w:rPr>
          <w:rFonts w:hint="eastAsia"/>
          <w:color w:val="auto"/>
          <w:highlight w:val="none"/>
        </w:rPr>
        <w:t>投标人全称（加盖CA电子签章）：</w:t>
      </w:r>
    </w:p>
    <w:p w14:paraId="2B0F7637">
      <w:pPr>
        <w:pStyle w:val="48"/>
        <w:spacing w:beforeAutospacing="0" w:afterAutospacing="0"/>
        <w:jc w:val="both"/>
        <w:rPr>
          <w:color w:val="auto"/>
          <w:highlight w:val="none"/>
        </w:rPr>
      </w:pPr>
      <w:r>
        <w:rPr>
          <w:rFonts w:hint="eastAsia"/>
          <w:color w:val="auto"/>
          <w:highlight w:val="none"/>
        </w:rPr>
        <w:t>项目名称：</w:t>
      </w:r>
    </w:p>
    <w:p w14:paraId="25989153">
      <w:pPr>
        <w:pStyle w:val="48"/>
        <w:spacing w:beforeAutospacing="0" w:afterAutospacing="0"/>
        <w:jc w:val="both"/>
        <w:rPr>
          <w:color w:val="auto"/>
          <w:highlight w:val="none"/>
        </w:rPr>
      </w:pPr>
      <w:r>
        <w:rPr>
          <w:rFonts w:hint="eastAsia"/>
          <w:color w:val="auto"/>
          <w:highlight w:val="none"/>
        </w:rPr>
        <w:t>项目编号：                </w:t>
      </w:r>
    </w:p>
    <w:p w14:paraId="3A2665EA">
      <w:pPr>
        <w:pStyle w:val="48"/>
        <w:spacing w:beforeAutospacing="0" w:afterAutospacing="0"/>
        <w:jc w:val="both"/>
        <w:rPr>
          <w:rFonts w:hint="default" w:eastAsia="宋体"/>
          <w:color w:val="auto"/>
          <w:highlight w:val="none"/>
          <w:lang w:val="en-US" w:eastAsia="zh-CN"/>
        </w:rPr>
      </w:pPr>
      <w:r>
        <w:rPr>
          <w:rFonts w:hint="eastAsia"/>
          <w:color w:val="auto"/>
          <w:highlight w:val="none"/>
        </w:rPr>
        <w:t>分 包 号：</w:t>
      </w:r>
      <w:r>
        <w:rPr>
          <w:rFonts w:hint="eastAsia"/>
          <w:color w:val="auto"/>
          <w:highlight w:val="none"/>
          <w:lang w:val="en-US" w:eastAsia="zh-CN"/>
        </w:rPr>
        <w:t>一/三</w:t>
      </w:r>
    </w:p>
    <w:tbl>
      <w:tblPr>
        <w:tblStyle w:val="53"/>
        <w:tblW w:w="998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2"/>
      </w:tblGrid>
      <w:tr w14:paraId="3F4C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blCellSpacing w:w="0" w:type="dxa"/>
        </w:trPr>
        <w:tc>
          <w:tcPr>
            <w:tcW w:w="9982" w:type="dxa"/>
            <w:shd w:val="clear" w:color="auto" w:fill="auto"/>
            <w:vAlign w:val="center"/>
          </w:tcPr>
          <w:p w14:paraId="3A1DAB50">
            <w:pPr>
              <w:pStyle w:val="48"/>
              <w:spacing w:beforeAutospacing="0" w:afterAutospacing="0"/>
              <w:jc w:val="both"/>
              <w:rPr>
                <w:color w:val="auto"/>
                <w:highlight w:val="none"/>
              </w:rPr>
            </w:pPr>
            <w:r>
              <w:rPr>
                <w:rFonts w:hint="eastAsia"/>
                <w:color w:val="auto"/>
                <w:highlight w:val="none"/>
              </w:rPr>
              <w:t>投标总报价</w:t>
            </w:r>
          </w:p>
        </w:tc>
      </w:tr>
      <w:tr w14:paraId="7CE2D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CellSpacing w:w="0" w:type="dxa"/>
        </w:trPr>
        <w:tc>
          <w:tcPr>
            <w:tcW w:w="9982" w:type="dxa"/>
            <w:shd w:val="clear" w:color="auto" w:fill="auto"/>
            <w:vAlign w:val="center"/>
          </w:tcPr>
          <w:p w14:paraId="2F3CE242">
            <w:pPr>
              <w:pStyle w:val="48"/>
              <w:spacing w:beforeAutospacing="0" w:afterAutospacing="0" w:line="0" w:lineRule="atLeast"/>
              <w:rPr>
                <w:color w:val="auto"/>
                <w:highlight w:val="none"/>
              </w:rPr>
            </w:pPr>
            <w:r>
              <w:rPr>
                <w:rFonts w:hint="eastAsia"/>
                <w:color w:val="auto"/>
                <w:highlight w:val="none"/>
              </w:rPr>
              <w:t>小写：            （人民币：                元）</w:t>
            </w:r>
          </w:p>
        </w:tc>
      </w:tr>
    </w:tbl>
    <w:p w14:paraId="5626DC38">
      <w:pPr>
        <w:pStyle w:val="48"/>
        <w:spacing w:beforeAutospacing="0" w:afterAutospacing="0"/>
        <w:jc w:val="both"/>
        <w:rPr>
          <w:color w:val="auto"/>
          <w:highlight w:val="none"/>
        </w:rPr>
      </w:pPr>
      <w:r>
        <w:rPr>
          <w:rFonts w:hint="eastAsia"/>
          <w:color w:val="auto"/>
          <w:highlight w:val="none"/>
        </w:rPr>
        <w:t> </w:t>
      </w:r>
    </w:p>
    <w:p w14:paraId="788E2BE8">
      <w:pPr>
        <w:pStyle w:val="48"/>
        <w:spacing w:beforeAutospacing="0" w:afterAutospacing="0"/>
        <w:jc w:val="both"/>
        <w:rPr>
          <w:color w:val="auto"/>
          <w:highlight w:val="none"/>
        </w:rPr>
      </w:pPr>
      <w:r>
        <w:rPr>
          <w:rFonts w:hint="eastAsia"/>
          <w:color w:val="auto"/>
          <w:highlight w:val="none"/>
        </w:rPr>
        <w:t xml:space="preserve">                                              日期：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627A29D">
      <w:pPr>
        <w:pStyle w:val="48"/>
        <w:spacing w:beforeAutospacing="0" w:afterAutospacing="0"/>
        <w:jc w:val="both"/>
        <w:rPr>
          <w:color w:val="auto"/>
          <w:highlight w:val="none"/>
        </w:rPr>
      </w:pPr>
      <w:r>
        <w:rPr>
          <w:rFonts w:hint="eastAsia"/>
          <w:color w:val="auto"/>
          <w:highlight w:val="none"/>
        </w:rPr>
        <w:t> </w:t>
      </w:r>
    </w:p>
    <w:p w14:paraId="7BBB1210">
      <w:pPr>
        <w:pStyle w:val="48"/>
        <w:spacing w:beforeAutospacing="0" w:afterAutospacing="0"/>
        <w:jc w:val="both"/>
        <w:rPr>
          <w:color w:val="auto"/>
          <w:highlight w:val="none"/>
        </w:rPr>
      </w:pPr>
      <w:r>
        <w:rPr>
          <w:rFonts w:hint="eastAsia"/>
          <w:color w:val="auto"/>
          <w:highlight w:val="none"/>
        </w:rPr>
        <w:t>投标人全称（加盖CA电子签章）：</w:t>
      </w:r>
    </w:p>
    <w:p w14:paraId="4AD69C54">
      <w:pPr>
        <w:pStyle w:val="48"/>
        <w:spacing w:beforeAutospacing="0" w:afterAutospacing="0"/>
        <w:jc w:val="both"/>
        <w:rPr>
          <w:color w:val="auto"/>
          <w:highlight w:val="none"/>
        </w:rPr>
      </w:pPr>
      <w:r>
        <w:rPr>
          <w:rFonts w:hint="eastAsia"/>
          <w:color w:val="auto"/>
          <w:highlight w:val="none"/>
        </w:rPr>
        <w:t>项目名称：</w:t>
      </w:r>
    </w:p>
    <w:p w14:paraId="6896CC28">
      <w:pPr>
        <w:pStyle w:val="48"/>
        <w:spacing w:beforeAutospacing="0" w:afterAutospacing="0"/>
        <w:jc w:val="both"/>
        <w:rPr>
          <w:color w:val="auto"/>
          <w:highlight w:val="none"/>
        </w:rPr>
      </w:pPr>
      <w:r>
        <w:rPr>
          <w:rFonts w:hint="eastAsia"/>
          <w:color w:val="auto"/>
          <w:highlight w:val="none"/>
        </w:rPr>
        <w:t>项目编号：                </w:t>
      </w:r>
    </w:p>
    <w:p w14:paraId="287D907B">
      <w:pPr>
        <w:pStyle w:val="48"/>
        <w:spacing w:beforeAutospacing="0" w:afterAutospacing="0"/>
        <w:jc w:val="both"/>
        <w:rPr>
          <w:rFonts w:hint="default" w:eastAsia="宋体"/>
          <w:color w:val="auto"/>
          <w:highlight w:val="none"/>
          <w:lang w:val="en-US" w:eastAsia="zh-CN"/>
        </w:rPr>
      </w:pPr>
      <w:r>
        <w:rPr>
          <w:rFonts w:hint="eastAsia"/>
          <w:color w:val="auto"/>
          <w:highlight w:val="none"/>
        </w:rPr>
        <w:t>分 包 号：</w:t>
      </w:r>
      <w:r>
        <w:rPr>
          <w:rFonts w:hint="eastAsia"/>
          <w:color w:val="auto"/>
          <w:highlight w:val="none"/>
          <w:lang w:val="en-US" w:eastAsia="zh-CN"/>
        </w:rPr>
        <w:t>二</w:t>
      </w:r>
    </w:p>
    <w:tbl>
      <w:tblPr>
        <w:tblStyle w:val="53"/>
        <w:tblW w:w="998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2"/>
      </w:tblGrid>
      <w:tr w14:paraId="7CB6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blCellSpacing w:w="0" w:type="dxa"/>
        </w:trPr>
        <w:tc>
          <w:tcPr>
            <w:tcW w:w="9982" w:type="dxa"/>
            <w:shd w:val="clear" w:color="auto" w:fill="auto"/>
            <w:vAlign w:val="center"/>
          </w:tcPr>
          <w:p w14:paraId="7C9AF883">
            <w:pPr>
              <w:pStyle w:val="48"/>
              <w:spacing w:beforeAutospacing="0" w:afterAutospacing="0"/>
              <w:jc w:val="both"/>
              <w:rPr>
                <w:rFonts w:hint="eastAsia" w:eastAsia="宋体"/>
                <w:color w:val="auto"/>
                <w:highlight w:val="none"/>
                <w:lang w:eastAsia="zh-CN"/>
              </w:rPr>
            </w:pPr>
            <w:r>
              <w:rPr>
                <w:rFonts w:hint="eastAsia" w:eastAsia="宋体"/>
                <w:color w:val="auto"/>
                <w:highlight w:val="none"/>
                <w:lang w:eastAsia="zh-CN"/>
              </w:rPr>
              <w:t>投标</w:t>
            </w:r>
            <w:r>
              <w:rPr>
                <w:rFonts w:hint="eastAsia"/>
                <w:color w:val="auto"/>
                <w:highlight w:val="none"/>
                <w:lang w:val="en-US" w:eastAsia="zh-CN"/>
              </w:rPr>
              <w:t>报价</w:t>
            </w:r>
          </w:p>
        </w:tc>
      </w:tr>
      <w:tr w14:paraId="0EA9F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CellSpacing w:w="0" w:type="dxa"/>
        </w:trPr>
        <w:tc>
          <w:tcPr>
            <w:tcW w:w="9982" w:type="dxa"/>
            <w:shd w:val="clear" w:color="auto" w:fill="auto"/>
            <w:vAlign w:val="center"/>
          </w:tcPr>
          <w:p w14:paraId="0DA0C656">
            <w:pPr>
              <w:pStyle w:val="48"/>
              <w:spacing w:beforeAutospacing="0" w:afterAutospacing="0" w:line="0" w:lineRule="atLeast"/>
              <w:rPr>
                <w:color w:val="auto"/>
                <w:highlight w:val="none"/>
              </w:rPr>
            </w:pPr>
            <w:r>
              <w:rPr>
                <w:rFonts w:hint="eastAsia"/>
                <w:color w:val="auto"/>
                <w:highlight w:val="none"/>
              </w:rPr>
              <w:t>小写：       </w:t>
            </w:r>
            <w:r>
              <w:rPr>
                <w:rFonts w:hint="eastAsia"/>
                <w:color w:val="auto"/>
                <w:highlight w:val="none"/>
                <w:lang w:val="en-US" w:eastAsia="zh-CN"/>
              </w:rPr>
              <w:t>元/㎡</w:t>
            </w:r>
            <w:r>
              <w:rPr>
                <w:rFonts w:hint="eastAsia"/>
                <w:color w:val="auto"/>
                <w:highlight w:val="none"/>
              </w:rPr>
              <w:t>     </w:t>
            </w:r>
          </w:p>
        </w:tc>
      </w:tr>
    </w:tbl>
    <w:p w14:paraId="26C5C8DC">
      <w:pPr>
        <w:pStyle w:val="48"/>
        <w:spacing w:beforeAutospacing="0" w:afterAutospacing="0"/>
        <w:jc w:val="both"/>
        <w:rPr>
          <w:color w:val="auto"/>
          <w:highlight w:val="none"/>
        </w:rPr>
      </w:pPr>
      <w:r>
        <w:rPr>
          <w:rFonts w:hint="eastAsia"/>
          <w:color w:val="auto"/>
          <w:highlight w:val="none"/>
        </w:rPr>
        <w:t> </w:t>
      </w:r>
    </w:p>
    <w:p w14:paraId="7FA9354E">
      <w:pPr>
        <w:pStyle w:val="48"/>
        <w:spacing w:beforeAutospacing="0" w:afterAutospacing="0"/>
        <w:jc w:val="both"/>
        <w:rPr>
          <w:color w:val="auto"/>
          <w:highlight w:val="none"/>
        </w:rPr>
      </w:pPr>
      <w:r>
        <w:rPr>
          <w:rFonts w:hint="eastAsia"/>
          <w:color w:val="auto"/>
          <w:highlight w:val="none"/>
        </w:rPr>
        <w:t xml:space="preserve">                                              日期：  </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671A624C">
      <w:pPr>
        <w:pStyle w:val="48"/>
        <w:spacing w:beforeAutospacing="0" w:afterAutospacing="0"/>
        <w:jc w:val="center"/>
        <w:rPr>
          <w:color w:val="auto"/>
          <w:highlight w:val="none"/>
        </w:rPr>
      </w:pPr>
    </w:p>
    <w:p w14:paraId="4274B2CC">
      <w:pPr>
        <w:widowControl/>
        <w:jc w:val="center"/>
        <w:rPr>
          <w:rFonts w:ascii="宋体" w:hAnsi="宋体" w:cs="宋体"/>
          <w:color w:val="auto"/>
          <w:highlight w:val="none"/>
        </w:rPr>
      </w:pPr>
      <w:r>
        <w:rPr>
          <w:rFonts w:hint="eastAsia" w:ascii="宋体" w:hAnsi="宋体" w:cs="宋体"/>
          <w:color w:val="auto"/>
          <w:highlight w:val="none"/>
        </w:rPr>
        <w:tab/>
      </w:r>
    </w:p>
    <w:p w14:paraId="5DFC1A51">
      <w:pPr>
        <w:widowControl/>
        <w:jc w:val="center"/>
        <w:rPr>
          <w:rFonts w:ascii="宋体" w:hAnsi="宋体" w:cs="宋体"/>
          <w:color w:val="auto"/>
          <w:highlight w:val="none"/>
        </w:rPr>
      </w:pPr>
    </w:p>
    <w:p w14:paraId="0C6756D1">
      <w:pPr>
        <w:widowControl/>
        <w:jc w:val="center"/>
        <w:rPr>
          <w:rFonts w:ascii="宋体" w:hAnsi="宋体" w:cs="宋体"/>
          <w:color w:val="auto"/>
          <w:highlight w:val="none"/>
        </w:rPr>
      </w:pPr>
    </w:p>
    <w:p w14:paraId="500FFE15">
      <w:pPr>
        <w:widowControl/>
        <w:jc w:val="center"/>
        <w:rPr>
          <w:rFonts w:ascii="宋体" w:hAnsi="宋体" w:cs="宋体"/>
          <w:color w:val="auto"/>
          <w:highlight w:val="none"/>
        </w:rPr>
      </w:pPr>
    </w:p>
    <w:p w14:paraId="122601C6">
      <w:pPr>
        <w:widowControl/>
        <w:jc w:val="center"/>
        <w:rPr>
          <w:rFonts w:ascii="宋体" w:hAnsi="宋体" w:cs="宋体"/>
          <w:color w:val="auto"/>
          <w:highlight w:val="none"/>
        </w:rPr>
      </w:pPr>
    </w:p>
    <w:p w14:paraId="1B9C0FBC">
      <w:pPr>
        <w:widowControl/>
        <w:jc w:val="center"/>
        <w:rPr>
          <w:rFonts w:ascii="宋体" w:hAnsi="宋体" w:cs="宋体"/>
          <w:color w:val="auto"/>
          <w:highlight w:val="none"/>
        </w:rPr>
      </w:pPr>
    </w:p>
    <w:p w14:paraId="3328890F">
      <w:pPr>
        <w:widowControl/>
        <w:jc w:val="center"/>
        <w:rPr>
          <w:rFonts w:ascii="宋体" w:hAnsi="宋体" w:cs="宋体"/>
          <w:color w:val="auto"/>
          <w:highlight w:val="none"/>
        </w:rPr>
      </w:pPr>
    </w:p>
    <w:p w14:paraId="46430408">
      <w:pPr>
        <w:widowControl/>
        <w:jc w:val="left"/>
        <w:rPr>
          <w:rFonts w:ascii="宋体" w:hAnsi="宋体" w:cs="宋体"/>
          <w:color w:val="auto"/>
          <w:sz w:val="24"/>
          <w:highlight w:val="none"/>
        </w:rPr>
      </w:pPr>
      <w:r>
        <w:rPr>
          <w:rFonts w:hint="eastAsia" w:ascii="宋体" w:hAnsi="宋体" w:cs="宋体"/>
          <w:b/>
          <w:bCs/>
          <w:color w:val="auto"/>
          <w:sz w:val="32"/>
          <w:szCs w:val="32"/>
          <w:highlight w:val="none"/>
          <w:u w:val="single"/>
        </w:rPr>
        <w:t>十六、依据评标办法用于评分的材料</w:t>
      </w:r>
    </w:p>
    <w:p w14:paraId="24C0DFE3">
      <w:pPr>
        <w:pStyle w:val="48"/>
        <w:tabs>
          <w:tab w:val="left" w:pos="2160"/>
        </w:tabs>
        <w:spacing w:beforeAutospacing="0" w:afterAutospacing="0"/>
        <w:jc w:val="both"/>
        <w:rPr>
          <w:color w:val="auto"/>
          <w:highlight w:val="none"/>
        </w:rPr>
      </w:pPr>
    </w:p>
    <w:p w14:paraId="2C2933DC">
      <w:pPr>
        <w:widowControl/>
        <w:spacing w:line="499" w:lineRule="atLeast"/>
        <w:rPr>
          <w:rFonts w:ascii="宋体" w:hAnsi="宋体" w:cs="宋体"/>
          <w:color w:val="auto"/>
          <w:sz w:val="32"/>
          <w:szCs w:val="32"/>
          <w:highlight w:val="none"/>
        </w:rPr>
      </w:pPr>
    </w:p>
    <w:p w14:paraId="23AEE7E5">
      <w:pPr>
        <w:widowControl/>
        <w:spacing w:line="499" w:lineRule="atLeast"/>
        <w:rPr>
          <w:rFonts w:ascii="宋体" w:hAnsi="宋体" w:cs="宋体"/>
          <w:color w:val="auto"/>
          <w:sz w:val="24"/>
          <w:highlight w:val="none"/>
        </w:rPr>
      </w:pPr>
      <w:r>
        <w:rPr>
          <w:rFonts w:hint="eastAsia" w:ascii="宋体" w:hAnsi="宋体" w:cs="宋体"/>
          <w:b/>
          <w:bCs/>
          <w:color w:val="auto"/>
          <w:sz w:val="32"/>
          <w:szCs w:val="32"/>
          <w:highlight w:val="none"/>
        </w:rPr>
        <w:t>十七、盐城市政府采购事前信用承诺书</w:t>
      </w:r>
    </w:p>
    <w:p w14:paraId="67E58256">
      <w:pPr>
        <w:widowControl/>
        <w:spacing w:line="360" w:lineRule="atLeast"/>
        <w:jc w:val="left"/>
        <w:rPr>
          <w:rFonts w:ascii="宋体" w:hAnsi="宋体" w:cs="宋体"/>
          <w:color w:val="auto"/>
          <w:sz w:val="24"/>
          <w:highlight w:val="none"/>
        </w:rPr>
      </w:pPr>
      <w:r>
        <w:rPr>
          <w:rFonts w:hint="eastAsia" w:ascii="宋体" w:hAnsi="宋体" w:cs="宋体"/>
          <w:color w:val="auto"/>
          <w:sz w:val="24"/>
          <w:highlight w:val="none"/>
        </w:rPr>
        <w:t>为营造我市公开、公平、公正、诚实守信的政府采购交易环境，树立诚信守法的投标人形象，本人代表本单位作出以下承诺：</w:t>
      </w:r>
    </w:p>
    <w:p w14:paraId="3A54FB71">
      <w:pPr>
        <w:widowControl/>
        <w:spacing w:line="360" w:lineRule="atLeast"/>
        <w:ind w:firstLine="480"/>
        <w:jc w:val="left"/>
        <w:rPr>
          <w:rFonts w:ascii="宋体" w:hAnsi="宋体" w:cs="宋体"/>
          <w:color w:val="auto"/>
          <w:sz w:val="24"/>
          <w:highlight w:val="none"/>
        </w:rPr>
      </w:pPr>
      <w:r>
        <w:rPr>
          <w:rFonts w:hint="eastAsia" w:ascii="宋体" w:hAnsi="宋体" w:cs="宋体"/>
          <w:color w:val="auto"/>
          <w:sz w:val="24"/>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0DF6308F">
      <w:pPr>
        <w:widowControl/>
        <w:spacing w:line="360" w:lineRule="atLeast"/>
        <w:ind w:firstLine="480"/>
        <w:jc w:val="left"/>
        <w:rPr>
          <w:rFonts w:ascii="宋体" w:hAnsi="宋体" w:cs="宋体"/>
          <w:color w:val="auto"/>
          <w:sz w:val="24"/>
          <w:highlight w:val="none"/>
        </w:rPr>
      </w:pPr>
      <w:r>
        <w:rPr>
          <w:rFonts w:hint="eastAsia" w:ascii="宋体" w:hAnsi="宋体" w:cs="宋体"/>
          <w:color w:val="auto"/>
          <w:sz w:val="24"/>
          <w:highlight w:val="none"/>
        </w:rPr>
        <w:t>（二）本单位无涉及政府采购活动的违法、违规不良记录，我公司及相关负责人无因存在重大隐患整改不力、发生有重大社会影响生产安全事故或其他严重违法违规行为而被列入失信联合惩戒的不良记录；</w:t>
      </w:r>
    </w:p>
    <w:p w14:paraId="2DEE421D">
      <w:pPr>
        <w:widowControl/>
        <w:spacing w:line="360" w:lineRule="atLeast"/>
        <w:ind w:firstLine="480"/>
        <w:jc w:val="left"/>
        <w:rPr>
          <w:rFonts w:ascii="宋体" w:hAnsi="宋体" w:cs="宋体"/>
          <w:color w:val="auto"/>
          <w:sz w:val="24"/>
          <w:highlight w:val="none"/>
        </w:rPr>
      </w:pPr>
      <w:r>
        <w:rPr>
          <w:rFonts w:hint="eastAsia" w:ascii="宋体" w:hAnsi="宋体" w:cs="宋体"/>
          <w:color w:val="auto"/>
          <w:sz w:val="24"/>
          <w:highlight w:val="none"/>
        </w:rPr>
        <w:t xml:space="preserve">（三）严格依照国家和省、市关于政府采购的法律、法规、规章、规范性文件，参加政府采购投标活动；积极履行社会责任，促进廉政建设； </w:t>
      </w:r>
    </w:p>
    <w:p w14:paraId="1C731E67">
      <w:pPr>
        <w:widowControl/>
        <w:spacing w:line="360" w:lineRule="atLeast"/>
        <w:ind w:firstLine="480"/>
        <w:jc w:val="left"/>
        <w:rPr>
          <w:rFonts w:ascii="宋体" w:hAnsi="宋体" w:cs="宋体"/>
          <w:color w:val="auto"/>
          <w:sz w:val="24"/>
          <w:highlight w:val="none"/>
        </w:rPr>
      </w:pPr>
      <w:r>
        <w:rPr>
          <w:rFonts w:hint="eastAsia" w:ascii="宋体" w:hAnsi="宋体" w:cs="宋体"/>
          <w:color w:val="auto"/>
          <w:sz w:val="24"/>
          <w:highlight w:val="none"/>
        </w:rPr>
        <w:t>（四）严格遵守即时信息公示规定，及时维护和更新维护和更新盐城市政府采购网中与本单位相关的信息；</w:t>
      </w:r>
    </w:p>
    <w:p w14:paraId="1C9A2A85">
      <w:pPr>
        <w:widowControl/>
        <w:spacing w:line="360" w:lineRule="atLeast"/>
        <w:ind w:firstLine="480"/>
        <w:jc w:val="left"/>
        <w:rPr>
          <w:rFonts w:ascii="宋体" w:hAnsi="宋体" w:cs="宋体"/>
          <w:color w:val="auto"/>
          <w:sz w:val="24"/>
          <w:highlight w:val="none"/>
        </w:rPr>
      </w:pPr>
      <w:r>
        <w:rPr>
          <w:rFonts w:hint="eastAsia" w:ascii="宋体" w:hAnsi="宋体" w:cs="宋体"/>
          <w:color w:val="auto"/>
          <w:sz w:val="24"/>
          <w:highlight w:val="none"/>
        </w:rPr>
        <w:t>（五）自我约束、自我管理，守合同、重信用，自觉维护政府采购交易的良好秩序，与参与本次政府采购活动的其他供应商不存在直接控股或管理关系，不参与围标串标、弄虚作假、骗取中标、干扰评标、违约毁约等行为；</w:t>
      </w:r>
    </w:p>
    <w:p w14:paraId="1AB14921">
      <w:pPr>
        <w:widowControl/>
        <w:spacing w:line="360" w:lineRule="atLeast"/>
        <w:ind w:firstLine="480"/>
        <w:jc w:val="left"/>
        <w:rPr>
          <w:rFonts w:ascii="宋体" w:hAnsi="宋体" w:cs="宋体"/>
          <w:color w:val="auto"/>
          <w:sz w:val="24"/>
          <w:highlight w:val="none"/>
        </w:rPr>
      </w:pPr>
      <w:r>
        <w:rPr>
          <w:rFonts w:hint="eastAsia" w:ascii="宋体" w:hAnsi="宋体" w:cs="宋体"/>
          <w:color w:val="auto"/>
          <w:sz w:val="24"/>
          <w:highlight w:val="none"/>
        </w:rPr>
        <w:t>（六）自觉接受政府、行业组织、社会公众、新闻舆论的监督；</w:t>
      </w:r>
    </w:p>
    <w:p w14:paraId="1B4E53B3">
      <w:pPr>
        <w:widowControl/>
        <w:spacing w:line="360" w:lineRule="atLeast"/>
        <w:ind w:firstLine="480"/>
        <w:jc w:val="left"/>
        <w:rPr>
          <w:rFonts w:ascii="宋体" w:hAnsi="宋体" w:cs="宋体"/>
          <w:color w:val="auto"/>
          <w:sz w:val="24"/>
          <w:highlight w:val="none"/>
        </w:rPr>
      </w:pPr>
      <w:r>
        <w:rPr>
          <w:rFonts w:hint="eastAsia" w:ascii="宋体" w:hAnsi="宋体" w:cs="宋体"/>
          <w:color w:val="auto"/>
          <w:sz w:val="24"/>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4F466314">
      <w:pPr>
        <w:widowControl/>
        <w:spacing w:line="360" w:lineRule="atLeast"/>
        <w:ind w:firstLine="480"/>
        <w:jc w:val="left"/>
        <w:rPr>
          <w:rFonts w:ascii="宋体" w:hAnsi="宋体" w:cs="宋体"/>
          <w:color w:val="auto"/>
          <w:sz w:val="24"/>
          <w:highlight w:val="none"/>
        </w:rPr>
      </w:pPr>
      <w:r>
        <w:rPr>
          <w:rFonts w:hint="eastAsia" w:ascii="宋体" w:hAnsi="宋体" w:cs="宋体"/>
          <w:color w:val="auto"/>
          <w:sz w:val="24"/>
          <w:highlight w:val="none"/>
        </w:rPr>
        <w:t>（八）本人已认真阅读了上述承诺，并向本单位员工作了宣传教育。</w:t>
      </w:r>
    </w:p>
    <w:p w14:paraId="52D64055">
      <w:pPr>
        <w:widowControl/>
        <w:spacing w:line="360" w:lineRule="atLeast"/>
        <w:ind w:firstLine="480"/>
        <w:jc w:val="left"/>
        <w:rPr>
          <w:rFonts w:ascii="宋体" w:hAnsi="宋体" w:cs="宋体"/>
          <w:color w:val="auto"/>
          <w:sz w:val="24"/>
          <w:highlight w:val="none"/>
        </w:rPr>
      </w:pPr>
    </w:p>
    <w:p w14:paraId="12EAECAE">
      <w:pPr>
        <w:widowControl/>
        <w:spacing w:line="360" w:lineRule="atLeast"/>
        <w:ind w:firstLine="480"/>
        <w:jc w:val="left"/>
        <w:rPr>
          <w:rFonts w:ascii="宋体" w:hAnsi="宋体" w:cs="宋体"/>
          <w:color w:val="auto"/>
          <w:sz w:val="24"/>
          <w:highlight w:val="none"/>
        </w:rPr>
      </w:pPr>
    </w:p>
    <w:p w14:paraId="2A663106">
      <w:pPr>
        <w:widowControl/>
        <w:spacing w:line="360" w:lineRule="atLeast"/>
        <w:ind w:firstLine="480"/>
        <w:jc w:val="left"/>
        <w:rPr>
          <w:rFonts w:ascii="宋体" w:hAnsi="宋体" w:cs="宋体"/>
          <w:color w:val="auto"/>
          <w:sz w:val="24"/>
          <w:highlight w:val="none"/>
        </w:rPr>
      </w:pPr>
      <w:r>
        <w:rPr>
          <w:rFonts w:hint="eastAsia" w:ascii="宋体" w:hAnsi="宋体" w:cs="宋体"/>
          <w:color w:val="auto"/>
          <w:sz w:val="24"/>
          <w:highlight w:val="none"/>
        </w:rPr>
        <w:t>法定代表人签名：               单位名称（盖章）：    </w:t>
      </w:r>
    </w:p>
    <w:p w14:paraId="49D63CA5">
      <w:pPr>
        <w:widowControl/>
        <w:spacing w:line="360" w:lineRule="atLeast"/>
        <w:ind w:firstLine="720"/>
        <w:jc w:val="left"/>
        <w:rPr>
          <w:rFonts w:ascii="宋体" w:hAnsi="宋体" w:cs="宋体"/>
          <w:color w:val="auto"/>
          <w:sz w:val="24"/>
          <w:highlight w:val="none"/>
        </w:rPr>
      </w:pPr>
    </w:p>
    <w:p w14:paraId="69405486">
      <w:pPr>
        <w:widowControl/>
        <w:spacing w:line="360" w:lineRule="atLeast"/>
        <w:ind w:firstLine="720"/>
        <w:jc w:val="right"/>
        <w:rPr>
          <w:rFonts w:ascii="宋体" w:hAnsi="宋体" w:cs="宋体"/>
          <w:color w:val="auto"/>
          <w:highlight w:val="none"/>
        </w:rPr>
      </w:pPr>
      <w:r>
        <w:rPr>
          <w:rFonts w:hint="eastAsia" w:ascii="宋体" w:hAnsi="宋体" w:cs="宋体"/>
          <w:color w:val="auto"/>
          <w:sz w:val="24"/>
          <w:highlight w:val="none"/>
        </w:rPr>
        <w:t>年  月   日</w:t>
      </w:r>
      <w:bookmarkEnd w:id="185"/>
      <w:bookmarkEnd w:id="194"/>
      <w:bookmarkEnd w:id="195"/>
      <w:bookmarkEnd w:id="196"/>
      <w:bookmarkEnd w:id="197"/>
      <w:bookmarkEnd w:id="198"/>
    </w:p>
    <w:p w14:paraId="6D37369C">
      <w:pPr>
        <w:pStyle w:val="48"/>
        <w:spacing w:beforeAutospacing="0" w:afterAutospacing="0"/>
        <w:jc w:val="center"/>
        <w:rPr>
          <w:b/>
          <w:color w:val="auto"/>
          <w:sz w:val="32"/>
          <w:szCs w:val="32"/>
          <w:highlight w:val="none"/>
        </w:rPr>
      </w:pPr>
    </w:p>
    <w:p w14:paraId="5C8FC66B">
      <w:pPr>
        <w:pStyle w:val="48"/>
        <w:spacing w:beforeAutospacing="0" w:afterAutospacing="0"/>
        <w:jc w:val="center"/>
        <w:rPr>
          <w:b/>
          <w:color w:val="auto"/>
          <w:sz w:val="32"/>
          <w:szCs w:val="32"/>
          <w:highlight w:val="none"/>
        </w:rPr>
      </w:pPr>
    </w:p>
    <w:p w14:paraId="172AE908">
      <w:pPr>
        <w:pStyle w:val="48"/>
        <w:spacing w:beforeAutospacing="0" w:afterAutospacing="0"/>
        <w:jc w:val="center"/>
        <w:rPr>
          <w:b/>
          <w:color w:val="auto"/>
          <w:sz w:val="32"/>
          <w:szCs w:val="32"/>
          <w:highlight w:val="none"/>
        </w:rPr>
      </w:pPr>
    </w:p>
    <w:p w14:paraId="107F1E30">
      <w:pPr>
        <w:pStyle w:val="48"/>
        <w:spacing w:beforeAutospacing="0" w:afterAutospacing="0"/>
        <w:jc w:val="center"/>
        <w:rPr>
          <w:b/>
          <w:color w:val="auto"/>
          <w:sz w:val="32"/>
          <w:szCs w:val="32"/>
          <w:highlight w:val="none"/>
        </w:rPr>
      </w:pPr>
    </w:p>
    <w:p w14:paraId="0BA5C734">
      <w:pPr>
        <w:pStyle w:val="48"/>
        <w:spacing w:beforeAutospacing="0" w:afterAutospacing="0"/>
        <w:jc w:val="center"/>
        <w:rPr>
          <w:b/>
          <w:color w:val="auto"/>
          <w:sz w:val="32"/>
          <w:szCs w:val="32"/>
          <w:highlight w:val="none"/>
        </w:rPr>
      </w:pPr>
    </w:p>
    <w:p w14:paraId="6FCCA04F">
      <w:pPr>
        <w:pStyle w:val="48"/>
        <w:spacing w:beforeAutospacing="0" w:afterAutospacing="0"/>
        <w:jc w:val="center"/>
        <w:rPr>
          <w:b/>
          <w:color w:val="auto"/>
          <w:sz w:val="32"/>
          <w:szCs w:val="32"/>
          <w:highlight w:val="none"/>
        </w:rPr>
      </w:pPr>
    </w:p>
    <w:p w14:paraId="3A350415">
      <w:pPr>
        <w:pStyle w:val="48"/>
        <w:spacing w:beforeAutospacing="0" w:afterAutospacing="0"/>
        <w:jc w:val="center"/>
        <w:rPr>
          <w:b/>
          <w:color w:val="auto"/>
          <w:sz w:val="32"/>
          <w:szCs w:val="32"/>
          <w:highlight w:val="none"/>
        </w:rPr>
      </w:pPr>
    </w:p>
    <w:p w14:paraId="69E7ED0A">
      <w:pPr>
        <w:pStyle w:val="48"/>
        <w:spacing w:beforeAutospacing="0" w:afterAutospacing="0"/>
        <w:jc w:val="center"/>
        <w:rPr>
          <w:b/>
          <w:color w:val="auto"/>
          <w:sz w:val="32"/>
          <w:szCs w:val="32"/>
          <w:highlight w:val="none"/>
        </w:rPr>
      </w:pPr>
    </w:p>
    <w:p w14:paraId="71DB2B8D">
      <w:pPr>
        <w:pStyle w:val="48"/>
        <w:spacing w:beforeAutospacing="0" w:afterAutospacing="0"/>
        <w:jc w:val="center"/>
        <w:rPr>
          <w:b/>
          <w:color w:val="auto"/>
          <w:sz w:val="32"/>
          <w:szCs w:val="32"/>
          <w:highlight w:val="none"/>
        </w:rPr>
      </w:pPr>
      <w:r>
        <w:rPr>
          <w:rFonts w:hint="eastAsia"/>
          <w:b/>
          <w:color w:val="auto"/>
          <w:sz w:val="32"/>
          <w:szCs w:val="32"/>
          <w:highlight w:val="none"/>
        </w:rPr>
        <w:t>质疑函范本</w:t>
      </w:r>
    </w:p>
    <w:p w14:paraId="398BF2F8">
      <w:pPr>
        <w:pStyle w:val="48"/>
        <w:spacing w:before="0" w:beforeAutospacing="0" w:after="0" w:afterAutospacing="0" w:line="360" w:lineRule="exact"/>
        <w:jc w:val="both"/>
        <w:rPr>
          <w:color w:val="auto"/>
          <w:highlight w:val="none"/>
        </w:rPr>
      </w:pPr>
      <w:r>
        <w:rPr>
          <w:rFonts w:hint="eastAsia"/>
          <w:color w:val="auto"/>
          <w:highlight w:val="none"/>
        </w:rPr>
        <w:t>一、质疑供应商基本信息</w:t>
      </w:r>
    </w:p>
    <w:p w14:paraId="7DBBF1B0">
      <w:pPr>
        <w:pStyle w:val="48"/>
        <w:spacing w:before="0" w:beforeAutospacing="0" w:after="0" w:afterAutospacing="0" w:line="360" w:lineRule="exact"/>
        <w:jc w:val="both"/>
        <w:rPr>
          <w:color w:val="auto"/>
          <w:highlight w:val="none"/>
        </w:rPr>
      </w:pPr>
      <w:r>
        <w:rPr>
          <w:rFonts w:hint="eastAsia"/>
          <w:color w:val="auto"/>
          <w:highlight w:val="none"/>
        </w:rPr>
        <w:t>质疑供应商：</w:t>
      </w:r>
      <w:r>
        <w:rPr>
          <w:rFonts w:hint="eastAsia"/>
          <w:color w:val="auto"/>
          <w:highlight w:val="none"/>
          <w:u w:val="single"/>
        </w:rPr>
        <w:t>                    </w:t>
      </w:r>
      <w:r>
        <w:rPr>
          <w:rFonts w:hint="eastAsia"/>
          <w:color w:val="auto"/>
          <w:highlight w:val="none"/>
          <w:u w:val="single"/>
        </w:rPr>
        <w:tab/>
      </w:r>
      <w:r>
        <w:rPr>
          <w:rFonts w:hint="eastAsia"/>
          <w:color w:val="auto"/>
          <w:highlight w:val="none"/>
          <w:u w:val="single"/>
        </w:rPr>
        <w:t> </w:t>
      </w:r>
      <w:r>
        <w:rPr>
          <w:rFonts w:hint="eastAsia"/>
          <w:color w:val="auto"/>
          <w:highlight w:val="none"/>
          <w:u w:val="single"/>
        </w:rPr>
        <w:tab/>
      </w:r>
      <w:r>
        <w:rPr>
          <w:rFonts w:hint="eastAsia"/>
          <w:color w:val="auto"/>
          <w:highlight w:val="none"/>
          <w:u w:val="single"/>
        </w:rPr>
        <w:t xml:space="preserve">       </w:t>
      </w:r>
    </w:p>
    <w:p w14:paraId="6E428B3E">
      <w:pPr>
        <w:pStyle w:val="48"/>
        <w:spacing w:before="0" w:beforeAutospacing="0" w:after="0" w:afterAutospacing="0" w:line="360" w:lineRule="exact"/>
        <w:jc w:val="both"/>
        <w:rPr>
          <w:color w:val="auto"/>
          <w:highlight w:val="none"/>
          <w:u w:val="single"/>
        </w:rPr>
      </w:pPr>
      <w:r>
        <w:rPr>
          <w:rFonts w:hint="eastAsia"/>
          <w:color w:val="auto"/>
          <w:highlight w:val="none"/>
        </w:rPr>
        <w:t>地址：</w:t>
      </w:r>
      <w:r>
        <w:rPr>
          <w:rFonts w:hint="eastAsia"/>
          <w:color w:val="auto"/>
          <w:highlight w:val="none"/>
          <w:u w:val="single"/>
        </w:rPr>
        <w:t xml:space="preserve">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      </w:t>
      </w:r>
    </w:p>
    <w:p w14:paraId="18B7BA50">
      <w:pPr>
        <w:pStyle w:val="48"/>
        <w:spacing w:before="0" w:beforeAutospacing="0" w:after="0" w:afterAutospacing="0" w:line="360" w:lineRule="exact"/>
        <w:jc w:val="both"/>
        <w:rPr>
          <w:color w:val="auto"/>
          <w:highlight w:val="none"/>
        </w:rPr>
      </w:pPr>
      <w:r>
        <w:rPr>
          <w:rFonts w:hint="eastAsia"/>
          <w:color w:val="auto"/>
          <w:highlight w:val="none"/>
        </w:rPr>
        <w:t>邮编：</w:t>
      </w:r>
      <w:r>
        <w:rPr>
          <w:rFonts w:hint="eastAsia"/>
          <w:color w:val="auto"/>
          <w:highlight w:val="none"/>
          <w:u w:val="single"/>
        </w:rPr>
        <w:t>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p>
    <w:p w14:paraId="55751714">
      <w:pPr>
        <w:pStyle w:val="48"/>
        <w:spacing w:before="0" w:beforeAutospacing="0" w:after="0" w:afterAutospacing="0" w:line="360" w:lineRule="exact"/>
        <w:jc w:val="both"/>
        <w:rPr>
          <w:color w:val="auto"/>
          <w:highlight w:val="none"/>
          <w:u w:val="single"/>
        </w:rPr>
      </w:pPr>
      <w:r>
        <w:rPr>
          <w:rFonts w:hint="eastAsia"/>
          <w:color w:val="auto"/>
          <w:highlight w:val="none"/>
        </w:rPr>
        <w:t>联系人：</w:t>
      </w:r>
      <w:r>
        <w:rPr>
          <w:rFonts w:hint="eastAsia"/>
          <w:color w:val="auto"/>
          <w:highlight w:val="none"/>
          <w:u w:val="single"/>
        </w:rPr>
        <w:t>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p>
    <w:p w14:paraId="68171097">
      <w:pPr>
        <w:pStyle w:val="48"/>
        <w:spacing w:before="0" w:beforeAutospacing="0" w:after="0" w:afterAutospacing="0" w:line="360" w:lineRule="exact"/>
        <w:jc w:val="both"/>
        <w:rPr>
          <w:color w:val="auto"/>
          <w:highlight w:val="none"/>
        </w:rPr>
      </w:pPr>
      <w:r>
        <w:rPr>
          <w:rFonts w:hint="eastAsia"/>
          <w:color w:val="auto"/>
          <w:highlight w:val="none"/>
        </w:rPr>
        <w:t>联系电话：</w:t>
      </w:r>
      <w:r>
        <w:rPr>
          <w:rFonts w:hint="eastAsia"/>
          <w:color w:val="auto"/>
          <w:highlight w:val="none"/>
          <w:u w:val="single"/>
        </w:rPr>
        <w:t xml:space="preserve">                                           </w:t>
      </w:r>
    </w:p>
    <w:p w14:paraId="3BAE1DAE">
      <w:pPr>
        <w:pStyle w:val="48"/>
        <w:spacing w:before="0" w:beforeAutospacing="0" w:after="0" w:afterAutospacing="0" w:line="360" w:lineRule="exact"/>
        <w:jc w:val="both"/>
        <w:rPr>
          <w:color w:val="auto"/>
          <w:highlight w:val="none"/>
        </w:rPr>
      </w:pPr>
      <w:r>
        <w:rPr>
          <w:rFonts w:hint="eastAsia"/>
          <w:color w:val="auto"/>
          <w:highlight w:val="none"/>
        </w:rPr>
        <w:t>授权代表：</w:t>
      </w:r>
      <w:r>
        <w:rPr>
          <w:rFonts w:hint="eastAsia"/>
          <w:color w:val="auto"/>
          <w:highlight w:val="none"/>
          <w:u w:val="single"/>
        </w:rPr>
        <w:t>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p>
    <w:p w14:paraId="3C150AE7">
      <w:pPr>
        <w:pStyle w:val="48"/>
        <w:spacing w:before="0" w:beforeAutospacing="0" w:after="0" w:afterAutospacing="0" w:line="360" w:lineRule="exact"/>
        <w:jc w:val="both"/>
        <w:rPr>
          <w:color w:val="auto"/>
          <w:highlight w:val="none"/>
        </w:rPr>
      </w:pPr>
      <w:r>
        <w:rPr>
          <w:rFonts w:hint="eastAsia"/>
          <w:color w:val="auto"/>
          <w:highlight w:val="none"/>
        </w:rPr>
        <w:t>联系电话：</w:t>
      </w:r>
      <w:r>
        <w:rPr>
          <w:rFonts w:hint="eastAsia"/>
          <w:color w:val="auto"/>
          <w:highlight w:val="none"/>
          <w:u w:val="single"/>
        </w:rPr>
        <w:t>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p>
    <w:p w14:paraId="106667D8">
      <w:pPr>
        <w:pStyle w:val="48"/>
        <w:spacing w:before="0" w:beforeAutospacing="0" w:after="0" w:afterAutospacing="0" w:line="360" w:lineRule="exact"/>
        <w:jc w:val="both"/>
        <w:rPr>
          <w:color w:val="auto"/>
          <w:highlight w:val="none"/>
          <w:u w:val="single"/>
        </w:rPr>
      </w:pPr>
      <w:r>
        <w:rPr>
          <w:rFonts w:hint="eastAsia"/>
          <w:color w:val="auto"/>
          <w:highlight w:val="none"/>
        </w:rPr>
        <w:t>地址： </w:t>
      </w:r>
      <w:r>
        <w:rPr>
          <w:rFonts w:hint="eastAsia"/>
          <w:color w:val="auto"/>
          <w:highlight w:val="none"/>
          <w:u w:val="single"/>
        </w:rPr>
        <w:t>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p>
    <w:p w14:paraId="2DD39A43">
      <w:pPr>
        <w:pStyle w:val="48"/>
        <w:spacing w:before="0" w:beforeAutospacing="0" w:after="0" w:afterAutospacing="0" w:line="360" w:lineRule="exact"/>
        <w:jc w:val="both"/>
        <w:rPr>
          <w:color w:val="auto"/>
          <w:highlight w:val="none"/>
        </w:rPr>
      </w:pPr>
      <w:r>
        <w:rPr>
          <w:rFonts w:hint="eastAsia"/>
          <w:color w:val="auto"/>
          <w:highlight w:val="none"/>
        </w:rPr>
        <w:t>邮编：</w:t>
      </w:r>
      <w:r>
        <w:rPr>
          <w:rFonts w:hint="eastAsia"/>
          <w:color w:val="auto"/>
          <w:highlight w:val="none"/>
          <w:u w:val="single"/>
        </w:rPr>
        <w:t xml:space="preserve">                                </w:t>
      </w:r>
    </w:p>
    <w:p w14:paraId="707FB802">
      <w:pPr>
        <w:pStyle w:val="48"/>
        <w:spacing w:before="0" w:beforeAutospacing="0" w:after="0" w:afterAutospacing="0" w:line="360" w:lineRule="exact"/>
        <w:jc w:val="both"/>
        <w:rPr>
          <w:color w:val="auto"/>
          <w:highlight w:val="none"/>
        </w:rPr>
      </w:pPr>
      <w:r>
        <w:rPr>
          <w:rFonts w:hint="eastAsia"/>
          <w:color w:val="auto"/>
          <w:highlight w:val="none"/>
        </w:rPr>
        <w:t>二、质疑项目基本情况</w:t>
      </w:r>
    </w:p>
    <w:p w14:paraId="7BF25AD2">
      <w:pPr>
        <w:pStyle w:val="48"/>
        <w:spacing w:before="0" w:beforeAutospacing="0" w:after="0" w:afterAutospacing="0" w:line="360" w:lineRule="exact"/>
        <w:jc w:val="both"/>
        <w:rPr>
          <w:color w:val="auto"/>
          <w:highlight w:val="none"/>
        </w:rPr>
      </w:pPr>
      <w:r>
        <w:rPr>
          <w:rFonts w:hint="eastAsia"/>
          <w:color w:val="auto"/>
          <w:highlight w:val="none"/>
        </w:rPr>
        <w:t>质疑项目的名称：</w:t>
      </w:r>
      <w:r>
        <w:rPr>
          <w:rFonts w:hint="eastAsia"/>
          <w:color w:val="auto"/>
          <w:highlight w:val="none"/>
          <w:u w:val="single"/>
        </w:rPr>
        <w:t xml:space="preserve">                            </w:t>
      </w:r>
    </w:p>
    <w:p w14:paraId="3BF0077D">
      <w:pPr>
        <w:pStyle w:val="48"/>
        <w:spacing w:before="0" w:beforeAutospacing="0" w:after="0" w:afterAutospacing="0" w:line="360" w:lineRule="exact"/>
        <w:jc w:val="both"/>
        <w:rPr>
          <w:color w:val="auto"/>
          <w:highlight w:val="none"/>
          <w:u w:val="single"/>
        </w:rPr>
      </w:pPr>
      <w:r>
        <w:rPr>
          <w:rFonts w:hint="eastAsia"/>
          <w:color w:val="auto"/>
          <w:highlight w:val="none"/>
        </w:rPr>
        <w:t>质疑项目的编号：</w:t>
      </w:r>
      <w:r>
        <w:rPr>
          <w:rFonts w:hint="eastAsia"/>
          <w:color w:val="auto"/>
          <w:highlight w:val="none"/>
          <w:u w:val="single"/>
        </w:rPr>
        <w:t xml:space="preserve">                          </w:t>
      </w:r>
    </w:p>
    <w:p w14:paraId="54C81DAA">
      <w:pPr>
        <w:pStyle w:val="48"/>
        <w:spacing w:before="0" w:beforeAutospacing="0" w:after="0" w:afterAutospacing="0" w:line="360" w:lineRule="exact"/>
        <w:jc w:val="both"/>
        <w:rPr>
          <w:color w:val="auto"/>
          <w:highlight w:val="none"/>
        </w:rPr>
      </w:pPr>
      <w:r>
        <w:rPr>
          <w:rFonts w:hint="eastAsia"/>
          <w:color w:val="auto"/>
          <w:highlight w:val="none"/>
        </w:rPr>
        <w:t>包号：</w:t>
      </w:r>
      <w:r>
        <w:rPr>
          <w:rFonts w:hint="eastAsia"/>
          <w:color w:val="auto"/>
          <w:highlight w:val="none"/>
          <w:u w:val="single"/>
        </w:rPr>
        <w:t xml:space="preserve">                       </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p>
    <w:p w14:paraId="048097CD">
      <w:pPr>
        <w:pStyle w:val="48"/>
        <w:spacing w:before="0" w:beforeAutospacing="0" w:after="0" w:afterAutospacing="0" w:line="360" w:lineRule="exact"/>
        <w:jc w:val="both"/>
        <w:rPr>
          <w:color w:val="auto"/>
          <w:highlight w:val="none"/>
        </w:rPr>
      </w:pPr>
      <w:r>
        <w:rPr>
          <w:rFonts w:hint="eastAsia"/>
          <w:color w:val="auto"/>
          <w:highlight w:val="none"/>
        </w:rPr>
        <w:t>采购人名称：</w:t>
      </w:r>
      <w:r>
        <w:rPr>
          <w:rFonts w:hint="eastAsia"/>
          <w:color w:val="auto"/>
          <w:highlight w:val="none"/>
          <w:u w:val="single"/>
        </w:rPr>
        <w:t xml:space="preserve">                            </w:t>
      </w:r>
    </w:p>
    <w:p w14:paraId="21F42FBB">
      <w:pPr>
        <w:pStyle w:val="48"/>
        <w:spacing w:before="0" w:beforeAutospacing="0" w:after="0" w:afterAutospacing="0" w:line="360" w:lineRule="exact"/>
        <w:jc w:val="both"/>
        <w:rPr>
          <w:color w:val="auto"/>
          <w:highlight w:val="none"/>
        </w:rPr>
      </w:pPr>
      <w:r>
        <w:rPr>
          <w:rFonts w:hint="eastAsia"/>
          <w:color w:val="auto"/>
          <w:highlight w:val="none"/>
        </w:rPr>
        <w:t>采购文件获取日期：</w:t>
      </w:r>
      <w:r>
        <w:rPr>
          <w:rFonts w:hint="eastAsia"/>
          <w:color w:val="auto"/>
          <w:highlight w:val="none"/>
          <w:u w:val="single"/>
        </w:rPr>
        <w:t xml:space="preserve">                             </w:t>
      </w:r>
    </w:p>
    <w:p w14:paraId="7D32782B">
      <w:pPr>
        <w:pStyle w:val="48"/>
        <w:spacing w:before="0" w:beforeAutospacing="0" w:after="0" w:afterAutospacing="0" w:line="360" w:lineRule="exact"/>
        <w:jc w:val="both"/>
        <w:rPr>
          <w:color w:val="auto"/>
          <w:highlight w:val="none"/>
        </w:rPr>
      </w:pPr>
      <w:r>
        <w:rPr>
          <w:rFonts w:hint="eastAsia"/>
          <w:color w:val="auto"/>
          <w:highlight w:val="none"/>
        </w:rPr>
        <w:t>三、质疑事项具体内容</w:t>
      </w:r>
    </w:p>
    <w:p w14:paraId="360A79D3">
      <w:pPr>
        <w:pStyle w:val="48"/>
        <w:spacing w:before="0" w:beforeAutospacing="0" w:after="0" w:afterAutospacing="0" w:line="360" w:lineRule="exact"/>
        <w:jc w:val="both"/>
        <w:rPr>
          <w:color w:val="auto"/>
          <w:highlight w:val="none"/>
        </w:rPr>
      </w:pPr>
      <w:r>
        <w:rPr>
          <w:rFonts w:hint="eastAsia"/>
          <w:color w:val="auto"/>
          <w:highlight w:val="none"/>
        </w:rPr>
        <w:t>质疑事项1：</w:t>
      </w:r>
      <w:r>
        <w:rPr>
          <w:rFonts w:hint="eastAsia"/>
          <w:color w:val="auto"/>
          <w:highlight w:val="none"/>
          <w:u w:val="single"/>
        </w:rPr>
        <w:t xml:space="preserve">                             </w:t>
      </w:r>
    </w:p>
    <w:p w14:paraId="7F864571">
      <w:pPr>
        <w:pStyle w:val="48"/>
        <w:spacing w:before="0" w:beforeAutospacing="0" w:after="0" w:afterAutospacing="0" w:line="360" w:lineRule="exact"/>
        <w:rPr>
          <w:color w:val="auto"/>
          <w:highlight w:val="none"/>
        </w:rPr>
      </w:pPr>
      <w:r>
        <w:rPr>
          <w:rFonts w:hint="eastAsia"/>
          <w:color w:val="auto"/>
          <w:highlight w:val="none"/>
        </w:rPr>
        <w:t>事实依据：</w:t>
      </w:r>
      <w:r>
        <w:rPr>
          <w:rFonts w:hint="eastAsia"/>
          <w:color w:val="auto"/>
          <w:highlight w:val="none"/>
          <w:u w:val="single"/>
        </w:rPr>
        <w:t xml:space="preserve">                                                   </w:t>
      </w:r>
    </w:p>
    <w:p w14:paraId="77D1B7A9">
      <w:pPr>
        <w:pStyle w:val="48"/>
        <w:spacing w:before="0" w:beforeAutospacing="0" w:after="0" w:afterAutospacing="0" w:line="360" w:lineRule="exact"/>
        <w:jc w:val="both"/>
        <w:rPr>
          <w:color w:val="auto"/>
          <w:highlight w:val="none"/>
        </w:rPr>
      </w:pPr>
      <w:r>
        <w:rPr>
          <w:rFonts w:hint="eastAsia"/>
          <w:color w:val="auto"/>
          <w:highlight w:val="none"/>
        </w:rPr>
        <w:t>法律依据：</w:t>
      </w:r>
      <w:r>
        <w:rPr>
          <w:rFonts w:hint="eastAsia"/>
          <w:color w:val="auto"/>
          <w:highlight w:val="none"/>
          <w:u w:val="single"/>
        </w:rPr>
        <w:t xml:space="preserve">                                                    </w:t>
      </w:r>
    </w:p>
    <w:p w14:paraId="0F982219">
      <w:pPr>
        <w:pStyle w:val="48"/>
        <w:spacing w:before="0" w:beforeAutospacing="0" w:after="0" w:afterAutospacing="0" w:line="360" w:lineRule="exact"/>
        <w:jc w:val="both"/>
        <w:rPr>
          <w:color w:val="auto"/>
          <w:highlight w:val="none"/>
        </w:rPr>
      </w:pPr>
      <w:r>
        <w:rPr>
          <w:rFonts w:hint="eastAsia"/>
          <w:color w:val="auto"/>
          <w:highlight w:val="none"/>
        </w:rPr>
        <w:t>质疑事项2</w:t>
      </w:r>
    </w:p>
    <w:p w14:paraId="4B1E0598">
      <w:pPr>
        <w:pStyle w:val="48"/>
        <w:spacing w:before="0" w:beforeAutospacing="0" w:after="0" w:afterAutospacing="0" w:line="360" w:lineRule="exact"/>
        <w:jc w:val="both"/>
        <w:rPr>
          <w:color w:val="auto"/>
          <w:highlight w:val="none"/>
        </w:rPr>
      </w:pPr>
      <w:r>
        <w:rPr>
          <w:rFonts w:hint="eastAsia"/>
          <w:color w:val="auto"/>
          <w:highlight w:val="none"/>
        </w:rPr>
        <w:t>……</w:t>
      </w:r>
    </w:p>
    <w:p w14:paraId="25F71FD1">
      <w:pPr>
        <w:pStyle w:val="48"/>
        <w:spacing w:before="0" w:beforeAutospacing="0" w:after="0" w:afterAutospacing="0" w:line="360" w:lineRule="exact"/>
        <w:jc w:val="both"/>
        <w:rPr>
          <w:color w:val="auto"/>
          <w:highlight w:val="none"/>
        </w:rPr>
      </w:pPr>
      <w:r>
        <w:rPr>
          <w:rFonts w:hint="eastAsia"/>
          <w:color w:val="auto"/>
          <w:highlight w:val="none"/>
        </w:rPr>
        <w:t>四、与质疑事项相关的质疑请求</w:t>
      </w:r>
    </w:p>
    <w:p w14:paraId="6E462157">
      <w:pPr>
        <w:pStyle w:val="48"/>
        <w:spacing w:before="0" w:beforeAutospacing="0" w:after="0" w:afterAutospacing="0" w:line="360" w:lineRule="exact"/>
        <w:jc w:val="both"/>
        <w:rPr>
          <w:color w:val="auto"/>
          <w:highlight w:val="none"/>
        </w:rPr>
      </w:pPr>
      <w:r>
        <w:rPr>
          <w:rFonts w:hint="eastAsia"/>
          <w:color w:val="auto"/>
          <w:highlight w:val="none"/>
        </w:rPr>
        <w:t>请求：</w:t>
      </w:r>
      <w:r>
        <w:rPr>
          <w:rFonts w:hint="eastAsia"/>
          <w:color w:val="auto"/>
          <w:highlight w:val="none"/>
          <w:u w:val="single"/>
        </w:rPr>
        <w:t xml:space="preserve">                                                          </w:t>
      </w:r>
    </w:p>
    <w:p w14:paraId="6F36A8F6">
      <w:pPr>
        <w:pStyle w:val="48"/>
        <w:spacing w:before="0" w:beforeAutospacing="0" w:after="0" w:afterAutospacing="0" w:line="360" w:lineRule="exact"/>
        <w:jc w:val="both"/>
        <w:rPr>
          <w:color w:val="auto"/>
          <w:highlight w:val="none"/>
        </w:rPr>
      </w:pPr>
      <w:r>
        <w:rPr>
          <w:rFonts w:hint="eastAsia"/>
          <w:color w:val="auto"/>
          <w:highlight w:val="none"/>
        </w:rPr>
        <w:t xml:space="preserve">签字(签章)：                 公章：               日期：    </w:t>
      </w:r>
    </w:p>
    <w:p w14:paraId="6DFEF053">
      <w:pPr>
        <w:pStyle w:val="48"/>
        <w:spacing w:before="0" w:beforeAutospacing="0" w:after="0" w:afterAutospacing="0" w:line="360" w:lineRule="exact"/>
        <w:jc w:val="both"/>
        <w:rPr>
          <w:color w:val="auto"/>
          <w:highlight w:val="none"/>
        </w:rPr>
      </w:pPr>
      <w:r>
        <w:rPr>
          <w:rFonts w:hint="eastAsia"/>
          <w:b/>
          <w:color w:val="auto"/>
          <w:highlight w:val="none"/>
        </w:rPr>
        <w:t>质疑函制作说明：</w:t>
      </w:r>
    </w:p>
    <w:p w14:paraId="14AD00A0">
      <w:pPr>
        <w:pStyle w:val="48"/>
        <w:spacing w:before="0" w:beforeAutospacing="0" w:after="0" w:afterAutospacing="0" w:line="360" w:lineRule="exact"/>
        <w:rPr>
          <w:color w:val="auto"/>
          <w:highlight w:val="none"/>
        </w:rPr>
      </w:pPr>
      <w:r>
        <w:rPr>
          <w:rFonts w:hint="eastAsia"/>
          <w:color w:val="auto"/>
          <w:highlight w:val="none"/>
        </w:rPr>
        <w:t>1.供应商提出质疑时，应提交质疑函和必要的证明材料。</w:t>
      </w:r>
    </w:p>
    <w:p w14:paraId="0CA3F013">
      <w:pPr>
        <w:pStyle w:val="48"/>
        <w:spacing w:before="0" w:beforeAutospacing="0" w:after="0" w:afterAutospacing="0" w:line="360" w:lineRule="exact"/>
        <w:rPr>
          <w:color w:val="auto"/>
          <w:highlight w:val="none"/>
        </w:rPr>
      </w:pPr>
      <w:r>
        <w:rPr>
          <w:rFonts w:hint="eastAsia"/>
          <w:color w:val="auto"/>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12F89E">
      <w:pPr>
        <w:pStyle w:val="48"/>
        <w:spacing w:before="0" w:beforeAutospacing="0" w:after="0" w:afterAutospacing="0" w:line="360" w:lineRule="exact"/>
        <w:rPr>
          <w:color w:val="auto"/>
          <w:highlight w:val="none"/>
        </w:rPr>
      </w:pPr>
      <w:r>
        <w:rPr>
          <w:rFonts w:hint="eastAsia"/>
          <w:color w:val="auto"/>
          <w:highlight w:val="none"/>
        </w:rPr>
        <w:t>3.质疑供应商若对项目的某一分包进行质疑，质疑函中应列明具体分包号。</w:t>
      </w:r>
    </w:p>
    <w:p w14:paraId="6E589DCB">
      <w:pPr>
        <w:pStyle w:val="48"/>
        <w:spacing w:before="0" w:beforeAutospacing="0" w:after="0" w:afterAutospacing="0" w:line="360" w:lineRule="exact"/>
        <w:rPr>
          <w:color w:val="auto"/>
          <w:highlight w:val="none"/>
        </w:rPr>
      </w:pPr>
      <w:r>
        <w:rPr>
          <w:rFonts w:hint="eastAsia"/>
          <w:color w:val="auto"/>
          <w:highlight w:val="none"/>
        </w:rPr>
        <w:t>4.质疑函的质疑事项应具体、明确，并有必要的事实依据和法律依据。</w:t>
      </w:r>
    </w:p>
    <w:p w14:paraId="03AA88C0">
      <w:pPr>
        <w:pStyle w:val="48"/>
        <w:spacing w:before="0" w:beforeAutospacing="0" w:after="0" w:afterAutospacing="0" w:line="360" w:lineRule="exact"/>
        <w:rPr>
          <w:color w:val="auto"/>
          <w:highlight w:val="none"/>
        </w:rPr>
      </w:pPr>
      <w:r>
        <w:rPr>
          <w:rFonts w:hint="eastAsia"/>
          <w:color w:val="auto"/>
          <w:highlight w:val="none"/>
        </w:rPr>
        <w:t>5.质疑函的质疑请求应与质疑事项相关。</w:t>
      </w:r>
    </w:p>
    <w:p w14:paraId="14467D6C">
      <w:pPr>
        <w:spacing w:line="360" w:lineRule="exact"/>
        <w:rPr>
          <w:rFonts w:ascii="宋体" w:hAnsi="宋体" w:cs="宋体"/>
          <w:b/>
          <w:color w:val="auto"/>
          <w:sz w:val="24"/>
          <w:highlight w:val="none"/>
          <w:u w:val="singl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918DCBE">
      <w:pPr>
        <w:jc w:val="left"/>
        <w:rPr>
          <w:rFonts w:ascii="宋体" w:hAnsi="宋体" w:cs="宋体"/>
          <w:color w:val="auto"/>
          <w:highlight w:val="none"/>
        </w:rPr>
      </w:pPr>
    </w:p>
    <w:sectPr>
      <w:pgSz w:w="11906" w:h="16838"/>
      <w:pgMar w:top="1440" w:right="1080" w:bottom="1440" w:left="1080"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auto"/>
    <w:pitch w:val="default"/>
    <w:sig w:usb0="00000000" w:usb1="00000000" w:usb2="00000000" w:usb3="00000000" w:csb0="00000000" w:csb1="00000000"/>
  </w:font>
  <w:font w:name="Impact">
    <w:panose1 w:val="020B080603090205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5D756">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1EFD75">
                          <w:pPr>
                            <w:pStyle w:val="3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91EFD75">
                    <w:pPr>
                      <w:pStyle w:val="3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40F4E">
    <w:pPr>
      <w:pStyle w:val="3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34E76A">
                          <w:pPr>
                            <w:pStyle w:val="34"/>
                            <w:jc w:val="center"/>
                          </w:pPr>
                          <w:r>
                            <w:fldChar w:fldCharType="begin"/>
                          </w:r>
                          <w:r>
                            <w:instrText xml:space="preserve">PAGE   \* MERGEFORMAT</w:instrText>
                          </w:r>
                          <w:r>
                            <w:fldChar w:fldCharType="separate"/>
                          </w:r>
                          <w:r>
                            <w:rPr>
                              <w:lang w:val="zh-CN"/>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D34E76A">
                    <w:pPr>
                      <w:pStyle w:val="34"/>
                      <w:jc w:val="center"/>
                    </w:pPr>
                    <w:r>
                      <w:fldChar w:fldCharType="begin"/>
                    </w:r>
                    <w:r>
                      <w:instrText xml:space="preserve">PAGE   \* MERGEFORMAT</w:instrText>
                    </w:r>
                    <w:r>
                      <w:fldChar w:fldCharType="separate"/>
                    </w:r>
                    <w:r>
                      <w:rPr>
                        <w:lang w:val="zh-CN"/>
                      </w:rP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B6C4">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8"/>
      <w:numFmt w:val="decimal"/>
      <w:pStyle w:val="22"/>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decimal"/>
      <w:pStyle w:val="1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3B1794"/>
    <w:multiLevelType w:val="singleLevel"/>
    <w:tmpl w:val="4D3B1794"/>
    <w:lvl w:ilvl="0" w:tentative="0">
      <w:start w:val="3"/>
      <w:numFmt w:val="decimal"/>
      <w:suff w:val="nothing"/>
      <w:lvlText w:val="%1、"/>
      <w:lvlJc w:val="left"/>
    </w:lvl>
  </w:abstractNum>
  <w:abstractNum w:abstractNumId="3">
    <w:nsid w:val="4D5BFDDD"/>
    <w:multiLevelType w:val="singleLevel"/>
    <w:tmpl w:val="4D5BFDDD"/>
    <w:lvl w:ilvl="0" w:tentative="0">
      <w:start w:val="4"/>
      <w:numFmt w:val="decimal"/>
      <w:suff w:val="nothing"/>
      <w:lvlText w:val="%1、"/>
      <w:lvlJc w:val="left"/>
    </w:lvl>
  </w:abstractNum>
  <w:abstractNum w:abstractNumId="4">
    <w:nsid w:val="620C4DC4"/>
    <w:multiLevelType w:val="singleLevel"/>
    <w:tmpl w:val="620C4DC4"/>
    <w:lvl w:ilvl="0" w:tentative="0">
      <w:start w:val="13"/>
      <w:numFmt w:val="chineseCounting"/>
      <w:suff w:val="nothing"/>
      <w:lvlText w:val="%1、"/>
      <w:lvlJc w:val="left"/>
      <w:rPr>
        <w:rFonts w:hint="eastAsia"/>
      </w:rPr>
    </w:lvl>
  </w:abstractNum>
  <w:abstractNum w:abstractNumId="5">
    <w:nsid w:val="7BEFD0E4"/>
    <w:multiLevelType w:val="singleLevel"/>
    <w:tmpl w:val="7BEFD0E4"/>
    <w:lvl w:ilvl="0" w:tentative="0">
      <w:start w:val="3"/>
      <w:numFmt w:val="decimal"/>
      <w:suff w:val="nothing"/>
      <w:lvlText w:val="%1、"/>
      <w:lvlJc w:val="left"/>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YjliYjk4NDQyNzM4MDM3M2M3NjVhMjRmZmVlZjgifQ=="/>
  </w:docVars>
  <w:rsids>
    <w:rsidRoot w:val="00FB49B1"/>
    <w:rsid w:val="00010EEC"/>
    <w:rsid w:val="00033423"/>
    <w:rsid w:val="00051619"/>
    <w:rsid w:val="00052BA9"/>
    <w:rsid w:val="000670DE"/>
    <w:rsid w:val="00082996"/>
    <w:rsid w:val="00097718"/>
    <w:rsid w:val="000A4ED8"/>
    <w:rsid w:val="000A6DDC"/>
    <w:rsid w:val="000C21D1"/>
    <w:rsid w:val="000E18B2"/>
    <w:rsid w:val="000E4D3E"/>
    <w:rsid w:val="00103F4C"/>
    <w:rsid w:val="0012039D"/>
    <w:rsid w:val="001264A6"/>
    <w:rsid w:val="00126688"/>
    <w:rsid w:val="00132A1E"/>
    <w:rsid w:val="00133E25"/>
    <w:rsid w:val="00174B86"/>
    <w:rsid w:val="001A69C0"/>
    <w:rsid w:val="001B4AA1"/>
    <w:rsid w:val="001B7F19"/>
    <w:rsid w:val="001F2D8C"/>
    <w:rsid w:val="002258FA"/>
    <w:rsid w:val="002400EF"/>
    <w:rsid w:val="0024676A"/>
    <w:rsid w:val="00250EE6"/>
    <w:rsid w:val="002870E5"/>
    <w:rsid w:val="002D1B46"/>
    <w:rsid w:val="002D20B1"/>
    <w:rsid w:val="002E373A"/>
    <w:rsid w:val="002F06DE"/>
    <w:rsid w:val="002F4953"/>
    <w:rsid w:val="00306BA2"/>
    <w:rsid w:val="00310A85"/>
    <w:rsid w:val="0033292E"/>
    <w:rsid w:val="00343B9D"/>
    <w:rsid w:val="0035509F"/>
    <w:rsid w:val="003577A2"/>
    <w:rsid w:val="00363FE7"/>
    <w:rsid w:val="00374AE8"/>
    <w:rsid w:val="0038610D"/>
    <w:rsid w:val="003861AD"/>
    <w:rsid w:val="0039100C"/>
    <w:rsid w:val="00393456"/>
    <w:rsid w:val="00393580"/>
    <w:rsid w:val="003B14EF"/>
    <w:rsid w:val="003C130C"/>
    <w:rsid w:val="003C20BE"/>
    <w:rsid w:val="003C56D2"/>
    <w:rsid w:val="003C6F7D"/>
    <w:rsid w:val="00420B5E"/>
    <w:rsid w:val="004551B1"/>
    <w:rsid w:val="004637BC"/>
    <w:rsid w:val="004B44EB"/>
    <w:rsid w:val="004C3993"/>
    <w:rsid w:val="004D62BE"/>
    <w:rsid w:val="004D6651"/>
    <w:rsid w:val="004E55AC"/>
    <w:rsid w:val="00504077"/>
    <w:rsid w:val="005051E9"/>
    <w:rsid w:val="00515763"/>
    <w:rsid w:val="00531518"/>
    <w:rsid w:val="00595393"/>
    <w:rsid w:val="005B1110"/>
    <w:rsid w:val="005C6ACF"/>
    <w:rsid w:val="005D0B4F"/>
    <w:rsid w:val="005D51E8"/>
    <w:rsid w:val="005D71C2"/>
    <w:rsid w:val="005F1572"/>
    <w:rsid w:val="00635F1A"/>
    <w:rsid w:val="00687C61"/>
    <w:rsid w:val="006937CE"/>
    <w:rsid w:val="00697778"/>
    <w:rsid w:val="006B03BD"/>
    <w:rsid w:val="006C1182"/>
    <w:rsid w:val="006C5312"/>
    <w:rsid w:val="006D4706"/>
    <w:rsid w:val="006D4E2F"/>
    <w:rsid w:val="006F26CA"/>
    <w:rsid w:val="007003A4"/>
    <w:rsid w:val="0070210C"/>
    <w:rsid w:val="00726168"/>
    <w:rsid w:val="00732C3E"/>
    <w:rsid w:val="00745322"/>
    <w:rsid w:val="00761331"/>
    <w:rsid w:val="0077693D"/>
    <w:rsid w:val="007A34B8"/>
    <w:rsid w:val="007C37F9"/>
    <w:rsid w:val="007D33EA"/>
    <w:rsid w:val="007E40DA"/>
    <w:rsid w:val="00803CCD"/>
    <w:rsid w:val="0080543B"/>
    <w:rsid w:val="0082640F"/>
    <w:rsid w:val="008542C3"/>
    <w:rsid w:val="00861D6F"/>
    <w:rsid w:val="008A76A7"/>
    <w:rsid w:val="008A7C50"/>
    <w:rsid w:val="008B3AD3"/>
    <w:rsid w:val="008B511E"/>
    <w:rsid w:val="008B656A"/>
    <w:rsid w:val="008C6170"/>
    <w:rsid w:val="008D46F4"/>
    <w:rsid w:val="008D6AAA"/>
    <w:rsid w:val="008E1773"/>
    <w:rsid w:val="008F30CB"/>
    <w:rsid w:val="00910C53"/>
    <w:rsid w:val="00922E32"/>
    <w:rsid w:val="00925652"/>
    <w:rsid w:val="00931CF9"/>
    <w:rsid w:val="0094233D"/>
    <w:rsid w:val="009439A5"/>
    <w:rsid w:val="00943C1D"/>
    <w:rsid w:val="0094628B"/>
    <w:rsid w:val="00982069"/>
    <w:rsid w:val="0099350A"/>
    <w:rsid w:val="0099439B"/>
    <w:rsid w:val="009C1718"/>
    <w:rsid w:val="009E7688"/>
    <w:rsid w:val="00A10EEA"/>
    <w:rsid w:val="00A33F29"/>
    <w:rsid w:val="00A56594"/>
    <w:rsid w:val="00A627CD"/>
    <w:rsid w:val="00A665D5"/>
    <w:rsid w:val="00A76F30"/>
    <w:rsid w:val="00A83FD4"/>
    <w:rsid w:val="00A90ACD"/>
    <w:rsid w:val="00AA4151"/>
    <w:rsid w:val="00AD7638"/>
    <w:rsid w:val="00AF20EE"/>
    <w:rsid w:val="00B072E9"/>
    <w:rsid w:val="00B2321A"/>
    <w:rsid w:val="00B24254"/>
    <w:rsid w:val="00B3011B"/>
    <w:rsid w:val="00B36F28"/>
    <w:rsid w:val="00B44CAB"/>
    <w:rsid w:val="00B468C9"/>
    <w:rsid w:val="00B50D74"/>
    <w:rsid w:val="00B53E94"/>
    <w:rsid w:val="00B5777B"/>
    <w:rsid w:val="00B627EB"/>
    <w:rsid w:val="00B64D7A"/>
    <w:rsid w:val="00B706F5"/>
    <w:rsid w:val="00B74350"/>
    <w:rsid w:val="00B7717D"/>
    <w:rsid w:val="00B86A14"/>
    <w:rsid w:val="00BA3679"/>
    <w:rsid w:val="00BB3B2E"/>
    <w:rsid w:val="00BB4DDD"/>
    <w:rsid w:val="00BB511E"/>
    <w:rsid w:val="00BE0211"/>
    <w:rsid w:val="00BF00A4"/>
    <w:rsid w:val="00BF4BD1"/>
    <w:rsid w:val="00BF4D8C"/>
    <w:rsid w:val="00C01BD0"/>
    <w:rsid w:val="00C070F5"/>
    <w:rsid w:val="00C0751F"/>
    <w:rsid w:val="00C71345"/>
    <w:rsid w:val="00C72904"/>
    <w:rsid w:val="00C87A68"/>
    <w:rsid w:val="00C9495B"/>
    <w:rsid w:val="00CC7B31"/>
    <w:rsid w:val="00CD47C2"/>
    <w:rsid w:val="00CD757A"/>
    <w:rsid w:val="00D1288A"/>
    <w:rsid w:val="00D31CEC"/>
    <w:rsid w:val="00D3263F"/>
    <w:rsid w:val="00D506D2"/>
    <w:rsid w:val="00D6476E"/>
    <w:rsid w:val="00D70748"/>
    <w:rsid w:val="00D87C4A"/>
    <w:rsid w:val="00D913E1"/>
    <w:rsid w:val="00DC726E"/>
    <w:rsid w:val="00DD25D0"/>
    <w:rsid w:val="00DD4692"/>
    <w:rsid w:val="00E160A3"/>
    <w:rsid w:val="00E243F7"/>
    <w:rsid w:val="00E339A9"/>
    <w:rsid w:val="00E46407"/>
    <w:rsid w:val="00E725CC"/>
    <w:rsid w:val="00E83FDF"/>
    <w:rsid w:val="00E90912"/>
    <w:rsid w:val="00E9494A"/>
    <w:rsid w:val="00EA08F5"/>
    <w:rsid w:val="00EC742A"/>
    <w:rsid w:val="00EF7780"/>
    <w:rsid w:val="00F15533"/>
    <w:rsid w:val="00F2377E"/>
    <w:rsid w:val="00F47C24"/>
    <w:rsid w:val="00F54E07"/>
    <w:rsid w:val="00F61B14"/>
    <w:rsid w:val="00FB49B1"/>
    <w:rsid w:val="00FF6B53"/>
    <w:rsid w:val="01DD00AE"/>
    <w:rsid w:val="022E26FA"/>
    <w:rsid w:val="023A64A7"/>
    <w:rsid w:val="024072C3"/>
    <w:rsid w:val="02F831F6"/>
    <w:rsid w:val="0526590B"/>
    <w:rsid w:val="05393890"/>
    <w:rsid w:val="057A40BA"/>
    <w:rsid w:val="06197506"/>
    <w:rsid w:val="06CF61FF"/>
    <w:rsid w:val="07027CB2"/>
    <w:rsid w:val="08236805"/>
    <w:rsid w:val="08646E76"/>
    <w:rsid w:val="08A54D99"/>
    <w:rsid w:val="09760CC5"/>
    <w:rsid w:val="099870F7"/>
    <w:rsid w:val="0A0C0D71"/>
    <w:rsid w:val="0CC42D65"/>
    <w:rsid w:val="0D6A6699"/>
    <w:rsid w:val="0D903454"/>
    <w:rsid w:val="0DDF23EB"/>
    <w:rsid w:val="0EC717DE"/>
    <w:rsid w:val="0ED40CCB"/>
    <w:rsid w:val="0EEE649D"/>
    <w:rsid w:val="0F0547E3"/>
    <w:rsid w:val="0F8035BA"/>
    <w:rsid w:val="0FF556F2"/>
    <w:rsid w:val="0FFC7697"/>
    <w:rsid w:val="105D3C84"/>
    <w:rsid w:val="10822FC8"/>
    <w:rsid w:val="10B7353F"/>
    <w:rsid w:val="10FC63D4"/>
    <w:rsid w:val="128F2D41"/>
    <w:rsid w:val="13A50CA7"/>
    <w:rsid w:val="142812C3"/>
    <w:rsid w:val="14F94915"/>
    <w:rsid w:val="15D52E9F"/>
    <w:rsid w:val="15FD7FC2"/>
    <w:rsid w:val="16EB2510"/>
    <w:rsid w:val="1772678E"/>
    <w:rsid w:val="179D1A5D"/>
    <w:rsid w:val="179F7397"/>
    <w:rsid w:val="18876269"/>
    <w:rsid w:val="188D4D8D"/>
    <w:rsid w:val="193059E0"/>
    <w:rsid w:val="199A1F72"/>
    <w:rsid w:val="19F11A6C"/>
    <w:rsid w:val="1A40044C"/>
    <w:rsid w:val="1A5614DE"/>
    <w:rsid w:val="1A7953D3"/>
    <w:rsid w:val="1BFC2ACA"/>
    <w:rsid w:val="1C7301C8"/>
    <w:rsid w:val="1CA21478"/>
    <w:rsid w:val="1CD14272"/>
    <w:rsid w:val="1DA55279"/>
    <w:rsid w:val="1DB52EF6"/>
    <w:rsid w:val="1DC046F7"/>
    <w:rsid w:val="1E377655"/>
    <w:rsid w:val="1E5B441F"/>
    <w:rsid w:val="1FB01F58"/>
    <w:rsid w:val="1FB63935"/>
    <w:rsid w:val="201224C4"/>
    <w:rsid w:val="20397CD9"/>
    <w:rsid w:val="20436529"/>
    <w:rsid w:val="20BA16B0"/>
    <w:rsid w:val="215E1E44"/>
    <w:rsid w:val="21977F56"/>
    <w:rsid w:val="226B334C"/>
    <w:rsid w:val="2274785E"/>
    <w:rsid w:val="228D26CE"/>
    <w:rsid w:val="2297354C"/>
    <w:rsid w:val="2331727F"/>
    <w:rsid w:val="234C4337"/>
    <w:rsid w:val="23751ADF"/>
    <w:rsid w:val="23D47C42"/>
    <w:rsid w:val="24003A9F"/>
    <w:rsid w:val="2404561C"/>
    <w:rsid w:val="24575493"/>
    <w:rsid w:val="248B078C"/>
    <w:rsid w:val="25127598"/>
    <w:rsid w:val="25891872"/>
    <w:rsid w:val="264D3FBE"/>
    <w:rsid w:val="2685203A"/>
    <w:rsid w:val="27020185"/>
    <w:rsid w:val="277D730D"/>
    <w:rsid w:val="28130B29"/>
    <w:rsid w:val="28E05C4D"/>
    <w:rsid w:val="292702D5"/>
    <w:rsid w:val="29925689"/>
    <w:rsid w:val="29AA2B5C"/>
    <w:rsid w:val="2A16443A"/>
    <w:rsid w:val="2A1B5CDA"/>
    <w:rsid w:val="2A852D24"/>
    <w:rsid w:val="2B657D11"/>
    <w:rsid w:val="2BB46F1D"/>
    <w:rsid w:val="2BB86A0D"/>
    <w:rsid w:val="2C107A99"/>
    <w:rsid w:val="2C6646BB"/>
    <w:rsid w:val="2C7E4E3A"/>
    <w:rsid w:val="2C857BC9"/>
    <w:rsid w:val="2C9E77F5"/>
    <w:rsid w:val="2D157E8F"/>
    <w:rsid w:val="2D65326F"/>
    <w:rsid w:val="2E377011"/>
    <w:rsid w:val="2E9C7472"/>
    <w:rsid w:val="2F386B9C"/>
    <w:rsid w:val="2F3A16A1"/>
    <w:rsid w:val="31374C42"/>
    <w:rsid w:val="32C20171"/>
    <w:rsid w:val="3361798A"/>
    <w:rsid w:val="33AF1889"/>
    <w:rsid w:val="3435610F"/>
    <w:rsid w:val="348D04BB"/>
    <w:rsid w:val="34E82911"/>
    <w:rsid w:val="36700D8F"/>
    <w:rsid w:val="36B52551"/>
    <w:rsid w:val="36FF1994"/>
    <w:rsid w:val="375A306E"/>
    <w:rsid w:val="39CF311A"/>
    <w:rsid w:val="3A38766F"/>
    <w:rsid w:val="3C145EE2"/>
    <w:rsid w:val="3C166AA5"/>
    <w:rsid w:val="3C6C6C72"/>
    <w:rsid w:val="3E6F5651"/>
    <w:rsid w:val="3EAF0A04"/>
    <w:rsid w:val="3EDA47B0"/>
    <w:rsid w:val="3F1C18A5"/>
    <w:rsid w:val="3F7171A7"/>
    <w:rsid w:val="3FE41F83"/>
    <w:rsid w:val="409F5F96"/>
    <w:rsid w:val="40A04213"/>
    <w:rsid w:val="40D55396"/>
    <w:rsid w:val="41214BFD"/>
    <w:rsid w:val="41A3472B"/>
    <w:rsid w:val="41A73354"/>
    <w:rsid w:val="424874F7"/>
    <w:rsid w:val="42F81D2E"/>
    <w:rsid w:val="43E821A5"/>
    <w:rsid w:val="4456019A"/>
    <w:rsid w:val="44661919"/>
    <w:rsid w:val="446E2CF6"/>
    <w:rsid w:val="4488246F"/>
    <w:rsid w:val="449D2027"/>
    <w:rsid w:val="44DA759D"/>
    <w:rsid w:val="45543496"/>
    <w:rsid w:val="45F4468E"/>
    <w:rsid w:val="45F7016E"/>
    <w:rsid w:val="46C54618"/>
    <w:rsid w:val="472E6966"/>
    <w:rsid w:val="48382F58"/>
    <w:rsid w:val="495E04BD"/>
    <w:rsid w:val="4A5057A2"/>
    <w:rsid w:val="4A8C1339"/>
    <w:rsid w:val="4AE75926"/>
    <w:rsid w:val="4BEA0FB4"/>
    <w:rsid w:val="4D910B7E"/>
    <w:rsid w:val="4E345F70"/>
    <w:rsid w:val="4F2A7373"/>
    <w:rsid w:val="4F804D82"/>
    <w:rsid w:val="504D156B"/>
    <w:rsid w:val="50EA73C4"/>
    <w:rsid w:val="549E725B"/>
    <w:rsid w:val="54BE47E5"/>
    <w:rsid w:val="54CD2C7A"/>
    <w:rsid w:val="561346BC"/>
    <w:rsid w:val="57361164"/>
    <w:rsid w:val="576109DB"/>
    <w:rsid w:val="57A005D2"/>
    <w:rsid w:val="57D4431F"/>
    <w:rsid w:val="57EB0FE4"/>
    <w:rsid w:val="5853793A"/>
    <w:rsid w:val="59C444D4"/>
    <w:rsid w:val="5C6E7256"/>
    <w:rsid w:val="5C803F9C"/>
    <w:rsid w:val="5CE00A2D"/>
    <w:rsid w:val="5D8C6F8E"/>
    <w:rsid w:val="5E525F9E"/>
    <w:rsid w:val="5EC46E9C"/>
    <w:rsid w:val="5F49114F"/>
    <w:rsid w:val="5F491D86"/>
    <w:rsid w:val="5F4973A1"/>
    <w:rsid w:val="5FFA597B"/>
    <w:rsid w:val="61144413"/>
    <w:rsid w:val="618F19E3"/>
    <w:rsid w:val="61F31400"/>
    <w:rsid w:val="62331CDF"/>
    <w:rsid w:val="63755EBC"/>
    <w:rsid w:val="64F057B0"/>
    <w:rsid w:val="655820EC"/>
    <w:rsid w:val="667473F9"/>
    <w:rsid w:val="66F525EC"/>
    <w:rsid w:val="67A71109"/>
    <w:rsid w:val="67C52404"/>
    <w:rsid w:val="691B0859"/>
    <w:rsid w:val="6954235C"/>
    <w:rsid w:val="69A027AA"/>
    <w:rsid w:val="69D1246D"/>
    <w:rsid w:val="69D1788B"/>
    <w:rsid w:val="6A0831FA"/>
    <w:rsid w:val="6A86594D"/>
    <w:rsid w:val="6AB853DB"/>
    <w:rsid w:val="6AD14E1A"/>
    <w:rsid w:val="6C00509B"/>
    <w:rsid w:val="6C500A40"/>
    <w:rsid w:val="6C56076F"/>
    <w:rsid w:val="6DA106DD"/>
    <w:rsid w:val="6E4E5887"/>
    <w:rsid w:val="6EB802B4"/>
    <w:rsid w:val="6ED82852"/>
    <w:rsid w:val="6EEB1C9F"/>
    <w:rsid w:val="6F4B1F86"/>
    <w:rsid w:val="6F5806A0"/>
    <w:rsid w:val="6FD361F7"/>
    <w:rsid w:val="70E64738"/>
    <w:rsid w:val="71A36EE5"/>
    <w:rsid w:val="71CF1988"/>
    <w:rsid w:val="72565C05"/>
    <w:rsid w:val="72C214EC"/>
    <w:rsid w:val="72D92D0A"/>
    <w:rsid w:val="72EE5E3E"/>
    <w:rsid w:val="73353D01"/>
    <w:rsid w:val="733E001B"/>
    <w:rsid w:val="74001A49"/>
    <w:rsid w:val="743D52CE"/>
    <w:rsid w:val="75EB3220"/>
    <w:rsid w:val="76FB2A92"/>
    <w:rsid w:val="77132C23"/>
    <w:rsid w:val="7717677C"/>
    <w:rsid w:val="77895908"/>
    <w:rsid w:val="781D6F3B"/>
    <w:rsid w:val="797F1DE4"/>
    <w:rsid w:val="7AEE3247"/>
    <w:rsid w:val="7B7D2454"/>
    <w:rsid w:val="7CAF2EE6"/>
    <w:rsid w:val="7EB663A9"/>
    <w:rsid w:val="7F153146"/>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210"/>
    <w:qFormat/>
    <w:uiPriority w:val="0"/>
    <w:pPr>
      <w:keepNext/>
      <w:keepLines/>
      <w:spacing w:before="340" w:after="330" w:line="576" w:lineRule="auto"/>
      <w:jc w:val="center"/>
      <w:outlineLvl w:val="0"/>
    </w:pPr>
    <w:rPr>
      <w:b/>
      <w:bCs/>
      <w:sz w:val="44"/>
      <w:szCs w:val="44"/>
    </w:rPr>
  </w:style>
  <w:style w:type="paragraph" w:styleId="4">
    <w:name w:val="heading 2"/>
    <w:basedOn w:val="1"/>
    <w:next w:val="1"/>
    <w:link w:val="211"/>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12"/>
    <w:qFormat/>
    <w:uiPriority w:val="99"/>
    <w:pPr>
      <w:keepNext/>
      <w:keepLines/>
      <w:spacing w:before="20" w:after="20" w:line="415" w:lineRule="auto"/>
      <w:ind w:firstLine="137"/>
      <w:outlineLvl w:val="2"/>
    </w:pPr>
    <w:rPr>
      <w:rFonts w:hAnsi="黑体" w:eastAsia="黑体"/>
      <w:sz w:val="24"/>
      <w:szCs w:val="20"/>
    </w:rPr>
  </w:style>
  <w:style w:type="paragraph" w:styleId="6">
    <w:name w:val="heading 4"/>
    <w:basedOn w:val="1"/>
    <w:next w:val="1"/>
    <w:link w:val="213"/>
    <w:qFormat/>
    <w:uiPriority w:val="99"/>
    <w:pPr>
      <w:keepNext/>
      <w:keepLines/>
      <w:spacing w:before="280" w:after="290" w:line="374" w:lineRule="auto"/>
      <w:outlineLvl w:val="3"/>
    </w:pPr>
    <w:rPr>
      <w:rFonts w:hint="eastAsia" w:ascii="Cambria" w:hAnsi="Cambria"/>
      <w:b/>
      <w:sz w:val="28"/>
      <w:szCs w:val="20"/>
    </w:rPr>
  </w:style>
  <w:style w:type="paragraph" w:styleId="7">
    <w:name w:val="heading 5"/>
    <w:basedOn w:val="1"/>
    <w:next w:val="1"/>
    <w:link w:val="214"/>
    <w:qFormat/>
    <w:uiPriority w:val="0"/>
    <w:pPr>
      <w:keepNext/>
      <w:keepLines/>
      <w:spacing w:before="280" w:after="290" w:line="376" w:lineRule="auto"/>
      <w:outlineLvl w:val="4"/>
    </w:pPr>
    <w:rPr>
      <w:b/>
      <w:bCs/>
      <w:sz w:val="28"/>
      <w:szCs w:val="28"/>
    </w:rPr>
  </w:style>
  <w:style w:type="paragraph" w:styleId="8">
    <w:name w:val="heading 6"/>
    <w:basedOn w:val="1"/>
    <w:next w:val="1"/>
    <w:link w:val="21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sz w:val="24"/>
    </w:rPr>
  </w:style>
  <w:style w:type="paragraph" w:styleId="9">
    <w:name w:val="heading 7"/>
    <w:basedOn w:val="1"/>
    <w:next w:val="1"/>
    <w:link w:val="216"/>
    <w:qFormat/>
    <w:uiPriority w:val="0"/>
    <w:pPr>
      <w:keepNext/>
      <w:keepLines/>
      <w:widowControl/>
      <w:tabs>
        <w:tab w:val="left" w:pos="2520"/>
      </w:tabs>
      <w:spacing w:before="240" w:after="64" w:line="319" w:lineRule="auto"/>
      <w:ind w:left="1296" w:hanging="1296"/>
      <w:jc w:val="left"/>
      <w:outlineLvl w:val="6"/>
    </w:pPr>
    <w:rPr>
      <w:b/>
      <w:bCs/>
      <w:sz w:val="24"/>
    </w:rPr>
  </w:style>
  <w:style w:type="paragraph" w:styleId="10">
    <w:name w:val="heading 8"/>
    <w:basedOn w:val="1"/>
    <w:next w:val="1"/>
    <w:link w:val="217"/>
    <w:qFormat/>
    <w:uiPriority w:val="0"/>
    <w:pPr>
      <w:keepNext/>
      <w:keepLines/>
      <w:widowControl/>
      <w:tabs>
        <w:tab w:val="left" w:pos="1440"/>
      </w:tabs>
      <w:spacing w:before="240" w:after="64" w:line="319" w:lineRule="auto"/>
      <w:ind w:left="1440" w:hanging="1440"/>
      <w:jc w:val="left"/>
      <w:outlineLvl w:val="7"/>
    </w:pPr>
    <w:rPr>
      <w:rFonts w:ascii="Arial" w:hAnsi="Arial" w:eastAsia="黑体"/>
      <w:sz w:val="24"/>
    </w:rPr>
  </w:style>
  <w:style w:type="paragraph" w:styleId="11">
    <w:name w:val="heading 9"/>
    <w:basedOn w:val="1"/>
    <w:next w:val="1"/>
    <w:link w:val="218"/>
    <w:qFormat/>
    <w:uiPriority w:val="0"/>
    <w:pPr>
      <w:keepNext/>
      <w:keepLines/>
      <w:widowControl/>
      <w:tabs>
        <w:tab w:val="left" w:pos="1584"/>
      </w:tabs>
      <w:spacing w:before="240" w:after="64" w:line="319" w:lineRule="auto"/>
      <w:ind w:left="1584" w:hanging="1584"/>
      <w:jc w:val="left"/>
      <w:outlineLvl w:val="8"/>
    </w:pPr>
    <w:rPr>
      <w:rFonts w:ascii="Arial" w:hAnsi="Arial" w:eastAsia="黑体"/>
      <w:szCs w:val="21"/>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pPr>
    <w:rPr>
      <w:rFonts w:ascii="仿宋_GB2312" w:hAnsi="Times New Roman" w:eastAsia="仿宋_GB2312" w:cs="仿宋_GB2312"/>
      <w:color w:val="000000"/>
      <w:sz w:val="24"/>
      <w:szCs w:val="24"/>
      <w:lang w:val="en-US" w:eastAsia="zh-CN" w:bidi="ar-SA"/>
    </w:rPr>
  </w:style>
  <w:style w:type="paragraph" w:styleId="12">
    <w:name w:val="toc 7"/>
    <w:basedOn w:val="1"/>
    <w:next w:val="1"/>
    <w:qFormat/>
    <w:uiPriority w:val="39"/>
    <w:pPr>
      <w:ind w:left="2520"/>
    </w:pPr>
  </w:style>
  <w:style w:type="paragraph" w:styleId="13">
    <w:name w:val="List Number"/>
    <w:basedOn w:val="1"/>
    <w:qFormat/>
    <w:uiPriority w:val="0"/>
    <w:pPr>
      <w:widowControl/>
      <w:numPr>
        <w:ilvl w:val="0"/>
        <w:numId w:val="1"/>
      </w:numPr>
      <w:tabs>
        <w:tab w:val="left" w:pos="454"/>
        <w:tab w:val="left" w:pos="720"/>
      </w:tabs>
      <w:spacing w:after="156"/>
      <w:ind w:left="454" w:hanging="284"/>
      <w:jc w:val="left"/>
    </w:pPr>
    <w:rPr>
      <w:sz w:val="24"/>
      <w:szCs w:val="20"/>
    </w:rPr>
  </w:style>
  <w:style w:type="paragraph" w:styleId="14">
    <w:name w:val="Normal Indent"/>
    <w:basedOn w:val="1"/>
    <w:link w:val="219"/>
    <w:qFormat/>
    <w:uiPriority w:val="0"/>
    <w:pPr>
      <w:ind w:firstLine="420"/>
    </w:pPr>
    <w:rPr>
      <w:b/>
      <w:sz w:val="24"/>
      <w:szCs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220"/>
    <w:qFormat/>
    <w:uiPriority w:val="0"/>
    <w:pPr>
      <w:shd w:val="clear" w:color="auto" w:fill="000080"/>
    </w:pPr>
  </w:style>
  <w:style w:type="paragraph" w:styleId="17">
    <w:name w:val="annotation text"/>
    <w:basedOn w:val="1"/>
    <w:link w:val="221"/>
    <w:unhideWhenUsed/>
    <w:qFormat/>
    <w:uiPriority w:val="99"/>
    <w:pPr>
      <w:jc w:val="left"/>
    </w:pPr>
    <w:rPr>
      <w:szCs w:val="20"/>
    </w:rPr>
  </w:style>
  <w:style w:type="paragraph" w:styleId="18">
    <w:name w:val="Body Text 3"/>
    <w:basedOn w:val="1"/>
    <w:link w:val="222"/>
    <w:qFormat/>
    <w:uiPriority w:val="0"/>
    <w:rPr>
      <w:rFonts w:ascii="宋体"/>
      <w:sz w:val="24"/>
      <w:szCs w:val="20"/>
    </w:rPr>
  </w:style>
  <w:style w:type="paragraph" w:styleId="19">
    <w:name w:val="Body Text"/>
    <w:basedOn w:val="1"/>
    <w:next w:val="1"/>
    <w:link w:val="223"/>
    <w:qFormat/>
    <w:uiPriority w:val="0"/>
    <w:pPr>
      <w:spacing w:after="120"/>
    </w:pPr>
  </w:style>
  <w:style w:type="paragraph" w:styleId="20">
    <w:name w:val="Body Text Indent"/>
    <w:basedOn w:val="1"/>
    <w:next w:val="21"/>
    <w:link w:val="209"/>
    <w:qFormat/>
    <w:uiPriority w:val="0"/>
    <w:pPr>
      <w:spacing w:line="360" w:lineRule="auto"/>
      <w:ind w:firstLine="420"/>
    </w:pPr>
    <w:rPr>
      <w:rFonts w:ascii="宋体"/>
      <w:sz w:val="24"/>
      <w:szCs w:val="20"/>
    </w:rPr>
  </w:style>
  <w:style w:type="paragraph" w:styleId="21">
    <w:name w:val="envelope return"/>
    <w:basedOn w:val="1"/>
    <w:qFormat/>
    <w:uiPriority w:val="0"/>
    <w:rPr>
      <w:rFonts w:ascii="Arial" w:hAnsi="Arial"/>
    </w:rPr>
  </w:style>
  <w:style w:type="paragraph" w:styleId="22">
    <w:name w:val="List Number 3"/>
    <w:basedOn w:val="1"/>
    <w:qFormat/>
    <w:uiPriority w:val="0"/>
    <w:pPr>
      <w:numPr>
        <w:ilvl w:val="0"/>
        <w:numId w:val="2"/>
      </w:numPr>
      <w:tabs>
        <w:tab w:val="left" w:pos="1200"/>
      </w:tabs>
    </w:pPr>
  </w:style>
  <w:style w:type="paragraph" w:styleId="23">
    <w:name w:val="List 2"/>
    <w:basedOn w:val="1"/>
    <w:qFormat/>
    <w:uiPriority w:val="0"/>
    <w:pPr>
      <w:ind w:left="100" w:hanging="200"/>
    </w:pPr>
    <w:rPr>
      <w:sz w:val="28"/>
    </w:rPr>
  </w:style>
  <w:style w:type="paragraph" w:styleId="24">
    <w:name w:val="Block Text"/>
    <w:basedOn w:val="1"/>
    <w:qFormat/>
    <w:uiPriority w:val="0"/>
    <w:pPr>
      <w:widowControl/>
      <w:ind w:left="268" w:right="-24" w:firstLine="473"/>
      <w:jc w:val="left"/>
    </w:pPr>
    <w:rPr>
      <w:rFonts w:ascii="宋体" w:hAnsi="宋体" w:cs="宋体"/>
      <w:bCs/>
    </w:rPr>
  </w:style>
  <w:style w:type="paragraph" w:styleId="25">
    <w:name w:val="index 4"/>
    <w:basedOn w:val="1"/>
    <w:next w:val="1"/>
    <w:unhideWhenUsed/>
    <w:qFormat/>
    <w:uiPriority w:val="99"/>
    <w:pPr>
      <w:spacing w:before="100" w:beforeAutospacing="1" w:after="100" w:afterAutospacing="1"/>
      <w:ind w:left="600" w:leftChars="600"/>
    </w:pPr>
    <w:rPr>
      <w:rFonts w:ascii="宋体"/>
      <w:b/>
      <w:bCs/>
      <w:position w:val="-10"/>
      <w:sz w:val="24"/>
      <w:szCs w:val="22"/>
    </w:rPr>
  </w:style>
  <w:style w:type="paragraph" w:styleId="26">
    <w:name w:val="toc 5"/>
    <w:basedOn w:val="1"/>
    <w:next w:val="1"/>
    <w:qFormat/>
    <w:uiPriority w:val="39"/>
    <w:pPr>
      <w:ind w:left="1680"/>
    </w:pPr>
  </w:style>
  <w:style w:type="paragraph" w:styleId="27">
    <w:name w:val="toc 3"/>
    <w:basedOn w:val="1"/>
    <w:next w:val="1"/>
    <w:qFormat/>
    <w:uiPriority w:val="39"/>
    <w:pPr>
      <w:ind w:left="840"/>
      <w:jc w:val="left"/>
    </w:pPr>
  </w:style>
  <w:style w:type="paragraph" w:styleId="28">
    <w:name w:val="Plain Text"/>
    <w:basedOn w:val="1"/>
    <w:link w:val="224"/>
    <w:qFormat/>
    <w:uiPriority w:val="99"/>
    <w:rPr>
      <w:rFonts w:ascii="宋体" w:hAnsi="Courier New"/>
      <w:sz w:val="28"/>
      <w:szCs w:val="20"/>
    </w:rPr>
  </w:style>
  <w:style w:type="paragraph" w:styleId="29">
    <w:name w:val="toc 8"/>
    <w:basedOn w:val="1"/>
    <w:next w:val="1"/>
    <w:qFormat/>
    <w:uiPriority w:val="39"/>
    <w:pPr>
      <w:ind w:left="2940"/>
    </w:pPr>
  </w:style>
  <w:style w:type="paragraph" w:styleId="30">
    <w:name w:val="Date"/>
    <w:basedOn w:val="1"/>
    <w:next w:val="1"/>
    <w:qFormat/>
    <w:uiPriority w:val="0"/>
    <w:pPr>
      <w:ind w:left="100"/>
    </w:pPr>
  </w:style>
  <w:style w:type="paragraph" w:styleId="31">
    <w:name w:val="Body Text Indent 2"/>
    <w:basedOn w:val="1"/>
    <w:link w:val="225"/>
    <w:qFormat/>
    <w:uiPriority w:val="0"/>
    <w:pPr>
      <w:spacing w:line="420" w:lineRule="exact"/>
      <w:ind w:firstLine="525"/>
    </w:pPr>
    <w:rPr>
      <w:rFonts w:ascii="宋体"/>
      <w:szCs w:val="20"/>
    </w:rPr>
  </w:style>
  <w:style w:type="paragraph" w:styleId="32">
    <w:name w:val="endnote text"/>
    <w:basedOn w:val="1"/>
    <w:link w:val="207"/>
    <w:semiHidden/>
    <w:unhideWhenUsed/>
    <w:qFormat/>
    <w:uiPriority w:val="99"/>
    <w:rPr>
      <w:sz w:val="20"/>
    </w:rPr>
  </w:style>
  <w:style w:type="paragraph" w:styleId="33">
    <w:name w:val="Balloon Text"/>
    <w:basedOn w:val="1"/>
    <w:link w:val="226"/>
    <w:unhideWhenUsed/>
    <w:qFormat/>
    <w:uiPriority w:val="99"/>
    <w:rPr>
      <w:sz w:val="18"/>
      <w:szCs w:val="18"/>
    </w:rPr>
  </w:style>
  <w:style w:type="paragraph" w:styleId="34">
    <w:name w:val="footer"/>
    <w:basedOn w:val="1"/>
    <w:link w:val="227"/>
    <w:qFormat/>
    <w:uiPriority w:val="99"/>
    <w:pPr>
      <w:tabs>
        <w:tab w:val="center" w:pos="4153"/>
        <w:tab w:val="right" w:pos="8306"/>
      </w:tabs>
      <w:jc w:val="left"/>
    </w:pPr>
    <w:rPr>
      <w:sz w:val="18"/>
      <w:szCs w:val="20"/>
    </w:rPr>
  </w:style>
  <w:style w:type="paragraph" w:styleId="35">
    <w:name w:val="header"/>
    <w:basedOn w:val="1"/>
    <w:link w:val="228"/>
    <w:qFormat/>
    <w:uiPriority w:val="99"/>
    <w:pPr>
      <w:pBdr>
        <w:top w:val="none" w:color="auto" w:sz="0" w:space="1"/>
        <w:left w:val="none" w:color="auto" w:sz="0" w:space="4"/>
        <w:bottom w:val="none" w:color="auto" w:sz="0" w:space="1"/>
        <w:right w:val="none" w:color="auto" w:sz="0" w:space="4"/>
      </w:pBdr>
      <w:tabs>
        <w:tab w:val="center" w:pos="4153"/>
        <w:tab w:val="right" w:pos="8306"/>
      </w:tabs>
    </w:pPr>
    <w:rPr>
      <w:sz w:val="18"/>
      <w:szCs w:val="20"/>
    </w:rPr>
  </w:style>
  <w:style w:type="paragraph" w:styleId="36">
    <w:name w:val="toc 1"/>
    <w:basedOn w:val="1"/>
    <w:next w:val="1"/>
    <w:qFormat/>
    <w:uiPriority w:val="39"/>
    <w:pPr>
      <w:jc w:val="left"/>
    </w:pPr>
  </w:style>
  <w:style w:type="paragraph" w:styleId="37">
    <w:name w:val="toc 4"/>
    <w:basedOn w:val="1"/>
    <w:next w:val="1"/>
    <w:qFormat/>
    <w:uiPriority w:val="39"/>
    <w:pPr>
      <w:ind w:left="1260"/>
    </w:pPr>
  </w:style>
  <w:style w:type="paragraph" w:styleId="38">
    <w:name w:val="Subtitle"/>
    <w:basedOn w:val="1"/>
    <w:next w:val="1"/>
    <w:link w:val="229"/>
    <w:qFormat/>
    <w:uiPriority w:val="11"/>
    <w:pPr>
      <w:spacing w:before="240" w:after="60" w:line="312" w:lineRule="auto"/>
      <w:jc w:val="center"/>
      <w:outlineLvl w:val="1"/>
    </w:pPr>
    <w:rPr>
      <w:rFonts w:ascii="Cambria" w:hAnsi="Cambria"/>
      <w:b/>
      <w:bCs/>
      <w:sz w:val="32"/>
      <w:szCs w:val="32"/>
    </w:rPr>
  </w:style>
  <w:style w:type="paragraph" w:styleId="39">
    <w:name w:val="List"/>
    <w:basedOn w:val="1"/>
    <w:qFormat/>
    <w:uiPriority w:val="0"/>
    <w:pPr>
      <w:ind w:left="200" w:hanging="200"/>
    </w:pPr>
    <w:rPr>
      <w:sz w:val="28"/>
    </w:rPr>
  </w:style>
  <w:style w:type="paragraph" w:styleId="40">
    <w:name w:val="footnote text"/>
    <w:basedOn w:val="1"/>
    <w:link w:val="230"/>
    <w:qFormat/>
    <w:uiPriority w:val="0"/>
    <w:rPr>
      <w:sz w:val="20"/>
      <w:szCs w:val="20"/>
    </w:rPr>
  </w:style>
  <w:style w:type="paragraph" w:styleId="41">
    <w:name w:val="toc 6"/>
    <w:basedOn w:val="1"/>
    <w:next w:val="1"/>
    <w:qFormat/>
    <w:uiPriority w:val="39"/>
    <w:pPr>
      <w:ind w:left="2100"/>
    </w:pPr>
  </w:style>
  <w:style w:type="paragraph" w:styleId="42">
    <w:name w:val="Body Text Indent 3"/>
    <w:basedOn w:val="1"/>
    <w:link w:val="231"/>
    <w:qFormat/>
    <w:uiPriority w:val="0"/>
    <w:pPr>
      <w:spacing w:after="120"/>
      <w:ind w:left="420"/>
    </w:pPr>
    <w:rPr>
      <w:sz w:val="16"/>
      <w:szCs w:val="16"/>
    </w:rPr>
  </w:style>
  <w:style w:type="paragraph" w:styleId="43">
    <w:name w:val="table of figures"/>
    <w:basedOn w:val="1"/>
    <w:next w:val="1"/>
    <w:qFormat/>
    <w:uiPriority w:val="0"/>
    <w:pPr>
      <w:ind w:hanging="200"/>
    </w:pPr>
  </w:style>
  <w:style w:type="paragraph" w:styleId="44">
    <w:name w:val="toc 2"/>
    <w:basedOn w:val="1"/>
    <w:next w:val="1"/>
    <w:qFormat/>
    <w:uiPriority w:val="39"/>
    <w:pPr>
      <w:ind w:left="420"/>
      <w:jc w:val="left"/>
    </w:pPr>
  </w:style>
  <w:style w:type="paragraph" w:styleId="45">
    <w:name w:val="toc 9"/>
    <w:basedOn w:val="1"/>
    <w:next w:val="1"/>
    <w:qFormat/>
    <w:uiPriority w:val="39"/>
    <w:pPr>
      <w:ind w:left="3360"/>
    </w:pPr>
  </w:style>
  <w:style w:type="paragraph" w:styleId="46">
    <w:name w:val="Body Text 2"/>
    <w:basedOn w:val="1"/>
    <w:link w:val="232"/>
    <w:qFormat/>
    <w:uiPriority w:val="0"/>
    <w:pPr>
      <w:widowControl/>
      <w:spacing w:before="50" w:after="156" w:line="400" w:lineRule="exact"/>
      <w:jc w:val="left"/>
    </w:pPr>
    <w:rPr>
      <w:rFonts w:ascii="宋体" w:hAnsi="宋体"/>
      <w:color w:val="000000"/>
      <w:sz w:val="24"/>
    </w:rPr>
  </w:style>
  <w:style w:type="paragraph" w:styleId="47">
    <w:name w:val="List Continue 2"/>
    <w:basedOn w:val="1"/>
    <w:qFormat/>
    <w:uiPriority w:val="0"/>
    <w:pPr>
      <w:spacing w:after="120"/>
      <w:ind w:left="840"/>
    </w:pPr>
  </w:style>
  <w:style w:type="paragraph" w:styleId="48">
    <w:name w:val="Normal (Web)"/>
    <w:basedOn w:val="1"/>
    <w:qFormat/>
    <w:uiPriority w:val="0"/>
    <w:pPr>
      <w:widowControl/>
      <w:spacing w:before="100" w:beforeAutospacing="1" w:after="100" w:afterAutospacing="1"/>
      <w:jc w:val="left"/>
    </w:pPr>
    <w:rPr>
      <w:rFonts w:ascii="宋体" w:hAnsi="宋体" w:cs="宋体"/>
      <w:sz w:val="24"/>
    </w:rPr>
  </w:style>
  <w:style w:type="paragraph" w:styleId="49">
    <w:name w:val="Title"/>
    <w:basedOn w:val="1"/>
    <w:link w:val="233"/>
    <w:qFormat/>
    <w:uiPriority w:val="0"/>
    <w:pPr>
      <w:spacing w:before="240" w:after="60" w:line="420" w:lineRule="atLeast"/>
      <w:jc w:val="center"/>
      <w:outlineLvl w:val="0"/>
    </w:pPr>
    <w:rPr>
      <w:rFonts w:ascii="Arial" w:hAnsi="Arial"/>
      <w:b/>
      <w:sz w:val="32"/>
      <w:szCs w:val="20"/>
    </w:rPr>
  </w:style>
  <w:style w:type="paragraph" w:styleId="50">
    <w:name w:val="annotation subject"/>
    <w:basedOn w:val="17"/>
    <w:next w:val="17"/>
    <w:link w:val="234"/>
    <w:qFormat/>
    <w:uiPriority w:val="0"/>
    <w:rPr>
      <w:b/>
      <w:bCs/>
      <w:szCs w:val="24"/>
    </w:rPr>
  </w:style>
  <w:style w:type="paragraph" w:styleId="51">
    <w:name w:val="Body Text First Indent"/>
    <w:basedOn w:val="19"/>
    <w:unhideWhenUsed/>
    <w:qFormat/>
    <w:uiPriority w:val="99"/>
    <w:pPr>
      <w:ind w:firstLine="420"/>
    </w:pPr>
  </w:style>
  <w:style w:type="paragraph" w:styleId="52">
    <w:name w:val="Body Text First Indent 2"/>
    <w:basedOn w:val="20"/>
    <w:next w:val="1"/>
    <w:qFormat/>
    <w:uiPriority w:val="0"/>
    <w:pPr>
      <w:spacing w:after="120" w:line="240" w:lineRule="auto"/>
      <w:ind w:left="420"/>
    </w:pPr>
    <w:rPr>
      <w:sz w:val="21"/>
    </w:rPr>
  </w:style>
  <w:style w:type="table" w:styleId="54">
    <w:name w:val="Table Grid"/>
    <w:basedOn w:val="53"/>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6">
    <w:name w:val="Strong"/>
    <w:basedOn w:val="55"/>
    <w:qFormat/>
    <w:uiPriority w:val="0"/>
    <w:rPr>
      <w:b/>
      <w:bCs/>
    </w:rPr>
  </w:style>
  <w:style w:type="character" w:styleId="57">
    <w:name w:val="endnote reference"/>
    <w:basedOn w:val="55"/>
    <w:semiHidden/>
    <w:unhideWhenUsed/>
    <w:qFormat/>
    <w:uiPriority w:val="99"/>
    <w:rPr>
      <w:vertAlign w:val="superscript"/>
    </w:rPr>
  </w:style>
  <w:style w:type="character" w:styleId="58">
    <w:name w:val="page number"/>
    <w:qFormat/>
    <w:uiPriority w:val="0"/>
  </w:style>
  <w:style w:type="character" w:styleId="59">
    <w:name w:val="FollowedHyperlink"/>
    <w:qFormat/>
    <w:uiPriority w:val="0"/>
    <w:rPr>
      <w:color w:val="800080"/>
      <w:u w:val="none"/>
    </w:rPr>
  </w:style>
  <w:style w:type="character" w:styleId="60">
    <w:name w:val="Emphasis"/>
    <w:qFormat/>
    <w:uiPriority w:val="20"/>
    <w:rPr>
      <w:i/>
      <w:iCs/>
    </w:rPr>
  </w:style>
  <w:style w:type="character" w:styleId="61">
    <w:name w:val="Hyperlink"/>
    <w:qFormat/>
    <w:uiPriority w:val="99"/>
    <w:rPr>
      <w:color w:val="0000FF"/>
      <w:u w:val="none"/>
    </w:rPr>
  </w:style>
  <w:style w:type="character" w:styleId="62">
    <w:name w:val="annotation reference"/>
    <w:qFormat/>
    <w:uiPriority w:val="0"/>
    <w:rPr>
      <w:sz w:val="21"/>
      <w:szCs w:val="21"/>
    </w:rPr>
  </w:style>
  <w:style w:type="character" w:styleId="63">
    <w:name w:val="footnote reference"/>
    <w:qFormat/>
    <w:uiPriority w:val="0"/>
    <w:rPr>
      <w:vertAlign w:val="superscript"/>
    </w:rPr>
  </w:style>
  <w:style w:type="paragraph" w:customStyle="1" w:styleId="64">
    <w:name w:val="标题 3111"/>
    <w:basedOn w:val="1"/>
    <w:next w:val="1"/>
    <w:qFormat/>
    <w:uiPriority w:val="9"/>
    <w:pPr>
      <w:keepNext/>
      <w:keepLines/>
      <w:spacing w:before="320" w:after="200"/>
      <w:outlineLvl w:val="2"/>
    </w:pPr>
    <w:rPr>
      <w:rFonts w:ascii="Arial" w:hAnsi="Arial" w:eastAsia="Arial"/>
      <w:sz w:val="30"/>
      <w:szCs w:val="30"/>
    </w:rPr>
  </w:style>
  <w:style w:type="character" w:customStyle="1" w:styleId="65">
    <w:name w:val="Heading 1 Char"/>
    <w:basedOn w:val="55"/>
    <w:qFormat/>
    <w:uiPriority w:val="9"/>
    <w:rPr>
      <w:rFonts w:ascii="Arial" w:hAnsi="Arial" w:eastAsia="Arial" w:cs="Arial"/>
      <w:sz w:val="40"/>
      <w:szCs w:val="40"/>
    </w:rPr>
  </w:style>
  <w:style w:type="character" w:customStyle="1" w:styleId="66">
    <w:name w:val="Heading 2 Char"/>
    <w:basedOn w:val="55"/>
    <w:qFormat/>
    <w:uiPriority w:val="9"/>
    <w:rPr>
      <w:rFonts w:ascii="Arial" w:hAnsi="Arial" w:eastAsia="Arial" w:cs="Arial"/>
      <w:sz w:val="34"/>
    </w:rPr>
  </w:style>
  <w:style w:type="character" w:customStyle="1" w:styleId="67">
    <w:name w:val="Heading 3 Char"/>
    <w:basedOn w:val="55"/>
    <w:qFormat/>
    <w:uiPriority w:val="9"/>
    <w:rPr>
      <w:rFonts w:ascii="Arial" w:hAnsi="Arial" w:eastAsia="Arial" w:cs="Arial"/>
      <w:sz w:val="30"/>
      <w:szCs w:val="30"/>
    </w:rPr>
  </w:style>
  <w:style w:type="character" w:customStyle="1" w:styleId="68">
    <w:name w:val="Heading 4 Char"/>
    <w:basedOn w:val="55"/>
    <w:qFormat/>
    <w:uiPriority w:val="9"/>
    <w:rPr>
      <w:rFonts w:ascii="Arial" w:hAnsi="Arial" w:eastAsia="Arial" w:cs="Arial"/>
      <w:b/>
      <w:bCs/>
      <w:sz w:val="26"/>
      <w:szCs w:val="26"/>
    </w:rPr>
  </w:style>
  <w:style w:type="character" w:customStyle="1" w:styleId="69">
    <w:name w:val="Heading 5 Char"/>
    <w:basedOn w:val="55"/>
    <w:qFormat/>
    <w:uiPriority w:val="9"/>
    <w:rPr>
      <w:rFonts w:ascii="Arial" w:hAnsi="Arial" w:eastAsia="Arial" w:cs="Arial"/>
      <w:b/>
      <w:bCs/>
      <w:sz w:val="24"/>
      <w:szCs w:val="24"/>
    </w:rPr>
  </w:style>
  <w:style w:type="character" w:customStyle="1" w:styleId="70">
    <w:name w:val="Heading 6 Char"/>
    <w:basedOn w:val="55"/>
    <w:qFormat/>
    <w:uiPriority w:val="9"/>
    <w:rPr>
      <w:rFonts w:ascii="Arial" w:hAnsi="Arial" w:eastAsia="Arial" w:cs="Arial"/>
      <w:b/>
      <w:bCs/>
      <w:sz w:val="22"/>
      <w:szCs w:val="22"/>
    </w:rPr>
  </w:style>
  <w:style w:type="character" w:customStyle="1" w:styleId="71">
    <w:name w:val="Heading 7 Char"/>
    <w:basedOn w:val="55"/>
    <w:qFormat/>
    <w:uiPriority w:val="9"/>
    <w:rPr>
      <w:rFonts w:ascii="Arial" w:hAnsi="Arial" w:eastAsia="Arial" w:cs="Arial"/>
      <w:b/>
      <w:bCs/>
      <w:i/>
      <w:iCs/>
      <w:sz w:val="22"/>
      <w:szCs w:val="22"/>
    </w:rPr>
  </w:style>
  <w:style w:type="character" w:customStyle="1" w:styleId="72">
    <w:name w:val="Heading 8 Char"/>
    <w:basedOn w:val="55"/>
    <w:qFormat/>
    <w:uiPriority w:val="9"/>
    <w:rPr>
      <w:rFonts w:ascii="Arial" w:hAnsi="Arial" w:eastAsia="Arial" w:cs="Arial"/>
      <w:i/>
      <w:iCs/>
      <w:sz w:val="22"/>
      <w:szCs w:val="22"/>
    </w:rPr>
  </w:style>
  <w:style w:type="character" w:customStyle="1" w:styleId="73">
    <w:name w:val="Heading 9 Char"/>
    <w:basedOn w:val="55"/>
    <w:qFormat/>
    <w:uiPriority w:val="9"/>
    <w:rPr>
      <w:rFonts w:ascii="Arial" w:hAnsi="Arial" w:eastAsia="Arial" w:cs="Arial"/>
      <w:i/>
      <w:iCs/>
      <w:sz w:val="21"/>
      <w:szCs w:val="21"/>
    </w:rPr>
  </w:style>
  <w:style w:type="character" w:customStyle="1" w:styleId="74">
    <w:name w:val="Title Char"/>
    <w:basedOn w:val="55"/>
    <w:qFormat/>
    <w:uiPriority w:val="10"/>
    <w:rPr>
      <w:sz w:val="48"/>
      <w:szCs w:val="48"/>
    </w:rPr>
  </w:style>
  <w:style w:type="character" w:customStyle="1" w:styleId="75">
    <w:name w:val="Subtitle Char"/>
    <w:basedOn w:val="55"/>
    <w:qFormat/>
    <w:uiPriority w:val="11"/>
    <w:rPr>
      <w:sz w:val="24"/>
      <w:szCs w:val="24"/>
    </w:rPr>
  </w:style>
  <w:style w:type="character" w:customStyle="1" w:styleId="76">
    <w:name w:val="Quote Char"/>
    <w:qFormat/>
    <w:uiPriority w:val="29"/>
    <w:rPr>
      <w:i/>
    </w:rPr>
  </w:style>
  <w:style w:type="character" w:customStyle="1" w:styleId="77">
    <w:name w:val="Intense Quote Char"/>
    <w:qFormat/>
    <w:uiPriority w:val="30"/>
    <w:rPr>
      <w:i/>
    </w:rPr>
  </w:style>
  <w:style w:type="character" w:customStyle="1" w:styleId="78">
    <w:name w:val="Header Char"/>
    <w:basedOn w:val="55"/>
    <w:qFormat/>
    <w:uiPriority w:val="99"/>
  </w:style>
  <w:style w:type="character" w:customStyle="1" w:styleId="79">
    <w:name w:val="Footer Char"/>
    <w:basedOn w:val="55"/>
    <w:qFormat/>
    <w:uiPriority w:val="99"/>
  </w:style>
  <w:style w:type="character" w:customStyle="1" w:styleId="80">
    <w:name w:val="Caption Char"/>
    <w:qFormat/>
    <w:uiPriority w:val="99"/>
  </w:style>
  <w:style w:type="table" w:customStyle="1" w:styleId="81">
    <w:name w:val="Table Grid Light"/>
    <w:basedOn w:val="5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82">
    <w:name w:val="无格式表格 11"/>
    <w:basedOn w:val="53"/>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3">
    <w:name w:val="无格式表格 21"/>
    <w:basedOn w:val="53"/>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4">
    <w:name w:val="无格式表格 31"/>
    <w:basedOn w:val="53"/>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5">
    <w:name w:val="无格式表格 41"/>
    <w:basedOn w:val="53"/>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6">
    <w:name w:val="无格式表格 51"/>
    <w:basedOn w:val="53"/>
    <w:qFormat/>
    <w:uiPriority w:val="99"/>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7">
    <w:name w:val="网格表 1 浅色1"/>
    <w:basedOn w:val="53"/>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8">
    <w:name w:val="Grid Table 1 Light - Accent 1"/>
    <w:basedOn w:val="53"/>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9">
    <w:name w:val="Grid Table 1 Light - Accent 2"/>
    <w:basedOn w:val="53"/>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90">
    <w:name w:val="Grid Table 1 Light - Accent 3"/>
    <w:basedOn w:val="5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91">
    <w:name w:val="Grid Table 1 Light - Accent 4"/>
    <w:basedOn w:val="53"/>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92">
    <w:name w:val="Grid Table 1 Light - Accent 5"/>
    <w:basedOn w:val="53"/>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93">
    <w:name w:val="Grid Table 1 Light - Accent 6"/>
    <w:basedOn w:val="53"/>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4">
    <w:name w:val="网格表 21"/>
    <w:basedOn w:val="5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2 - Accent 1"/>
    <w:basedOn w:val="53"/>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6">
    <w:name w:val="Grid Table 2 - Accent 2"/>
    <w:basedOn w:val="53"/>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7">
    <w:name w:val="Grid Table 2 - Accent 3"/>
    <w:basedOn w:val="5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8">
    <w:name w:val="Grid Table 2 - Accent 4"/>
    <w:basedOn w:val="53"/>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9">
    <w:name w:val="Grid Table 2 - Accent 5"/>
    <w:basedOn w:val="53"/>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0">
    <w:name w:val="Grid Table 2 - Accent 6"/>
    <w:basedOn w:val="53"/>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1">
    <w:name w:val="网格表 31"/>
    <w:basedOn w:val="5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2">
    <w:name w:val="Grid Table 3 - Accent 1"/>
    <w:basedOn w:val="53"/>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3">
    <w:name w:val="Grid Table 3 - Accent 2"/>
    <w:basedOn w:val="53"/>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4">
    <w:name w:val="Grid Table 3 - Accent 3"/>
    <w:basedOn w:val="5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5">
    <w:name w:val="Grid Table 3 - Accent 4"/>
    <w:basedOn w:val="53"/>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6">
    <w:name w:val="Grid Table 3 - Accent 5"/>
    <w:basedOn w:val="53"/>
    <w:qFormat/>
    <w:uiPriority w:val="99"/>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7">
    <w:name w:val="Grid Table 3 - Accent 6"/>
    <w:basedOn w:val="53"/>
    <w:qFormat/>
    <w:uiPriority w:val="99"/>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8">
    <w:name w:val="网格表 41"/>
    <w:basedOn w:val="53"/>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9">
    <w:name w:val="Grid Table 4 - Accent 1"/>
    <w:basedOn w:val="53"/>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10">
    <w:name w:val="Grid Table 4 - Accent 2"/>
    <w:basedOn w:val="53"/>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1">
    <w:name w:val="Grid Table 4 - Accent 3"/>
    <w:basedOn w:val="5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2">
    <w:name w:val="Grid Table 4 - Accent 4"/>
    <w:basedOn w:val="53"/>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3">
    <w:name w:val="Grid Table 4 - Accent 5"/>
    <w:basedOn w:val="53"/>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4">
    <w:name w:val="Grid Table 4 - Accent 6"/>
    <w:basedOn w:val="53"/>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5">
    <w:name w:val="网格表 5 深色1"/>
    <w:basedOn w:val="5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6">
    <w:name w:val="Grid Table 5 Dark- Accent 1"/>
    <w:basedOn w:val="5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7">
    <w:name w:val="Grid Table 5 Dark - Accent 2"/>
    <w:basedOn w:val="5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8">
    <w:name w:val="Grid Table 5 Dark - Accent 3"/>
    <w:basedOn w:val="5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9">
    <w:name w:val="Grid Table 5 Dark- Accent 4"/>
    <w:basedOn w:val="5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20">
    <w:name w:val="Grid Table 5 Dark - Accent 5"/>
    <w:basedOn w:val="5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21">
    <w:name w:val="Grid Table 5 Dark - Accent 6"/>
    <w:basedOn w:val="5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22">
    <w:name w:val="网格表 6 彩色1"/>
    <w:basedOn w:val="53"/>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Grid Table 6 Colorful - Accent 1"/>
    <w:basedOn w:val="53"/>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4">
    <w:name w:val="Grid Table 6 Colorful - Accent 2"/>
    <w:basedOn w:val="53"/>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5">
    <w:name w:val="Grid Table 6 Colorful - Accent 3"/>
    <w:basedOn w:val="5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6">
    <w:name w:val="Grid Table 6 Colorful - Accent 4"/>
    <w:basedOn w:val="53"/>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7">
    <w:name w:val="Grid Table 6 Colorful - Accent 5"/>
    <w:basedOn w:val="53"/>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8">
    <w:name w:val="Grid Table 6 Colorful - Accent 6"/>
    <w:basedOn w:val="53"/>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9">
    <w:name w:val="网格表 7 彩色1"/>
    <w:basedOn w:val="53"/>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30">
    <w:name w:val="Grid Table 7 Colorful - Accent 1"/>
    <w:basedOn w:val="53"/>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1">
    <w:name w:val="Grid Table 7 Colorful - Accent 2"/>
    <w:basedOn w:val="53"/>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2">
    <w:name w:val="Grid Table 7 Colorful - Accent 3"/>
    <w:basedOn w:val="5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33">
    <w:name w:val="Grid Table 7 Colorful - Accent 4"/>
    <w:basedOn w:val="53"/>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4">
    <w:name w:val="Grid Table 7 Colorful - Accent 5"/>
    <w:basedOn w:val="53"/>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5">
    <w:name w:val="Grid Table 7 Colorful - Accent 6"/>
    <w:basedOn w:val="53"/>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6">
    <w:name w:val="清单表 1 浅色1"/>
    <w:basedOn w:val="53"/>
    <w:qFormat/>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7">
    <w:name w:val="List Table 1 Light - Accent 1"/>
    <w:basedOn w:val="53"/>
    <w:qFormat/>
    <w:uiPriority w:val="99"/>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8">
    <w:name w:val="List Table 1 Light - Accent 2"/>
    <w:basedOn w:val="53"/>
    <w:qFormat/>
    <w:uiPriority w:val="99"/>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9">
    <w:name w:val="List Table 1 Light - Accent 3"/>
    <w:basedOn w:val="53"/>
    <w:qFormat/>
    <w:uiPriority w:val="99"/>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40">
    <w:name w:val="List Table 1 Light - Accent 4"/>
    <w:basedOn w:val="53"/>
    <w:qFormat/>
    <w:uiPriority w:val="99"/>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41">
    <w:name w:val="List Table 1 Light - Accent 5"/>
    <w:basedOn w:val="53"/>
    <w:qFormat/>
    <w:uiPriority w:val="99"/>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42">
    <w:name w:val="List Table 1 Light - Accent 6"/>
    <w:basedOn w:val="53"/>
    <w:qFormat/>
    <w:uiPriority w:val="99"/>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43">
    <w:name w:val="清单表 21"/>
    <w:basedOn w:val="53"/>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4">
    <w:name w:val="List Table 2 - Accent 1"/>
    <w:basedOn w:val="53"/>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5">
    <w:name w:val="List Table 2 - Accent 2"/>
    <w:basedOn w:val="53"/>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6">
    <w:name w:val="List Table 2 - Accent 3"/>
    <w:basedOn w:val="5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7">
    <w:name w:val="List Table 2 - Accent 4"/>
    <w:basedOn w:val="53"/>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8">
    <w:name w:val="List Table 2 - Accent 5"/>
    <w:basedOn w:val="53"/>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9">
    <w:name w:val="List Table 2 - Accent 6"/>
    <w:basedOn w:val="53"/>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0">
    <w:name w:val="清单表 31"/>
    <w:basedOn w:val="5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1">
    <w:name w:val="List Table 3 - Accent 1"/>
    <w:basedOn w:val="53"/>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52">
    <w:name w:val="List Table 3 - Accent 2"/>
    <w:basedOn w:val="53"/>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53">
    <w:name w:val="List Table 3 - Accent 3"/>
    <w:basedOn w:val="5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4">
    <w:name w:val="List Table 3 - Accent 4"/>
    <w:basedOn w:val="53"/>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5">
    <w:name w:val="List Table 3 - Accent 5"/>
    <w:basedOn w:val="53"/>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6">
    <w:name w:val="List Table 3 - Accent 6"/>
    <w:basedOn w:val="53"/>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7">
    <w:name w:val="清单表 41"/>
    <w:basedOn w:val="5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8">
    <w:name w:val="List Table 4 - Accent 1"/>
    <w:basedOn w:val="53"/>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9">
    <w:name w:val="List Table 4 - Accent 2"/>
    <w:basedOn w:val="53"/>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60">
    <w:name w:val="List Table 4 - Accent 3"/>
    <w:basedOn w:val="5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1">
    <w:name w:val="List Table 4 - Accent 4"/>
    <w:basedOn w:val="53"/>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2">
    <w:name w:val="List Table 4 - Accent 5"/>
    <w:basedOn w:val="53"/>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3">
    <w:name w:val="List Table 4 - Accent 6"/>
    <w:basedOn w:val="53"/>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4">
    <w:name w:val="清单表 5 深色1"/>
    <w:basedOn w:val="53"/>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5">
    <w:name w:val="List Table 5 Dark - Accent 1"/>
    <w:basedOn w:val="53"/>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6">
    <w:name w:val="List Table 5 Dark - Accent 2"/>
    <w:basedOn w:val="53"/>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7">
    <w:name w:val="List Table 5 Dark - Accent 3"/>
    <w:basedOn w:val="5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8">
    <w:name w:val="List Table 5 Dark - Accent 4"/>
    <w:basedOn w:val="53"/>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9">
    <w:name w:val="List Table 5 Dark - Accent 5"/>
    <w:basedOn w:val="53"/>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70">
    <w:name w:val="List Table 5 Dark - Accent 6"/>
    <w:basedOn w:val="53"/>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1">
    <w:name w:val="清单表 6 彩色1"/>
    <w:basedOn w:val="53"/>
    <w:qFormat/>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2">
    <w:name w:val="List Table 6 Colorful - Accent 1"/>
    <w:basedOn w:val="53"/>
    <w:qFormat/>
    <w:uiPriority w:val="99"/>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3">
    <w:name w:val="List Table 6 Colorful - Accent 2"/>
    <w:basedOn w:val="53"/>
    <w:qFormat/>
    <w:uiPriority w:val="99"/>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4">
    <w:name w:val="List Table 6 Colorful - Accent 3"/>
    <w:basedOn w:val="53"/>
    <w:qFormat/>
    <w:uiPriority w:val="99"/>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5">
    <w:name w:val="List Table 6 Colorful - Accent 4"/>
    <w:basedOn w:val="53"/>
    <w:qFormat/>
    <w:uiPriority w:val="99"/>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6">
    <w:name w:val="List Table 6 Colorful - Accent 5"/>
    <w:basedOn w:val="53"/>
    <w:qFormat/>
    <w:uiPriority w:val="99"/>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7">
    <w:name w:val="List Table 6 Colorful - Accent 6"/>
    <w:basedOn w:val="53"/>
    <w:qFormat/>
    <w:uiPriority w:val="99"/>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8">
    <w:name w:val="清单表 7 彩色1"/>
    <w:basedOn w:val="53"/>
    <w:qFormat/>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9">
    <w:name w:val="List Table 7 Colorful - Accent 1"/>
    <w:basedOn w:val="53"/>
    <w:qFormat/>
    <w:uiPriority w:val="99"/>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80">
    <w:name w:val="List Table 7 Colorful - Accent 2"/>
    <w:basedOn w:val="53"/>
    <w:qFormat/>
    <w:uiPriority w:val="99"/>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1">
    <w:name w:val="List Table 7 Colorful - Accent 3"/>
    <w:basedOn w:val="53"/>
    <w:qFormat/>
    <w:uiPriority w:val="99"/>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2">
    <w:name w:val="List Table 7 Colorful - Accent 4"/>
    <w:basedOn w:val="53"/>
    <w:qFormat/>
    <w:uiPriority w:val="99"/>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3">
    <w:name w:val="List Table 7 Colorful - Accent 5"/>
    <w:basedOn w:val="53"/>
    <w:qFormat/>
    <w:uiPriority w:val="99"/>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4">
    <w:name w:val="List Table 7 Colorful - Accent 6"/>
    <w:basedOn w:val="53"/>
    <w:qFormat/>
    <w:uiPriority w:val="99"/>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5">
    <w:name w:val="Lined - Accent"/>
    <w:basedOn w:val="53"/>
    <w:qFormat/>
    <w:uiPriority w:val="99"/>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6">
    <w:name w:val="Lined - Accent 1"/>
    <w:basedOn w:val="53"/>
    <w:qFormat/>
    <w:uiPriority w:val="99"/>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7">
    <w:name w:val="Lined - Accent 2"/>
    <w:basedOn w:val="53"/>
    <w:qFormat/>
    <w:uiPriority w:val="99"/>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8">
    <w:name w:val="Lined - Accent 3"/>
    <w:basedOn w:val="53"/>
    <w:qFormat/>
    <w:uiPriority w:val="99"/>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9">
    <w:name w:val="Lined - Accent 4"/>
    <w:basedOn w:val="53"/>
    <w:qFormat/>
    <w:uiPriority w:val="99"/>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0">
    <w:name w:val="Lined - Accent 5"/>
    <w:basedOn w:val="53"/>
    <w:qFormat/>
    <w:uiPriority w:val="99"/>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1">
    <w:name w:val="Lined - Accent 6"/>
    <w:basedOn w:val="53"/>
    <w:qFormat/>
    <w:uiPriority w:val="99"/>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2">
    <w:name w:val="Bordered &amp; Lined - Accent"/>
    <w:basedOn w:val="53"/>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3">
    <w:name w:val="Bordered &amp; Lined - Accent 1"/>
    <w:basedOn w:val="53"/>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4">
    <w:name w:val="Bordered &amp; Lined - Accent 2"/>
    <w:basedOn w:val="53"/>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5">
    <w:name w:val="Bordered &amp; Lined - Accent 3"/>
    <w:basedOn w:val="5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6">
    <w:name w:val="Bordered &amp; Lined - Accent 4"/>
    <w:basedOn w:val="53"/>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7">
    <w:name w:val="Bordered &amp; Lined - Accent 5"/>
    <w:basedOn w:val="53"/>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8">
    <w:name w:val="Bordered &amp; Lined - Accent 6"/>
    <w:basedOn w:val="53"/>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9">
    <w:name w:val="Bordered"/>
    <w:basedOn w:val="53"/>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00">
    <w:name w:val="Bordered - Accent 1"/>
    <w:basedOn w:val="53"/>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1">
    <w:name w:val="Bordered - Accent 2"/>
    <w:basedOn w:val="53"/>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2">
    <w:name w:val="Bordered - Accent 3"/>
    <w:basedOn w:val="5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3">
    <w:name w:val="Bordered - Accent 4"/>
    <w:basedOn w:val="53"/>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4">
    <w:name w:val="Bordered - Accent 5"/>
    <w:basedOn w:val="53"/>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5">
    <w:name w:val="Bordered - Accent 6"/>
    <w:basedOn w:val="53"/>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6">
    <w:name w:val="Footnote Text Char"/>
    <w:qFormat/>
    <w:uiPriority w:val="99"/>
    <w:rPr>
      <w:sz w:val="18"/>
    </w:rPr>
  </w:style>
  <w:style w:type="character" w:customStyle="1" w:styleId="207">
    <w:name w:val="尾注文本 字符"/>
    <w:link w:val="32"/>
    <w:qFormat/>
    <w:uiPriority w:val="99"/>
    <w:rPr>
      <w:sz w:val="20"/>
    </w:rPr>
  </w:style>
  <w:style w:type="paragraph" w:customStyle="1" w:styleId="208">
    <w:name w:val="TOC 标题1"/>
    <w:unhideWhenUsed/>
    <w:qFormat/>
    <w:uiPriority w:val="39"/>
    <w:rPr>
      <w:rFonts w:ascii="Times New Roman" w:hAnsi="Times New Roman" w:eastAsia="宋体" w:cs="Times New Roman"/>
      <w:lang w:val="en-US" w:eastAsia="zh-CN" w:bidi="ar-SA"/>
    </w:rPr>
  </w:style>
  <w:style w:type="character" w:customStyle="1" w:styleId="209">
    <w:name w:val="正文文本缩进 字符"/>
    <w:link w:val="20"/>
    <w:qFormat/>
    <w:uiPriority w:val="0"/>
    <w:rPr>
      <w:rFonts w:ascii="宋体"/>
      <w:sz w:val="24"/>
    </w:rPr>
  </w:style>
  <w:style w:type="character" w:customStyle="1" w:styleId="210">
    <w:name w:val="标题 1 字符"/>
    <w:link w:val="3"/>
    <w:qFormat/>
    <w:uiPriority w:val="0"/>
    <w:rPr>
      <w:b/>
      <w:bCs/>
      <w:sz w:val="44"/>
      <w:szCs w:val="44"/>
    </w:rPr>
  </w:style>
  <w:style w:type="character" w:customStyle="1" w:styleId="211">
    <w:name w:val="标题 2 字符"/>
    <w:link w:val="4"/>
    <w:qFormat/>
    <w:uiPriority w:val="0"/>
    <w:rPr>
      <w:rFonts w:ascii="Arial" w:hAnsi="Arial" w:eastAsia="黑体"/>
      <w:b/>
      <w:bCs/>
      <w:sz w:val="32"/>
      <w:szCs w:val="32"/>
    </w:rPr>
  </w:style>
  <w:style w:type="character" w:customStyle="1" w:styleId="212">
    <w:name w:val="标题 3 字符"/>
    <w:link w:val="5"/>
    <w:unhideWhenUsed/>
    <w:qFormat/>
    <w:uiPriority w:val="99"/>
    <w:rPr>
      <w:rFonts w:hint="default" w:hAnsi="黑体" w:eastAsia="黑体"/>
      <w:sz w:val="24"/>
    </w:rPr>
  </w:style>
  <w:style w:type="character" w:customStyle="1" w:styleId="213">
    <w:name w:val="标题 4 字符"/>
    <w:link w:val="6"/>
    <w:unhideWhenUsed/>
    <w:qFormat/>
    <w:uiPriority w:val="99"/>
    <w:rPr>
      <w:rFonts w:hint="eastAsia" w:ascii="Cambria" w:hAnsi="Cambria" w:eastAsia="宋体"/>
      <w:b/>
      <w:sz w:val="28"/>
    </w:rPr>
  </w:style>
  <w:style w:type="character" w:customStyle="1" w:styleId="214">
    <w:name w:val="标题 5 字符"/>
    <w:link w:val="7"/>
    <w:qFormat/>
    <w:uiPriority w:val="0"/>
    <w:rPr>
      <w:b/>
      <w:bCs/>
      <w:sz w:val="28"/>
      <w:szCs w:val="28"/>
    </w:rPr>
  </w:style>
  <w:style w:type="character" w:customStyle="1" w:styleId="215">
    <w:name w:val="标题 6 字符"/>
    <w:link w:val="8"/>
    <w:qFormat/>
    <w:uiPriority w:val="0"/>
    <w:rPr>
      <w:rFonts w:ascii="Arial" w:hAnsi="Arial" w:eastAsia="黑体"/>
      <w:b/>
      <w:bCs/>
      <w:sz w:val="24"/>
      <w:szCs w:val="24"/>
    </w:rPr>
  </w:style>
  <w:style w:type="character" w:customStyle="1" w:styleId="216">
    <w:name w:val="标题 7 字符"/>
    <w:link w:val="9"/>
    <w:qFormat/>
    <w:uiPriority w:val="0"/>
    <w:rPr>
      <w:b/>
      <w:bCs/>
      <w:sz w:val="24"/>
      <w:szCs w:val="24"/>
    </w:rPr>
  </w:style>
  <w:style w:type="character" w:customStyle="1" w:styleId="217">
    <w:name w:val="标题 8 字符"/>
    <w:link w:val="10"/>
    <w:qFormat/>
    <w:uiPriority w:val="0"/>
    <w:rPr>
      <w:rFonts w:ascii="Arial" w:hAnsi="Arial" w:eastAsia="黑体"/>
      <w:sz w:val="24"/>
      <w:szCs w:val="24"/>
    </w:rPr>
  </w:style>
  <w:style w:type="character" w:customStyle="1" w:styleId="218">
    <w:name w:val="标题 9 字符"/>
    <w:link w:val="11"/>
    <w:qFormat/>
    <w:uiPriority w:val="0"/>
    <w:rPr>
      <w:rFonts w:ascii="Arial" w:hAnsi="Arial" w:eastAsia="黑体"/>
      <w:sz w:val="21"/>
      <w:szCs w:val="21"/>
    </w:rPr>
  </w:style>
  <w:style w:type="character" w:customStyle="1" w:styleId="219">
    <w:name w:val="正文缩进 字符"/>
    <w:link w:val="14"/>
    <w:qFormat/>
    <w:uiPriority w:val="0"/>
    <w:rPr>
      <w:b/>
      <w:sz w:val="24"/>
    </w:rPr>
  </w:style>
  <w:style w:type="character" w:customStyle="1" w:styleId="220">
    <w:name w:val="文档结构图 字符"/>
    <w:link w:val="16"/>
    <w:qFormat/>
    <w:uiPriority w:val="0"/>
    <w:rPr>
      <w:sz w:val="21"/>
      <w:szCs w:val="24"/>
      <w:shd w:val="clear" w:color="auto" w:fill="000080"/>
    </w:rPr>
  </w:style>
  <w:style w:type="character" w:customStyle="1" w:styleId="221">
    <w:name w:val="批注文字 字符"/>
    <w:link w:val="17"/>
    <w:semiHidden/>
    <w:qFormat/>
    <w:uiPriority w:val="99"/>
    <w:rPr>
      <w:sz w:val="21"/>
    </w:rPr>
  </w:style>
  <w:style w:type="character" w:customStyle="1" w:styleId="222">
    <w:name w:val="正文文本 3 字符"/>
    <w:link w:val="18"/>
    <w:qFormat/>
    <w:uiPriority w:val="0"/>
    <w:rPr>
      <w:rFonts w:ascii="宋体"/>
      <w:sz w:val="24"/>
    </w:rPr>
  </w:style>
  <w:style w:type="character" w:customStyle="1" w:styleId="223">
    <w:name w:val="正文文本 字符"/>
    <w:link w:val="19"/>
    <w:qFormat/>
    <w:uiPriority w:val="0"/>
    <w:rPr>
      <w:sz w:val="21"/>
      <w:szCs w:val="24"/>
    </w:rPr>
  </w:style>
  <w:style w:type="character" w:customStyle="1" w:styleId="224">
    <w:name w:val="纯文本 字符"/>
    <w:link w:val="28"/>
    <w:qFormat/>
    <w:uiPriority w:val="99"/>
    <w:rPr>
      <w:rFonts w:ascii="宋体" w:hAnsi="Courier New"/>
      <w:sz w:val="28"/>
    </w:rPr>
  </w:style>
  <w:style w:type="character" w:customStyle="1" w:styleId="225">
    <w:name w:val="正文文本缩进 2 字符"/>
    <w:link w:val="31"/>
    <w:qFormat/>
    <w:uiPriority w:val="0"/>
    <w:rPr>
      <w:rFonts w:ascii="宋体"/>
      <w:sz w:val="21"/>
    </w:rPr>
  </w:style>
  <w:style w:type="character" w:customStyle="1" w:styleId="226">
    <w:name w:val="批注框文本 字符"/>
    <w:link w:val="33"/>
    <w:semiHidden/>
    <w:qFormat/>
    <w:uiPriority w:val="99"/>
    <w:rPr>
      <w:sz w:val="18"/>
      <w:szCs w:val="18"/>
    </w:rPr>
  </w:style>
  <w:style w:type="character" w:customStyle="1" w:styleId="227">
    <w:name w:val="页脚 字符"/>
    <w:link w:val="34"/>
    <w:unhideWhenUsed/>
    <w:qFormat/>
    <w:uiPriority w:val="99"/>
    <w:rPr>
      <w:rFonts w:hint="default" w:eastAsia="宋体"/>
      <w:sz w:val="18"/>
    </w:rPr>
  </w:style>
  <w:style w:type="character" w:customStyle="1" w:styleId="228">
    <w:name w:val="页眉 字符"/>
    <w:link w:val="35"/>
    <w:unhideWhenUsed/>
    <w:qFormat/>
    <w:uiPriority w:val="99"/>
    <w:rPr>
      <w:rFonts w:hint="default" w:eastAsia="宋体"/>
      <w:sz w:val="18"/>
      <w:lang w:val="en-US" w:eastAsia="zh-CN"/>
    </w:rPr>
  </w:style>
  <w:style w:type="character" w:customStyle="1" w:styleId="229">
    <w:name w:val="副标题 字符"/>
    <w:link w:val="38"/>
    <w:qFormat/>
    <w:uiPriority w:val="11"/>
    <w:rPr>
      <w:rFonts w:ascii="Cambria" w:hAnsi="Cambria" w:cs="Times New Roman"/>
      <w:b/>
      <w:bCs/>
      <w:sz w:val="32"/>
      <w:szCs w:val="32"/>
    </w:rPr>
  </w:style>
  <w:style w:type="character" w:customStyle="1" w:styleId="230">
    <w:name w:val="脚注文本 字符"/>
    <w:link w:val="40"/>
    <w:qFormat/>
    <w:uiPriority w:val="0"/>
  </w:style>
  <w:style w:type="character" w:customStyle="1" w:styleId="231">
    <w:name w:val="正文文本缩进 3 字符"/>
    <w:link w:val="42"/>
    <w:qFormat/>
    <w:uiPriority w:val="0"/>
    <w:rPr>
      <w:sz w:val="16"/>
      <w:szCs w:val="16"/>
    </w:rPr>
  </w:style>
  <w:style w:type="character" w:customStyle="1" w:styleId="232">
    <w:name w:val="正文文本 2 字符"/>
    <w:link w:val="46"/>
    <w:qFormat/>
    <w:uiPriority w:val="0"/>
    <w:rPr>
      <w:rFonts w:ascii="宋体" w:hAnsi="宋体"/>
      <w:color w:val="000000"/>
      <w:sz w:val="24"/>
      <w:szCs w:val="24"/>
    </w:rPr>
  </w:style>
  <w:style w:type="character" w:customStyle="1" w:styleId="233">
    <w:name w:val="标题 字符"/>
    <w:link w:val="49"/>
    <w:qFormat/>
    <w:uiPriority w:val="0"/>
    <w:rPr>
      <w:rFonts w:ascii="Arial" w:hAnsi="Arial"/>
      <w:b/>
      <w:sz w:val="32"/>
    </w:rPr>
  </w:style>
  <w:style w:type="character" w:customStyle="1" w:styleId="234">
    <w:name w:val="批注主题 字符"/>
    <w:link w:val="50"/>
    <w:qFormat/>
    <w:uiPriority w:val="0"/>
    <w:rPr>
      <w:b/>
      <w:bCs/>
      <w:sz w:val="21"/>
      <w:szCs w:val="24"/>
    </w:rPr>
  </w:style>
  <w:style w:type="paragraph" w:customStyle="1" w:styleId="235">
    <w:name w:val="一级条标题"/>
    <w:basedOn w:val="236"/>
    <w:next w:val="237"/>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36">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sz w:val="21"/>
      <w:szCs w:val="22"/>
      <w:lang w:val="en-US" w:eastAsia="zh-CN" w:bidi="ar-SA"/>
    </w:rPr>
  </w:style>
  <w:style w:type="paragraph" w:customStyle="1" w:styleId="237">
    <w:name w:val="段"/>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238">
    <w:name w:val="正文 A"/>
    <w:next w:val="237"/>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Arial Unicode MS"/>
      <w:color w:val="000000"/>
      <w:sz w:val="21"/>
      <w:szCs w:val="21"/>
      <w:lang w:val="en-US" w:eastAsia="zh-CN" w:bidi="ar-SA"/>
    </w:rPr>
  </w:style>
  <w:style w:type="character" w:customStyle="1" w:styleId="239">
    <w:name w:val="标题 3 Char"/>
    <w:qFormat/>
    <w:uiPriority w:val="0"/>
    <w:rPr>
      <w:rFonts w:ascii="黑体" w:hAnsi="宋体" w:eastAsia="黑体"/>
      <w:bCs/>
      <w:sz w:val="28"/>
      <w:szCs w:val="28"/>
    </w:rPr>
  </w:style>
  <w:style w:type="character" w:customStyle="1" w:styleId="240">
    <w:name w:val="font01"/>
    <w:basedOn w:val="55"/>
    <w:qFormat/>
    <w:uiPriority w:val="0"/>
    <w:rPr>
      <w:rFonts w:hint="eastAsia" w:ascii="宋体" w:hAnsi="宋体" w:eastAsia="宋体" w:cs="宋体"/>
      <w:color w:val="000000"/>
      <w:sz w:val="20"/>
      <w:szCs w:val="20"/>
      <w:u w:val="none"/>
    </w:rPr>
  </w:style>
  <w:style w:type="character" w:customStyle="1" w:styleId="241">
    <w:name w:val="_Style 91"/>
    <w:qFormat/>
    <w:uiPriority w:val="31"/>
    <w:rPr>
      <w:smallCaps/>
      <w:color w:val="C0504D"/>
      <w:u w:val="single"/>
    </w:rPr>
  </w:style>
  <w:style w:type="character" w:customStyle="1" w:styleId="242">
    <w:name w:val="标题 1 Char_1"/>
    <w:link w:val="243"/>
    <w:qFormat/>
    <w:uiPriority w:val="9"/>
    <w:rPr>
      <w:b/>
      <w:bCs/>
      <w:sz w:val="44"/>
      <w:szCs w:val="44"/>
    </w:rPr>
  </w:style>
  <w:style w:type="paragraph" w:customStyle="1" w:styleId="243">
    <w:name w:val="标题 1_1_0"/>
    <w:basedOn w:val="1"/>
    <w:next w:val="1"/>
    <w:link w:val="242"/>
    <w:qFormat/>
    <w:uiPriority w:val="9"/>
    <w:pPr>
      <w:keepNext/>
      <w:keepLines/>
      <w:spacing w:before="340" w:after="330" w:line="578" w:lineRule="auto"/>
      <w:outlineLvl w:val="0"/>
    </w:pPr>
    <w:rPr>
      <w:b/>
      <w:bCs/>
      <w:sz w:val="44"/>
      <w:szCs w:val="44"/>
    </w:rPr>
  </w:style>
  <w:style w:type="character" w:customStyle="1" w:styleId="244">
    <w:name w:val="正文文本 (4) + 5.5 pt"/>
    <w:qFormat/>
    <w:uiPriority w:val="0"/>
    <w:rPr>
      <w:b/>
      <w:bCs/>
      <w:spacing w:val="0"/>
      <w:sz w:val="11"/>
      <w:szCs w:val="11"/>
      <w:shd w:val="clear" w:color="auto" w:fill="FFFFFF"/>
      <w:lang w:eastAsia="en-US"/>
    </w:rPr>
  </w:style>
  <w:style w:type="character" w:customStyle="1" w:styleId="245">
    <w:name w:val="_Style 95"/>
    <w:qFormat/>
    <w:uiPriority w:val="21"/>
    <w:rPr>
      <w:b/>
      <w:bCs/>
      <w:i/>
      <w:iCs/>
      <w:color w:val="4F81BD"/>
    </w:rPr>
  </w:style>
  <w:style w:type="character" w:customStyle="1" w:styleId="246">
    <w:name w:val="正文文本 (3)_"/>
    <w:link w:val="247"/>
    <w:qFormat/>
    <w:uiPriority w:val="0"/>
    <w:rPr>
      <w:sz w:val="11"/>
      <w:szCs w:val="11"/>
      <w:shd w:val="clear" w:color="auto" w:fill="FFFFFF"/>
    </w:rPr>
  </w:style>
  <w:style w:type="paragraph" w:customStyle="1" w:styleId="247">
    <w:name w:val="正文文本 (3)"/>
    <w:basedOn w:val="1"/>
    <w:link w:val="246"/>
    <w:qFormat/>
    <w:uiPriority w:val="0"/>
    <w:pPr>
      <w:shd w:val="clear" w:color="auto" w:fill="FFFFFF"/>
      <w:spacing w:line="240" w:lineRule="atLeast"/>
    </w:pPr>
    <w:rPr>
      <w:sz w:val="11"/>
      <w:szCs w:val="11"/>
    </w:rPr>
  </w:style>
  <w:style w:type="character" w:customStyle="1" w:styleId="248">
    <w:name w:val="样式 Char"/>
    <w:link w:val="249"/>
    <w:qFormat/>
    <w:uiPriority w:val="0"/>
    <w:rPr>
      <w:rFonts w:ascii="宋体" w:hAnsi="宋体" w:cs="宋体"/>
      <w:sz w:val="24"/>
      <w:szCs w:val="24"/>
      <w:lang w:val="en-US" w:eastAsia="zh-CN" w:bidi="ar-SA"/>
    </w:rPr>
  </w:style>
  <w:style w:type="paragraph" w:customStyle="1" w:styleId="249">
    <w:name w:val="样式"/>
    <w:link w:val="248"/>
    <w:qFormat/>
    <w:uiPriority w:val="0"/>
    <w:pPr>
      <w:widowControl w:val="0"/>
    </w:pPr>
    <w:rPr>
      <w:rFonts w:ascii="宋体" w:hAnsi="宋体" w:eastAsia="宋体" w:cs="宋体"/>
      <w:sz w:val="24"/>
      <w:szCs w:val="24"/>
      <w:lang w:val="en-US" w:eastAsia="zh-CN" w:bidi="ar-SA"/>
    </w:rPr>
  </w:style>
  <w:style w:type="character" w:customStyle="1" w:styleId="250">
    <w:name w:val="Char Char7"/>
    <w:qFormat/>
    <w:uiPriority w:val="0"/>
    <w:rPr>
      <w:rFonts w:ascii="Arial" w:hAnsi="Arial" w:eastAsia="黑体"/>
      <w:b/>
      <w:bCs/>
      <w:sz w:val="32"/>
      <w:szCs w:val="32"/>
      <w:lang w:val="en-US" w:eastAsia="zh-CN" w:bidi="ar-SA"/>
    </w:rPr>
  </w:style>
  <w:style w:type="character" w:customStyle="1" w:styleId="251">
    <w:name w:val="无间隔 字符"/>
    <w:link w:val="252"/>
    <w:qFormat/>
    <w:uiPriority w:val="1"/>
    <w:rPr>
      <w:sz w:val="21"/>
      <w:szCs w:val="24"/>
      <w:lang w:val="en-US" w:eastAsia="zh-CN" w:bidi="ar-SA"/>
    </w:rPr>
  </w:style>
  <w:style w:type="paragraph" w:styleId="252">
    <w:name w:val="No Spacing"/>
    <w:link w:val="251"/>
    <w:qFormat/>
    <w:uiPriority w:val="1"/>
    <w:pPr>
      <w:widowControl w:val="0"/>
      <w:jc w:val="both"/>
    </w:pPr>
    <w:rPr>
      <w:rFonts w:ascii="Times New Roman" w:hAnsi="Times New Roman" w:eastAsia="宋体" w:cs="Times New Roman"/>
      <w:sz w:val="21"/>
      <w:szCs w:val="24"/>
      <w:lang w:val="en-US" w:eastAsia="zh-CN" w:bidi="ar-SA"/>
    </w:rPr>
  </w:style>
  <w:style w:type="character" w:customStyle="1" w:styleId="253">
    <w:name w:val="页眉 Char"/>
    <w:qFormat/>
    <w:uiPriority w:val="0"/>
    <w:rPr>
      <w:sz w:val="18"/>
    </w:rPr>
  </w:style>
  <w:style w:type="character" w:customStyle="1" w:styleId="254">
    <w:name w:val="_Style 104"/>
    <w:qFormat/>
    <w:uiPriority w:val="32"/>
    <w:rPr>
      <w:b/>
      <w:bCs/>
      <w:smallCaps/>
      <w:color w:val="C0504D"/>
      <w:spacing w:val="5"/>
      <w:u w:val="single"/>
    </w:rPr>
  </w:style>
  <w:style w:type="character" w:customStyle="1" w:styleId="255">
    <w:name w:val="font91"/>
    <w:basedOn w:val="55"/>
    <w:qFormat/>
    <w:uiPriority w:val="0"/>
    <w:rPr>
      <w:rFonts w:hint="eastAsia" w:ascii="宋体" w:hAnsi="宋体" w:eastAsia="宋体" w:cs="宋体"/>
      <w:b/>
      <w:bCs/>
      <w:color w:val="000000"/>
      <w:sz w:val="24"/>
      <w:szCs w:val="24"/>
      <w:u w:val="none"/>
    </w:rPr>
  </w:style>
  <w:style w:type="character" w:customStyle="1" w:styleId="256">
    <w:name w:val="正文文本 (3) + 10 pt"/>
    <w:qFormat/>
    <w:uiPriority w:val="0"/>
    <w:rPr>
      <w:rFonts w:ascii="Times New Roman" w:hAnsi="Times New Roman"/>
      <w:sz w:val="20"/>
      <w:szCs w:val="20"/>
      <w:shd w:val="clear" w:color="auto" w:fill="FFFFFF"/>
    </w:rPr>
  </w:style>
  <w:style w:type="character" w:customStyle="1" w:styleId="257">
    <w:name w:val="font31"/>
    <w:basedOn w:val="55"/>
    <w:qFormat/>
    <w:uiPriority w:val="0"/>
    <w:rPr>
      <w:rFonts w:hint="eastAsia" w:ascii="宋体" w:hAnsi="宋体" w:eastAsia="宋体" w:cs="宋体"/>
      <w:b/>
      <w:bCs/>
      <w:color w:val="000000"/>
      <w:sz w:val="20"/>
      <w:szCs w:val="20"/>
      <w:u w:val="none"/>
    </w:rPr>
  </w:style>
  <w:style w:type="character" w:customStyle="1" w:styleId="258">
    <w:name w:val="font21"/>
    <w:basedOn w:val="55"/>
    <w:qFormat/>
    <w:uiPriority w:val="0"/>
    <w:rPr>
      <w:rFonts w:ascii="Arial" w:hAnsi="Arial" w:cs="Arial"/>
      <w:color w:val="000000"/>
      <w:sz w:val="20"/>
      <w:szCs w:val="20"/>
      <w:u w:val="none"/>
    </w:rPr>
  </w:style>
  <w:style w:type="character" w:customStyle="1" w:styleId="259">
    <w:name w:val="ca-3"/>
    <w:basedOn w:val="55"/>
    <w:qFormat/>
    <w:uiPriority w:val="0"/>
  </w:style>
  <w:style w:type="character" w:customStyle="1" w:styleId="260">
    <w:name w:val="明显引用 字符"/>
    <w:link w:val="261"/>
    <w:qFormat/>
    <w:uiPriority w:val="30"/>
    <w:rPr>
      <w:b/>
      <w:bCs/>
      <w:i/>
      <w:iCs/>
      <w:color w:val="4F81BD"/>
      <w:sz w:val="21"/>
      <w:szCs w:val="24"/>
    </w:rPr>
  </w:style>
  <w:style w:type="paragraph" w:styleId="261">
    <w:name w:val="Intense Quote"/>
    <w:basedOn w:val="1"/>
    <w:next w:val="1"/>
    <w:link w:val="260"/>
    <w:qFormat/>
    <w:uiPriority w:val="30"/>
    <w:pPr>
      <w:pBdr>
        <w:bottom w:val="single" w:color="4F81BD" w:sz="4" w:space="4"/>
      </w:pBdr>
      <w:spacing w:before="200" w:after="280"/>
      <w:ind w:left="936" w:right="936"/>
    </w:pPr>
    <w:rPr>
      <w:b/>
      <w:bCs/>
      <w:i/>
      <w:iCs/>
      <w:color w:val="4F81BD"/>
    </w:rPr>
  </w:style>
  <w:style w:type="character" w:customStyle="1" w:styleId="262">
    <w:name w:val="Char Char"/>
    <w:qFormat/>
    <w:uiPriority w:val="0"/>
    <w:rPr>
      <w:rFonts w:ascii="Arial" w:hAnsi="Arial" w:eastAsia="黑体"/>
      <w:b/>
      <w:bCs/>
      <w:sz w:val="32"/>
      <w:szCs w:val="32"/>
      <w:lang w:val="en-US" w:eastAsia="zh-CN" w:bidi="ar-SA"/>
    </w:rPr>
  </w:style>
  <w:style w:type="character" w:customStyle="1" w:styleId="263">
    <w:name w:val="引用 字符"/>
    <w:link w:val="264"/>
    <w:qFormat/>
    <w:uiPriority w:val="29"/>
    <w:rPr>
      <w:i/>
      <w:iCs/>
      <w:color w:val="000000"/>
      <w:sz w:val="21"/>
      <w:szCs w:val="24"/>
    </w:rPr>
  </w:style>
  <w:style w:type="paragraph" w:styleId="264">
    <w:name w:val="Quote"/>
    <w:basedOn w:val="1"/>
    <w:next w:val="1"/>
    <w:link w:val="263"/>
    <w:qFormat/>
    <w:uiPriority w:val="29"/>
    <w:rPr>
      <w:i/>
      <w:iCs/>
      <w:color w:val="000000"/>
    </w:rPr>
  </w:style>
  <w:style w:type="character" w:customStyle="1" w:styleId="265">
    <w:name w:val="批注文字 Char"/>
    <w:qFormat/>
    <w:uiPriority w:val="0"/>
    <w:rPr>
      <w:rFonts w:eastAsia="宋体"/>
      <w:sz w:val="21"/>
      <w:szCs w:val="24"/>
      <w:lang w:val="en-US" w:eastAsia="zh-CN" w:bidi="ar-SA"/>
    </w:rPr>
  </w:style>
  <w:style w:type="character" w:customStyle="1" w:styleId="266">
    <w:name w:val="_Style 116"/>
    <w:qFormat/>
    <w:uiPriority w:val="33"/>
    <w:rPr>
      <w:b/>
      <w:bCs/>
      <w:smallCaps/>
      <w:spacing w:val="5"/>
    </w:rPr>
  </w:style>
  <w:style w:type="character" w:customStyle="1" w:styleId="267">
    <w:name w:val="正文文本 (2) + 9 pt1"/>
    <w:qFormat/>
    <w:uiPriority w:val="0"/>
    <w:rPr>
      <w:rFonts w:ascii="Times New Roman" w:hAnsi="Times New Roman" w:cs="Times New Roman"/>
      <w:b/>
      <w:bCs/>
      <w:spacing w:val="-20"/>
      <w:sz w:val="18"/>
      <w:szCs w:val="18"/>
      <w:u w:val="none"/>
      <w:shd w:val="clear" w:color="auto" w:fill="FFFFFF"/>
      <w:lang w:val="en-US" w:eastAsia="en-US"/>
    </w:rPr>
  </w:style>
  <w:style w:type="character" w:customStyle="1" w:styleId="268">
    <w:name w:val="标题 4 Char"/>
    <w:qFormat/>
    <w:uiPriority w:val="0"/>
    <w:rPr>
      <w:rFonts w:ascii="Arial" w:hAnsi="Arial" w:eastAsia="黑体"/>
      <w:b/>
      <w:bCs/>
      <w:sz w:val="28"/>
      <w:szCs w:val="28"/>
    </w:rPr>
  </w:style>
  <w:style w:type="character" w:customStyle="1" w:styleId="269">
    <w:name w:val="font61"/>
    <w:basedOn w:val="55"/>
    <w:qFormat/>
    <w:uiPriority w:val="0"/>
    <w:rPr>
      <w:rFonts w:ascii="Arial" w:hAnsi="Arial" w:cs="Arial"/>
      <w:color w:val="000000"/>
      <w:sz w:val="20"/>
      <w:szCs w:val="20"/>
      <w:u w:val="none"/>
    </w:rPr>
  </w:style>
  <w:style w:type="character" w:customStyle="1" w:styleId="270">
    <w:name w:val="Char Char8"/>
    <w:qFormat/>
    <w:uiPriority w:val="0"/>
    <w:rPr>
      <w:rFonts w:ascii="Arial" w:hAnsi="Arial" w:eastAsia="黑体"/>
      <w:b/>
      <w:bCs/>
      <w:sz w:val="32"/>
      <w:szCs w:val="32"/>
      <w:lang w:val="en-US" w:eastAsia="zh-CN" w:bidi="ar-SA"/>
    </w:rPr>
  </w:style>
  <w:style w:type="character" w:customStyle="1" w:styleId="271">
    <w:name w:val="正文文本 (3) + 9 pt"/>
    <w:qFormat/>
    <w:uiPriority w:val="0"/>
    <w:rPr>
      <w:rFonts w:ascii="Times New Roman" w:hAnsi="Times New Roman"/>
      <w:b/>
      <w:bCs/>
      <w:spacing w:val="20"/>
      <w:sz w:val="18"/>
      <w:szCs w:val="18"/>
      <w:shd w:val="clear" w:color="auto" w:fill="FFFFFF"/>
      <w:lang w:val="en-US" w:eastAsia="en-US"/>
    </w:rPr>
  </w:style>
  <w:style w:type="character" w:customStyle="1" w:styleId="272">
    <w:name w:val="font51"/>
    <w:basedOn w:val="55"/>
    <w:qFormat/>
    <w:uiPriority w:val="0"/>
    <w:rPr>
      <w:rFonts w:hint="eastAsia" w:ascii="宋体" w:hAnsi="宋体" w:eastAsia="宋体" w:cs="宋体"/>
      <w:b/>
      <w:bCs/>
      <w:color w:val="000000"/>
      <w:sz w:val="20"/>
      <w:szCs w:val="20"/>
      <w:u w:val="none"/>
    </w:rPr>
  </w:style>
  <w:style w:type="character" w:customStyle="1" w:styleId="273">
    <w:name w:val="Char Char2"/>
    <w:qFormat/>
    <w:uiPriority w:val="0"/>
    <w:rPr>
      <w:rFonts w:eastAsia="宋体"/>
      <w:sz w:val="21"/>
      <w:szCs w:val="24"/>
      <w:lang w:val="en-US" w:eastAsia="zh-CN" w:bidi="ar-SA"/>
    </w:rPr>
  </w:style>
  <w:style w:type="character" w:customStyle="1" w:styleId="274">
    <w:name w:val="正文文本 (4)_"/>
    <w:link w:val="275"/>
    <w:qFormat/>
    <w:uiPriority w:val="0"/>
    <w:rPr>
      <w:b/>
      <w:bCs/>
      <w:spacing w:val="20"/>
      <w:sz w:val="18"/>
      <w:szCs w:val="18"/>
      <w:shd w:val="clear" w:color="auto" w:fill="FFFFFF"/>
      <w:lang w:eastAsia="en-US"/>
    </w:rPr>
  </w:style>
  <w:style w:type="paragraph" w:customStyle="1" w:styleId="275">
    <w:name w:val="正文文本 (4)"/>
    <w:basedOn w:val="1"/>
    <w:link w:val="274"/>
    <w:qFormat/>
    <w:uiPriority w:val="0"/>
    <w:pPr>
      <w:shd w:val="clear" w:color="auto" w:fill="FFFFFF"/>
      <w:spacing w:line="240" w:lineRule="atLeast"/>
      <w:jc w:val="center"/>
    </w:pPr>
    <w:rPr>
      <w:b/>
      <w:bCs/>
      <w:spacing w:val="20"/>
      <w:sz w:val="18"/>
      <w:szCs w:val="18"/>
      <w:lang w:eastAsia="en-US"/>
    </w:rPr>
  </w:style>
  <w:style w:type="character" w:customStyle="1" w:styleId="276">
    <w:name w:val="Char Char14"/>
    <w:qFormat/>
    <w:uiPriority w:val="0"/>
    <w:rPr>
      <w:rFonts w:ascii="宋体" w:hAnsi="Courier New" w:eastAsia="楷体_GB2312"/>
      <w:sz w:val="28"/>
      <w:lang w:val="en-US" w:eastAsia="zh-CN" w:bidi="ar-SA"/>
    </w:rPr>
  </w:style>
  <w:style w:type="character" w:customStyle="1" w:styleId="277">
    <w:name w:val="_Style 127"/>
    <w:qFormat/>
    <w:uiPriority w:val="19"/>
    <w:rPr>
      <w:i/>
      <w:iCs/>
      <w:color w:val="808080"/>
    </w:rPr>
  </w:style>
  <w:style w:type="character" w:customStyle="1" w:styleId="278">
    <w:name w:val="页脚 Char"/>
    <w:qFormat/>
    <w:uiPriority w:val="0"/>
    <w:rPr>
      <w:sz w:val="18"/>
    </w:rPr>
  </w:style>
  <w:style w:type="character" w:customStyle="1" w:styleId="279">
    <w:name w:val="font161"/>
    <w:qFormat/>
    <w:uiPriority w:val="0"/>
    <w:rPr>
      <w:b/>
      <w:bCs/>
      <w:sz w:val="32"/>
      <w:szCs w:val="32"/>
    </w:rPr>
  </w:style>
  <w:style w:type="character" w:customStyle="1" w:styleId="280">
    <w:name w:val="正文文本 (2) + 9 pt"/>
    <w:qFormat/>
    <w:uiPriority w:val="0"/>
    <w:rPr>
      <w:rFonts w:ascii="Times New Roman" w:hAnsi="Times New Roman"/>
      <w:b/>
      <w:bCs/>
      <w:spacing w:val="20"/>
      <w:sz w:val="18"/>
      <w:szCs w:val="18"/>
      <w:shd w:val="clear" w:color="auto" w:fill="FFFFFF"/>
      <w:lang w:val="en-US" w:eastAsia="en-US"/>
    </w:rPr>
  </w:style>
  <w:style w:type="character" w:customStyle="1" w:styleId="281">
    <w:name w:val="正文文本 (2)_"/>
    <w:link w:val="282"/>
    <w:qFormat/>
    <w:uiPriority w:val="0"/>
    <w:rPr>
      <w:sz w:val="11"/>
      <w:szCs w:val="11"/>
      <w:shd w:val="clear" w:color="auto" w:fill="FFFFFF"/>
    </w:rPr>
  </w:style>
  <w:style w:type="paragraph" w:customStyle="1" w:styleId="282">
    <w:name w:val="正文文本 (2)"/>
    <w:basedOn w:val="1"/>
    <w:link w:val="281"/>
    <w:qFormat/>
    <w:uiPriority w:val="0"/>
    <w:pPr>
      <w:shd w:val="clear" w:color="auto" w:fill="FFFFFF"/>
      <w:spacing w:line="308" w:lineRule="exact"/>
      <w:jc w:val="center"/>
    </w:pPr>
    <w:rPr>
      <w:sz w:val="11"/>
      <w:szCs w:val="11"/>
    </w:rPr>
  </w:style>
  <w:style w:type="character" w:customStyle="1" w:styleId="283">
    <w:name w:val="font71"/>
    <w:basedOn w:val="55"/>
    <w:qFormat/>
    <w:uiPriority w:val="0"/>
    <w:rPr>
      <w:rFonts w:hint="eastAsia" w:ascii="宋体" w:hAnsi="宋体" w:eastAsia="宋体" w:cs="宋体"/>
      <w:color w:val="000000"/>
      <w:sz w:val="24"/>
      <w:szCs w:val="24"/>
      <w:u w:val="none"/>
    </w:rPr>
  </w:style>
  <w:style w:type="paragraph" w:customStyle="1" w:styleId="284">
    <w:name w:val="Blockquote"/>
    <w:basedOn w:val="1"/>
    <w:qFormat/>
    <w:uiPriority w:val="0"/>
    <w:pPr>
      <w:spacing w:before="100" w:after="100"/>
      <w:ind w:left="360" w:right="360"/>
      <w:jc w:val="left"/>
    </w:pPr>
    <w:rPr>
      <w:sz w:val="24"/>
      <w:szCs w:val="20"/>
    </w:rPr>
  </w:style>
  <w:style w:type="paragraph" w:customStyle="1" w:styleId="285">
    <w:name w:val="正文2"/>
    <w:basedOn w:val="1"/>
    <w:qFormat/>
    <w:uiPriority w:val="0"/>
    <w:pPr>
      <w:widowControl/>
      <w:jc w:val="left"/>
    </w:pPr>
    <w:rPr>
      <w:sz w:val="24"/>
      <w:szCs w:val="20"/>
    </w:rPr>
  </w:style>
  <w:style w:type="paragraph" w:customStyle="1" w:styleId="286">
    <w:name w:val="正文_1"/>
    <w:qFormat/>
    <w:uiPriority w:val="0"/>
    <w:pPr>
      <w:widowControl w:val="0"/>
      <w:jc w:val="both"/>
    </w:pPr>
    <w:rPr>
      <w:rFonts w:ascii="Calibri" w:hAnsi="Calibri" w:eastAsia="宋体" w:cs="Times New Roman"/>
      <w:sz w:val="21"/>
      <w:szCs w:val="22"/>
      <w:lang w:val="en-US" w:eastAsia="zh-CN" w:bidi="ar-SA"/>
    </w:rPr>
  </w:style>
  <w:style w:type="paragraph" w:customStyle="1" w:styleId="287">
    <w:name w:val="pa-5"/>
    <w:basedOn w:val="1"/>
    <w:qFormat/>
    <w:uiPriority w:val="0"/>
    <w:pPr>
      <w:widowControl/>
      <w:spacing w:before="100" w:beforeAutospacing="1" w:after="100" w:afterAutospacing="1"/>
      <w:jc w:val="left"/>
    </w:pPr>
    <w:rPr>
      <w:rFonts w:ascii="宋体" w:hAnsi="宋体" w:cs="宋体"/>
      <w:sz w:val="24"/>
    </w:rPr>
  </w:style>
  <w:style w:type="paragraph" w:customStyle="1" w:styleId="288">
    <w:name w:val="Char Char5"/>
    <w:basedOn w:val="16"/>
    <w:qFormat/>
    <w:uiPriority w:val="0"/>
    <w:pPr>
      <w:spacing w:line="436" w:lineRule="exact"/>
      <w:ind w:left="357"/>
      <w:jc w:val="left"/>
      <w:outlineLvl w:val="3"/>
    </w:pPr>
    <w:rPr>
      <w:color w:val="000000"/>
      <w:szCs w:val="20"/>
    </w:rPr>
  </w:style>
  <w:style w:type="paragraph" w:customStyle="1" w:styleId="289">
    <w:name w:val="样式 标题 3 + (中文) 黑体 小四 非加粗 段前: 7.8 磅 段后: 0 磅 行距: 固定值 20 磅"/>
    <w:basedOn w:val="5"/>
    <w:qFormat/>
    <w:uiPriority w:val="0"/>
    <w:pPr>
      <w:spacing w:before="0" w:after="0" w:line="400" w:lineRule="exact"/>
    </w:pPr>
    <w:rPr>
      <w:rFonts w:cs="宋体"/>
      <w:b/>
      <w:bCs/>
    </w:rPr>
  </w:style>
  <w:style w:type="paragraph" w:customStyle="1" w:styleId="290">
    <w:name w:val="标题 2 + 黑色 行距: 1.5 倍行距"/>
    <w:basedOn w:val="4"/>
    <w:qFormat/>
    <w:uiPriority w:val="0"/>
    <w:pPr>
      <w:spacing w:line="360" w:lineRule="auto"/>
    </w:pPr>
    <w:rPr>
      <w:rFonts w:eastAsia="宋体" w:cs="宋体"/>
      <w:color w:val="000000"/>
      <w:szCs w:val="20"/>
    </w:rPr>
  </w:style>
  <w:style w:type="paragraph" w:customStyle="1" w:styleId="291">
    <w:name w:val="6'"/>
    <w:basedOn w:val="1"/>
    <w:qFormat/>
    <w:uiPriority w:val="0"/>
    <w:pPr>
      <w:spacing w:line="320" w:lineRule="exact"/>
      <w:jc w:val="center"/>
    </w:pPr>
    <w:rPr>
      <w:spacing w:val="20"/>
    </w:rPr>
  </w:style>
  <w:style w:type="paragraph" w:styleId="292">
    <w:name w:val="List Paragraph"/>
    <w:basedOn w:val="1"/>
    <w:qFormat/>
    <w:uiPriority w:val="0"/>
    <w:pPr>
      <w:ind w:firstLine="420"/>
    </w:pPr>
  </w:style>
  <w:style w:type="paragraph" w:customStyle="1" w:styleId="293">
    <w:name w:val="p1"/>
    <w:basedOn w:val="1"/>
    <w:qFormat/>
    <w:uiPriority w:val="0"/>
    <w:pPr>
      <w:spacing w:line="380" w:lineRule="atLeast"/>
      <w:jc w:val="left"/>
    </w:pPr>
    <w:rPr>
      <w:rFonts w:ascii="helvetica neue" w:hAnsi="helvetica neue" w:eastAsia="helvetica neue"/>
      <w:color w:val="000000"/>
      <w:sz w:val="26"/>
      <w:szCs w:val="26"/>
    </w:rPr>
  </w:style>
  <w:style w:type="paragraph" w:customStyle="1" w:styleId="294">
    <w:name w:val="p0"/>
    <w:basedOn w:val="1"/>
    <w:qFormat/>
    <w:uiPriority w:val="0"/>
    <w:pPr>
      <w:widowControl/>
      <w:spacing w:line="360" w:lineRule="atLeast"/>
    </w:pPr>
    <w:rPr>
      <w:rFonts w:eastAsia="Times New Roman"/>
      <w:szCs w:val="21"/>
    </w:rPr>
  </w:style>
  <w:style w:type="paragraph" w:customStyle="1" w:styleId="295">
    <w:name w:val="默认段落字体 Para Char Char Char Char Char Char Char Char Char1 Char Char Char Char Char Char Char"/>
    <w:basedOn w:val="16"/>
    <w:qFormat/>
    <w:uiPriority w:val="0"/>
    <w:rPr>
      <w:rFonts w:ascii="Tahoma" w:hAnsi="Tahoma"/>
      <w:sz w:val="24"/>
    </w:rPr>
  </w:style>
  <w:style w:type="paragraph" w:customStyle="1" w:styleId="296">
    <w:name w:val="pa-2"/>
    <w:basedOn w:val="1"/>
    <w:qFormat/>
    <w:uiPriority w:val="0"/>
    <w:pPr>
      <w:widowControl/>
      <w:spacing w:before="100" w:beforeAutospacing="1" w:after="100" w:afterAutospacing="1"/>
      <w:jc w:val="left"/>
    </w:pPr>
    <w:rPr>
      <w:rFonts w:ascii="宋体" w:hAnsi="宋体" w:cs="宋体"/>
      <w:sz w:val="24"/>
    </w:rPr>
  </w:style>
  <w:style w:type="paragraph" w:customStyle="1" w:styleId="297">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298">
    <w:name w:val="正文_2"/>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9">
    <w:name w:val="Char Char2 Char Char"/>
    <w:basedOn w:val="16"/>
    <w:unhideWhenUsed/>
    <w:qFormat/>
    <w:uiPriority w:val="99"/>
    <w:rPr>
      <w:rFonts w:hint="eastAsia" w:ascii="Tahoma" w:hAnsi="Tahoma"/>
      <w:sz w:val="24"/>
    </w:rPr>
  </w:style>
  <w:style w:type="paragraph" w:customStyle="1" w:styleId="300">
    <w:name w:val="列出段落1"/>
    <w:basedOn w:val="1"/>
    <w:qFormat/>
    <w:uiPriority w:val="0"/>
    <w:pPr>
      <w:ind w:firstLine="420"/>
    </w:pPr>
    <w:rPr>
      <w:rFonts w:ascii="Calibri" w:hAnsi="Calibri"/>
      <w:szCs w:val="22"/>
    </w:rPr>
  </w:style>
  <w:style w:type="paragraph" w:customStyle="1" w:styleId="301">
    <w:name w:val="样式4"/>
    <w:basedOn w:val="5"/>
    <w:qFormat/>
    <w:uiPriority w:val="0"/>
    <w:rPr>
      <w:rFonts w:eastAsia="Arial"/>
    </w:rPr>
  </w:style>
  <w:style w:type="paragraph" w:customStyle="1" w:styleId="302">
    <w:name w:val="_Style 153"/>
    <w:basedOn w:val="3"/>
    <w:next w:val="1"/>
    <w:qFormat/>
    <w:uiPriority w:val="39"/>
    <w:pPr>
      <w:spacing w:line="578" w:lineRule="auto"/>
      <w:outlineLvl w:val="9"/>
    </w:pPr>
  </w:style>
  <w:style w:type="paragraph" w:customStyle="1" w:styleId="303">
    <w:name w:val="1"/>
    <w:basedOn w:val="1"/>
    <w:next w:val="1"/>
    <w:qFormat/>
    <w:uiPriority w:val="0"/>
  </w:style>
  <w:style w:type="paragraph" w:customStyle="1" w:styleId="304">
    <w:name w:val="样式3"/>
    <w:basedOn w:val="5"/>
    <w:qFormat/>
    <w:uiPriority w:val="0"/>
    <w:rPr>
      <w:rFonts w:eastAsia="Arial"/>
    </w:rPr>
  </w:style>
  <w:style w:type="paragraph" w:customStyle="1" w:styleId="305">
    <w:name w:val="表格"/>
    <w:basedOn w:val="1"/>
    <w:qFormat/>
    <w:uiPriority w:val="0"/>
    <w:pPr>
      <w:jc w:val="center"/>
    </w:pPr>
    <w:rPr>
      <w:rFonts w:ascii="华文细黑" w:hAnsi="华文细黑"/>
    </w:rPr>
  </w:style>
  <w:style w:type="paragraph" w:customStyle="1" w:styleId="306">
    <w:name w:val="样式2"/>
    <w:basedOn w:val="5"/>
    <w:qFormat/>
    <w:uiPriority w:val="0"/>
  </w:style>
  <w:style w:type="paragraph" w:customStyle="1" w:styleId="307">
    <w:name w:val="f1"/>
    <w:basedOn w:val="1"/>
    <w:qFormat/>
    <w:uiPriority w:val="0"/>
    <w:pPr>
      <w:widowControl/>
      <w:spacing w:before="100" w:beforeAutospacing="1" w:after="100" w:afterAutospacing="1"/>
      <w:jc w:val="center"/>
    </w:pPr>
    <w:rPr>
      <w:rFonts w:ascii="Helvetica" w:hAnsi="Helvetica" w:cs="Helvetica"/>
      <w:b/>
      <w:bCs/>
      <w:color w:val="FF8080"/>
      <w:spacing w:val="160"/>
      <w:sz w:val="80"/>
      <w:szCs w:val="80"/>
    </w:rPr>
  </w:style>
  <w:style w:type="paragraph" w:customStyle="1" w:styleId="308">
    <w:name w:val="正文文本缩进1"/>
    <w:basedOn w:val="1"/>
    <w:qFormat/>
    <w:uiPriority w:val="0"/>
    <w:pPr>
      <w:spacing w:line="360" w:lineRule="auto"/>
      <w:ind w:firstLine="420"/>
    </w:pPr>
    <w:rPr>
      <w:rFonts w:ascii="宋体"/>
      <w:sz w:val="24"/>
    </w:rPr>
  </w:style>
  <w:style w:type="paragraph" w:customStyle="1" w:styleId="309">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310">
    <w:name w:val="Char"/>
    <w:basedOn w:val="1"/>
    <w:qFormat/>
    <w:uiPriority w:val="0"/>
  </w:style>
  <w:style w:type="paragraph" w:customStyle="1" w:styleId="311">
    <w:name w:val="注"/>
    <w:basedOn w:val="1"/>
    <w:qFormat/>
    <w:uiPriority w:val="0"/>
    <w:pPr>
      <w:spacing w:line="360" w:lineRule="atLeast"/>
      <w:ind w:left="840" w:hanging="420"/>
    </w:pPr>
    <w:rPr>
      <w:szCs w:val="20"/>
    </w:rPr>
  </w:style>
  <w:style w:type="paragraph" w:customStyle="1" w:styleId="312">
    <w:name w:val="Char1"/>
    <w:basedOn w:val="1"/>
    <w:qFormat/>
    <w:uiPriority w:val="0"/>
    <w:pPr>
      <w:tabs>
        <w:tab w:val="left" w:pos="360"/>
      </w:tabs>
    </w:pPr>
    <w:rPr>
      <w:sz w:val="24"/>
    </w:rPr>
  </w:style>
  <w:style w:type="paragraph" w:customStyle="1" w:styleId="313">
    <w:name w:val="纯文本1"/>
    <w:basedOn w:val="1"/>
    <w:qFormat/>
    <w:uiPriority w:val="0"/>
    <w:rPr>
      <w:rFonts w:ascii="宋体" w:hAnsi="Courier New" w:eastAsia="楷体_GB2312"/>
      <w:sz w:val="26"/>
    </w:rPr>
  </w:style>
  <w:style w:type="paragraph" w:customStyle="1" w:styleId="314">
    <w:name w:val="纯文本2"/>
    <w:basedOn w:val="1"/>
    <w:qFormat/>
    <w:uiPriority w:val="0"/>
    <w:rPr>
      <w:rFonts w:ascii="宋体" w:hAnsi="Courier New"/>
      <w:sz w:val="28"/>
    </w:rPr>
  </w:style>
  <w:style w:type="paragraph" w:customStyle="1" w:styleId="315">
    <w:name w:val="正文段"/>
    <w:basedOn w:val="1"/>
    <w:qFormat/>
    <w:uiPriority w:val="0"/>
    <w:pPr>
      <w:widowControl/>
      <w:spacing w:after="156"/>
      <w:ind w:firstLine="200"/>
    </w:pPr>
    <w:rPr>
      <w:sz w:val="24"/>
      <w:szCs w:val="20"/>
    </w:rPr>
  </w:style>
  <w:style w:type="paragraph" w:customStyle="1" w:styleId="316">
    <w:name w:val="表内文字"/>
    <w:basedOn w:val="1"/>
    <w:qFormat/>
    <w:uiPriority w:val="0"/>
    <w:pPr>
      <w:tabs>
        <w:tab w:val="left" w:pos="1418"/>
      </w:tabs>
      <w:spacing w:line="360" w:lineRule="auto"/>
      <w:jc w:val="center"/>
    </w:pPr>
    <w:rPr>
      <w:rFonts w:ascii="仿宋_GB2312" w:eastAsia="仿宋_GB2312"/>
      <w:spacing w:val="-20"/>
      <w:sz w:val="24"/>
    </w:rPr>
  </w:style>
  <w:style w:type="paragraph" w:customStyle="1" w:styleId="317">
    <w:name w:val="样式 标题 2 + 黑色 行距: 1.5 倍行距"/>
    <w:basedOn w:val="4"/>
    <w:qFormat/>
    <w:uiPriority w:val="0"/>
    <w:pPr>
      <w:spacing w:line="360" w:lineRule="auto"/>
    </w:pPr>
    <w:rPr>
      <w:rFonts w:eastAsia="宋体" w:cs="宋体"/>
      <w:color w:val="000000"/>
    </w:rPr>
  </w:style>
  <w:style w:type="paragraph" w:customStyle="1" w:styleId="318">
    <w:name w:val="Personal Name"/>
    <w:basedOn w:val="49"/>
    <w:qFormat/>
    <w:uiPriority w:val="0"/>
    <w:rPr>
      <w:rFonts w:ascii="Impact" w:hAnsi="Impact"/>
      <w:b w:val="0"/>
      <w:caps/>
      <w:color w:val="000000"/>
      <w:sz w:val="28"/>
      <w:szCs w:val="28"/>
    </w:rPr>
  </w:style>
  <w:style w:type="paragraph" w:customStyle="1" w:styleId="319">
    <w:name w:val="正文_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20">
    <w:name w:val="表格文字"/>
    <w:basedOn w:val="1"/>
    <w:qFormat/>
    <w:uiPriority w:val="0"/>
    <w:pPr>
      <w:spacing w:line="420" w:lineRule="atLeast"/>
      <w:jc w:val="left"/>
    </w:pPr>
  </w:style>
  <w:style w:type="paragraph" w:customStyle="1" w:styleId="321">
    <w:name w:val="默认段落字体 Para Char Char Char Char Char Char Char Char Char1 Char Char Char Char"/>
    <w:basedOn w:val="1"/>
    <w:qFormat/>
    <w:uiPriority w:val="0"/>
    <w:rPr>
      <w:rFonts w:ascii="Tahoma" w:hAnsi="Tahoma"/>
      <w:sz w:val="24"/>
      <w:szCs w:val="20"/>
    </w:rPr>
  </w:style>
  <w:style w:type="paragraph" w:customStyle="1" w:styleId="322">
    <w:name w:val="_Style 173"/>
    <w:semiHidden/>
    <w:qFormat/>
    <w:uiPriority w:val="99"/>
    <w:rPr>
      <w:rFonts w:ascii="Times New Roman" w:hAnsi="Times New Roman" w:eastAsia="宋体" w:cs="Times New Roman"/>
      <w:sz w:val="21"/>
      <w:szCs w:val="24"/>
      <w:lang w:val="en-US" w:eastAsia="zh-CN" w:bidi="ar-SA"/>
    </w:rPr>
  </w:style>
  <w:style w:type="paragraph" w:customStyle="1" w:styleId="323">
    <w:name w:val="Char Char Char Char"/>
    <w:basedOn w:val="1"/>
    <w:qFormat/>
    <w:uiPriority w:val="0"/>
    <w:rPr>
      <w:rFonts w:ascii="Tahoma" w:hAnsi="Tahoma" w:cs="仿宋_GB2312"/>
      <w:sz w:val="24"/>
      <w:szCs w:val="28"/>
    </w:rPr>
  </w:style>
  <w:style w:type="paragraph" w:customStyle="1" w:styleId="324">
    <w:name w:val="样式1"/>
    <w:basedOn w:val="5"/>
    <w:qFormat/>
    <w:uiPriority w:val="0"/>
    <w:rPr>
      <w:rFonts w:eastAsia="Arial"/>
    </w:rPr>
  </w:style>
  <w:style w:type="character" w:customStyle="1" w:styleId="325">
    <w:name w:val="font11"/>
    <w:basedOn w:val="55"/>
    <w:qFormat/>
    <w:uiPriority w:val="0"/>
    <w:rPr>
      <w:rFonts w:hint="eastAsia" w:ascii="仿宋_GB2312" w:eastAsia="仿宋_GB2312" w:cs="仿宋_GB2312"/>
      <w:color w:val="000000"/>
      <w:sz w:val="20"/>
      <w:szCs w:val="20"/>
      <w:u w:val="none"/>
    </w:rPr>
  </w:style>
  <w:style w:type="character" w:customStyle="1" w:styleId="326">
    <w:name w:val="font111"/>
    <w:basedOn w:val="55"/>
    <w:qFormat/>
    <w:uiPriority w:val="0"/>
    <w:rPr>
      <w:rFonts w:hint="eastAsia" w:ascii="宋体" w:hAnsi="宋体" w:eastAsia="宋体" w:cs="宋体"/>
      <w:color w:val="000000"/>
      <w:sz w:val="28"/>
      <w:szCs w:val="28"/>
      <w:u w:val="none"/>
    </w:rPr>
  </w:style>
  <w:style w:type="paragraph" w:customStyle="1" w:styleId="327">
    <w:name w:val="Table Paragraph"/>
    <w:basedOn w:val="1"/>
    <w:qFormat/>
    <w:uiPriority w:val="1"/>
    <w:pPr>
      <w:jc w:val="left"/>
    </w:pPr>
    <w:rPr>
      <w:rFonts w:ascii="Calibri" w:hAnsi="Calibri"/>
      <w:sz w:val="22"/>
      <w:szCs w:val="22"/>
      <w:lang w:eastAsia="en-US"/>
    </w:rPr>
  </w:style>
  <w:style w:type="character" w:customStyle="1" w:styleId="328">
    <w:name w:val="font81"/>
    <w:basedOn w:val="55"/>
    <w:qFormat/>
    <w:uiPriority w:val="0"/>
    <w:rPr>
      <w:rFonts w:hint="eastAsia" w:ascii="宋体" w:hAnsi="宋体" w:eastAsia="宋体" w:cs="宋体"/>
      <w:color w:val="FF0000"/>
      <w:sz w:val="21"/>
      <w:szCs w:val="21"/>
      <w:u w:val="none"/>
    </w:rPr>
  </w:style>
  <w:style w:type="character" w:customStyle="1" w:styleId="329">
    <w:name w:val="font101"/>
    <w:basedOn w:val="55"/>
    <w:qFormat/>
    <w:uiPriority w:val="0"/>
    <w:rPr>
      <w:rFonts w:ascii="宋体" w:hAnsi="宋体" w:eastAsia="宋体" w:cs="宋体"/>
      <w:color w:val="000000"/>
      <w:sz w:val="22"/>
      <w:szCs w:val="22"/>
      <w:u w:val="none"/>
      <w:vertAlign w:val="superscript"/>
    </w:rPr>
  </w:style>
  <w:style w:type="character" w:customStyle="1" w:styleId="330">
    <w:name w:val="font112"/>
    <w:basedOn w:val="55"/>
    <w:qFormat/>
    <w:uiPriority w:val="0"/>
    <w:rPr>
      <w:rFonts w:hint="default" w:ascii="Times New Roman" w:hAnsi="Times New Roman" w:cs="Times New Roman"/>
      <w:color w:val="000000"/>
      <w:sz w:val="22"/>
      <w:szCs w:val="22"/>
      <w:u w:val="none"/>
      <w:vertAlign w:val="superscript"/>
    </w:rPr>
  </w:style>
  <w:style w:type="paragraph" w:customStyle="1" w:styleId="331">
    <w:name w:val="List Paragraph_b084a2d5-56f1-4235-bcf8-446fcd1809a3"/>
    <w:basedOn w:val="1"/>
    <w:qFormat/>
    <w:uiPriority w:val="1"/>
    <w:pPr>
      <w:ind w:left="960" w:hanging="420"/>
    </w:pPr>
  </w:style>
  <w:style w:type="character" w:customStyle="1" w:styleId="332">
    <w:name w:val="font121"/>
    <w:basedOn w:val="55"/>
    <w:qFormat/>
    <w:uiPriority w:val="0"/>
    <w:rPr>
      <w:rFonts w:ascii="Helvetica" w:hAnsi="Helvetica" w:eastAsia="Helvetica" w:cs="Helvetica"/>
      <w:color w:val="000000"/>
      <w:sz w:val="22"/>
      <w:szCs w:val="22"/>
      <w:u w:val="none"/>
    </w:rPr>
  </w:style>
  <w:style w:type="character" w:customStyle="1" w:styleId="333">
    <w:name w:val="font131"/>
    <w:basedOn w:val="55"/>
    <w:qFormat/>
    <w:uiPriority w:val="0"/>
    <w:rPr>
      <w:rFonts w:hint="default" w:ascii="Helvetica" w:hAnsi="Helvetica" w:eastAsia="Helvetica" w:cs="Helvetica"/>
      <w:color w:val="FF0000"/>
      <w:sz w:val="22"/>
      <w:szCs w:val="22"/>
      <w:u w:val="none"/>
    </w:rPr>
  </w:style>
  <w:style w:type="character" w:customStyle="1" w:styleId="334">
    <w:name w:val="font41"/>
    <w:basedOn w:val="55"/>
    <w:qFormat/>
    <w:uiPriority w:val="0"/>
    <w:rPr>
      <w:rFonts w:hint="eastAsia" w:ascii="仿宋_GB2312" w:eastAsia="仿宋_GB2312" w:cs="仿宋_GB2312"/>
      <w:color w:val="000000"/>
      <w:sz w:val="20"/>
      <w:szCs w:val="20"/>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9CE2B-7F23-456F-93C6-1AF081CEFD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13421</Words>
  <Characters>14303</Characters>
  <Lines>176</Lines>
  <Paragraphs>49</Paragraphs>
  <TotalTime>187</TotalTime>
  <ScaleCrop>false</ScaleCrop>
  <LinksUpToDate>false</LinksUpToDate>
  <CharactersWithSpaces>14910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2022-02-28T16:54:00Z</dcterms:created>
  <dc:creator>kikmfga</dc:creator>
  <cp:lastModifiedBy>陨石</cp:lastModifiedBy>
  <cp:lastPrinted>2025-04-10T10:05:00Z</cp:lastPrinted>
  <dcterms:modified xsi:type="dcterms:W3CDTF">2025-04-14T00:55:01Z</dcterms:modified>
  <dc:title>江苏省房屋建筑和市政基础设施工程</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0CC740E2121547CCB6EC4EB75221C5B5_13</vt:lpwstr>
  </property>
  <property fmtid="{D5CDD505-2E9C-101B-9397-08002B2CF9AE}" pid="4" name="commondata">
    <vt:lpwstr>eyJoZGlkIjoiNzg5ZjdlMmJjNDc1NTA4OTA2ZmU0YWU3YjZiNmI5MDIifQ==</vt:lpwstr>
  </property>
  <property fmtid="{D5CDD505-2E9C-101B-9397-08002B2CF9AE}" pid="5" name="KSOTemplateDocerSaveRecord">
    <vt:lpwstr>eyJoZGlkIjoiNTE1YzdmNmVjMDA3NTIwZjFmYWJiZWQxZTQ4YzdmYWMiLCJ1c2VySWQiOiIzNDkyMDI1MjYifQ==</vt:lpwstr>
  </property>
</Properties>
</file>