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DB5996">
      <w:pPr>
        <w:spacing w:line="360" w:lineRule="auto"/>
        <w:jc w:val="center"/>
        <w:rPr>
          <w:rFonts w:hint="eastAsia" w:ascii="宋体" w:hAnsi="宋体" w:cs="宋体"/>
          <w:color w:val="auto"/>
          <w:w w:val="90"/>
          <w:kern w:val="0"/>
          <w:sz w:val="52"/>
          <w:szCs w:val="52"/>
          <w:highlight w:val="none"/>
        </w:rPr>
      </w:pPr>
    </w:p>
    <w:p w14:paraId="160942CD">
      <w:pPr>
        <w:spacing w:line="360" w:lineRule="auto"/>
        <w:jc w:val="center"/>
        <w:rPr>
          <w:rFonts w:hint="eastAsia" w:ascii="宋体" w:hAnsi="宋体" w:cs="宋体"/>
          <w:color w:val="auto"/>
          <w:w w:val="90"/>
          <w:kern w:val="0"/>
          <w:sz w:val="52"/>
          <w:szCs w:val="52"/>
          <w:highlight w:val="none"/>
        </w:rPr>
      </w:pPr>
    </w:p>
    <w:p w14:paraId="113DFFAA">
      <w:pPr>
        <w:spacing w:line="360" w:lineRule="auto"/>
        <w:jc w:val="center"/>
        <w:rPr>
          <w:rFonts w:hint="eastAsia" w:ascii="宋体" w:hAnsi="宋体" w:cs="宋体"/>
          <w:color w:val="auto"/>
          <w:sz w:val="56"/>
          <w:szCs w:val="56"/>
          <w:highlight w:val="none"/>
        </w:rPr>
      </w:pPr>
      <w:r>
        <w:rPr>
          <w:rFonts w:hint="eastAsia" w:ascii="宋体" w:hAnsi="宋体" w:cs="宋体"/>
          <w:color w:val="auto"/>
          <w:w w:val="90"/>
          <w:kern w:val="0"/>
          <w:sz w:val="52"/>
          <w:szCs w:val="52"/>
          <w:highlight w:val="none"/>
        </w:rPr>
        <w:t>南通市崇川区城市工程建设管理中心2025-2027年崇川区市政道路养护维修项目</w:t>
      </w:r>
    </w:p>
    <w:p w14:paraId="62B9C8BE">
      <w:pPr>
        <w:spacing w:before="145" w:beforeLines="50" w:after="145" w:afterLines="50" w:line="360" w:lineRule="auto"/>
        <w:jc w:val="center"/>
        <w:rPr>
          <w:rFonts w:hint="eastAsia" w:ascii="宋体" w:hAnsi="宋体" w:cs="宋体"/>
          <w:b/>
          <w:color w:val="auto"/>
          <w:sz w:val="56"/>
          <w:szCs w:val="56"/>
          <w:highlight w:val="none"/>
        </w:rPr>
      </w:pPr>
    </w:p>
    <w:p w14:paraId="0445DBEC">
      <w:pPr>
        <w:spacing w:before="145" w:beforeLines="50" w:after="145" w:afterLines="50" w:line="360" w:lineRule="auto"/>
        <w:jc w:val="center"/>
        <w:rPr>
          <w:rFonts w:hint="eastAsia" w:ascii="宋体" w:hAnsi="宋体" w:cs="宋体"/>
          <w:b/>
          <w:color w:val="auto"/>
          <w:sz w:val="56"/>
          <w:szCs w:val="56"/>
          <w:highlight w:val="none"/>
        </w:rPr>
      </w:pPr>
    </w:p>
    <w:p w14:paraId="5D561283">
      <w:pPr>
        <w:spacing w:before="145" w:beforeLines="50" w:after="145" w:afterLines="50" w:line="360" w:lineRule="auto"/>
        <w:jc w:val="center"/>
        <w:rPr>
          <w:rFonts w:hint="eastAsia" w:ascii="宋体" w:hAnsi="宋体" w:cs="宋体"/>
          <w:b/>
          <w:color w:val="auto"/>
          <w:sz w:val="56"/>
          <w:szCs w:val="56"/>
          <w:highlight w:val="none"/>
        </w:rPr>
      </w:pPr>
    </w:p>
    <w:p w14:paraId="60A4C737">
      <w:pPr>
        <w:spacing w:before="145" w:beforeLines="50" w:after="145" w:afterLines="50" w:line="360" w:lineRule="auto"/>
        <w:jc w:val="center"/>
        <w:rPr>
          <w:rFonts w:hint="eastAsia" w:ascii="宋体" w:hAnsi="宋体" w:cs="宋体" w:eastAsiaTheme="minorEastAsia"/>
          <w:b/>
          <w:color w:val="auto"/>
          <w:sz w:val="56"/>
          <w:szCs w:val="56"/>
          <w:highlight w:val="none"/>
          <w:lang w:eastAsia="zh-CN"/>
        </w:rPr>
      </w:pPr>
      <w:r>
        <w:rPr>
          <w:rFonts w:hint="eastAsia" w:ascii="宋体" w:hAnsi="宋体" w:cs="宋体"/>
          <w:b/>
          <w:color w:val="auto"/>
          <w:sz w:val="56"/>
          <w:szCs w:val="56"/>
          <w:highlight w:val="none"/>
          <w:lang w:eastAsia="zh-CN"/>
        </w:rPr>
        <w:t>采购文件</w:t>
      </w:r>
    </w:p>
    <w:p w14:paraId="06E22464">
      <w:pPr>
        <w:spacing w:line="360" w:lineRule="auto"/>
        <w:jc w:val="center"/>
        <w:rPr>
          <w:rFonts w:hint="eastAsia" w:ascii="宋体" w:hAnsi="宋体" w:cs="宋体"/>
          <w:b/>
          <w:bCs/>
          <w:color w:val="auto"/>
          <w:sz w:val="36"/>
          <w:szCs w:val="36"/>
          <w:highlight w:val="none"/>
        </w:rPr>
      </w:pPr>
      <w:r>
        <w:rPr>
          <w:rFonts w:hint="eastAsia" w:ascii="宋体" w:hAnsi="宋体" w:cs="宋体"/>
          <w:b/>
          <w:bCs/>
          <w:color w:val="auto"/>
          <w:sz w:val="36"/>
          <w:szCs w:val="36"/>
          <w:highlight w:val="none"/>
        </w:rPr>
        <w:t>（资格后审）</w:t>
      </w:r>
    </w:p>
    <w:p w14:paraId="739DBFB0">
      <w:pPr>
        <w:pStyle w:val="12"/>
        <w:spacing w:line="360" w:lineRule="auto"/>
        <w:rPr>
          <w:rFonts w:hint="eastAsia" w:ascii="宋体" w:eastAsia="宋体"/>
          <w:color w:val="auto"/>
          <w:highlight w:val="none"/>
        </w:rPr>
      </w:pPr>
    </w:p>
    <w:p w14:paraId="239A477F">
      <w:pPr>
        <w:spacing w:line="360" w:lineRule="auto"/>
        <w:jc w:val="center"/>
        <w:rPr>
          <w:rFonts w:hint="eastAsia" w:ascii="宋体" w:hAnsi="宋体"/>
          <w:color w:val="auto"/>
          <w:sz w:val="32"/>
          <w:szCs w:val="32"/>
          <w:highlight w:val="none"/>
        </w:rPr>
      </w:pPr>
    </w:p>
    <w:p w14:paraId="072E875B">
      <w:pPr>
        <w:pStyle w:val="23"/>
        <w:spacing w:line="360" w:lineRule="auto"/>
        <w:ind w:firstLine="280"/>
        <w:rPr>
          <w:rFonts w:hint="eastAsia" w:ascii="宋体" w:eastAsia="宋体"/>
          <w:color w:val="auto"/>
          <w:highlight w:val="none"/>
        </w:rPr>
      </w:pPr>
    </w:p>
    <w:p w14:paraId="6A4831F3">
      <w:pPr>
        <w:tabs>
          <w:tab w:val="left" w:pos="6300"/>
        </w:tabs>
        <w:spacing w:line="360" w:lineRule="auto"/>
        <w:rPr>
          <w:rFonts w:hint="eastAsia" w:ascii="宋体" w:hAnsi="宋体"/>
          <w:b/>
          <w:bCs/>
          <w:color w:val="auto"/>
          <w:sz w:val="36"/>
          <w:szCs w:val="36"/>
          <w:highlight w:val="none"/>
        </w:rPr>
      </w:pPr>
    </w:p>
    <w:p w14:paraId="7B925BF7">
      <w:pPr>
        <w:pStyle w:val="12"/>
        <w:spacing w:line="360" w:lineRule="auto"/>
        <w:rPr>
          <w:rFonts w:hint="eastAsia" w:ascii="宋体" w:eastAsia="宋体"/>
          <w:b/>
          <w:bCs w:val="0"/>
          <w:color w:val="auto"/>
          <w:sz w:val="36"/>
          <w:szCs w:val="36"/>
          <w:highlight w:val="none"/>
        </w:rPr>
      </w:pPr>
    </w:p>
    <w:p w14:paraId="3125A016">
      <w:pPr>
        <w:pStyle w:val="20"/>
        <w:rPr>
          <w:rFonts w:hint="eastAsia" w:ascii="宋体" w:hAnsi="宋体"/>
          <w:color w:val="auto"/>
          <w:highlight w:val="none"/>
        </w:rPr>
      </w:pPr>
    </w:p>
    <w:p w14:paraId="24B82443">
      <w:pPr>
        <w:tabs>
          <w:tab w:val="left" w:pos="6300"/>
        </w:tabs>
        <w:spacing w:line="360" w:lineRule="auto"/>
        <w:rPr>
          <w:rFonts w:hint="eastAsia" w:ascii="宋体" w:hAnsi="宋体"/>
          <w:b/>
          <w:bCs/>
          <w:color w:val="auto"/>
          <w:sz w:val="36"/>
          <w:szCs w:val="36"/>
          <w:highlight w:val="none"/>
        </w:rPr>
      </w:pPr>
    </w:p>
    <w:p w14:paraId="7D0EFDD4">
      <w:pPr>
        <w:adjustRightInd w:val="0"/>
        <w:snapToGrid w:val="0"/>
        <w:spacing w:line="360" w:lineRule="auto"/>
        <w:ind w:firstLine="1269" w:firstLineChars="395"/>
        <w:rPr>
          <w:rFonts w:hint="eastAsia" w:ascii="宋体" w:hAnsi="宋体" w:cs="宋体"/>
          <w:b/>
          <w:bCs/>
          <w:color w:val="auto"/>
          <w:sz w:val="32"/>
          <w:szCs w:val="32"/>
          <w:highlight w:val="none"/>
        </w:rPr>
      </w:pPr>
      <w:r>
        <w:rPr>
          <w:rFonts w:hint="eastAsia" w:ascii="宋体" w:hAnsi="宋体" w:cs="宋体"/>
          <w:b/>
          <w:bCs/>
          <w:color w:val="auto"/>
          <w:sz w:val="32"/>
          <w:szCs w:val="32"/>
          <w:highlight w:val="none"/>
        </w:rPr>
        <w:t>采 购 单 位：南通市崇川区城市工程建设管理中心</w:t>
      </w:r>
    </w:p>
    <w:p w14:paraId="7D0E42BB">
      <w:pPr>
        <w:adjustRightInd w:val="0"/>
        <w:snapToGrid w:val="0"/>
        <w:spacing w:line="360" w:lineRule="auto"/>
        <w:ind w:firstLine="1269" w:firstLineChars="395"/>
        <w:rPr>
          <w:rFonts w:hint="eastAsia" w:ascii="宋体" w:hAnsi="宋体" w:cs="宋体"/>
          <w:b/>
          <w:bCs/>
          <w:color w:val="auto"/>
          <w:sz w:val="32"/>
          <w:szCs w:val="32"/>
          <w:highlight w:val="none"/>
          <w:u w:val="single"/>
        </w:rPr>
      </w:pPr>
      <w:r>
        <w:rPr>
          <w:rFonts w:hint="eastAsia" w:ascii="宋体" w:hAnsi="宋体" w:cs="宋体"/>
          <w:b/>
          <w:bCs/>
          <w:color w:val="auto"/>
          <w:sz w:val="32"/>
          <w:szCs w:val="32"/>
          <w:highlight w:val="none"/>
        </w:rPr>
        <w:t xml:space="preserve">代 理 机 构：江苏建博工程管理咨询有限公司 </w:t>
      </w:r>
    </w:p>
    <w:p w14:paraId="2EB4011D">
      <w:pPr>
        <w:pStyle w:val="23"/>
        <w:spacing w:line="360" w:lineRule="auto"/>
        <w:ind w:firstLine="1285" w:firstLineChars="400"/>
        <w:outlineLvl w:val="9"/>
        <w:rPr>
          <w:rFonts w:hint="eastAsia" w:ascii="宋体" w:eastAsia="宋体"/>
          <w:color w:val="auto"/>
          <w:highlight w:val="none"/>
        </w:rPr>
      </w:pPr>
      <w:r>
        <w:rPr>
          <w:rFonts w:hint="eastAsia" w:ascii="宋体" w:eastAsia="宋体" w:cs="宋体"/>
          <w:b/>
          <w:color w:val="auto"/>
          <w:sz w:val="32"/>
          <w:szCs w:val="32"/>
          <w:highlight w:val="none"/>
        </w:rPr>
        <w:t>日       期：二〇二</w:t>
      </w:r>
      <w:r>
        <w:rPr>
          <w:rFonts w:hint="eastAsia" w:ascii="宋体" w:eastAsia="宋体" w:cs="宋体"/>
          <w:b/>
          <w:color w:val="auto"/>
          <w:sz w:val="32"/>
          <w:szCs w:val="32"/>
          <w:highlight w:val="none"/>
          <w:lang w:eastAsia="zh-CN"/>
        </w:rPr>
        <w:t>五</w:t>
      </w:r>
      <w:r>
        <w:rPr>
          <w:rFonts w:hint="eastAsia" w:ascii="宋体" w:eastAsia="宋体" w:cs="宋体"/>
          <w:b/>
          <w:color w:val="auto"/>
          <w:sz w:val="32"/>
          <w:szCs w:val="32"/>
          <w:highlight w:val="none"/>
        </w:rPr>
        <w:t>年一月</w:t>
      </w:r>
    </w:p>
    <w:p w14:paraId="766C7AE2">
      <w:pPr>
        <w:spacing w:after="290" w:afterLines="100" w:line="360" w:lineRule="auto"/>
        <w:jc w:val="center"/>
        <w:rPr>
          <w:rFonts w:hint="eastAsia" w:ascii="宋体" w:hAnsi="宋体" w:cs="宋体"/>
          <w:color w:val="auto"/>
          <w:kern w:val="44"/>
          <w:sz w:val="44"/>
          <w:szCs w:val="44"/>
          <w:highlight w:val="none"/>
        </w:rPr>
        <w:sectPr>
          <w:headerReference r:id="rId4" w:type="first"/>
          <w:footerReference r:id="rId7" w:type="first"/>
          <w:footerReference r:id="rId5" w:type="default"/>
          <w:headerReference r:id="rId3" w:type="even"/>
          <w:footerReference r:id="rId6" w:type="even"/>
          <w:pgSz w:w="11910" w:h="16840"/>
          <w:pgMar w:top="1247" w:right="1191" w:bottom="1247" w:left="1418" w:header="720" w:footer="720" w:gutter="0"/>
          <w:cols w:space="720" w:num="1"/>
          <w:docGrid w:type="lines" w:linePitch="290" w:charSpace="0"/>
        </w:sectPr>
      </w:pPr>
    </w:p>
    <w:p w14:paraId="4E1CABD2">
      <w:pPr>
        <w:spacing w:after="240" w:afterLines="100" w:line="360" w:lineRule="auto"/>
        <w:jc w:val="center"/>
        <w:rPr>
          <w:rFonts w:hint="eastAsia" w:ascii="宋体" w:hAnsi="宋体" w:cs="宋体"/>
          <w:color w:val="auto"/>
          <w:kern w:val="44"/>
          <w:sz w:val="44"/>
          <w:szCs w:val="44"/>
          <w:highlight w:val="none"/>
        </w:rPr>
      </w:pPr>
      <w:r>
        <w:rPr>
          <w:rFonts w:hint="eastAsia" w:ascii="宋体" w:hAnsi="宋体" w:cs="宋体"/>
          <w:color w:val="auto"/>
          <w:kern w:val="44"/>
          <w:sz w:val="44"/>
          <w:szCs w:val="44"/>
          <w:highlight w:val="none"/>
          <w:lang w:eastAsia="zh-CN"/>
        </w:rPr>
        <w:t>采购文件</w:t>
      </w:r>
      <w:r>
        <w:rPr>
          <w:rFonts w:hint="eastAsia" w:ascii="宋体" w:hAnsi="宋体" w:cs="宋体"/>
          <w:color w:val="auto"/>
          <w:kern w:val="44"/>
          <w:sz w:val="44"/>
          <w:szCs w:val="44"/>
          <w:highlight w:val="none"/>
        </w:rPr>
        <w:t>备案表</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700"/>
      </w:tblGrid>
      <w:tr w14:paraId="5DB6C03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218" w:hRule="atLeast"/>
          <w:jc w:val="center"/>
        </w:trPr>
        <w:tc>
          <w:tcPr>
            <w:tcW w:w="8700" w:type="dxa"/>
            <w:tcBorders>
              <w:top w:val="single" w:color="auto" w:sz="4" w:space="0"/>
              <w:left w:val="single" w:color="auto" w:sz="4" w:space="0"/>
              <w:bottom w:val="single" w:color="auto" w:sz="4" w:space="0"/>
              <w:right w:val="single" w:color="auto" w:sz="4" w:space="0"/>
            </w:tcBorders>
          </w:tcPr>
          <w:p w14:paraId="332161A8">
            <w:pPr>
              <w:spacing w:line="360" w:lineRule="auto"/>
              <w:rPr>
                <w:rFonts w:hint="eastAsia" w:ascii="宋体" w:hAnsi="宋体" w:cs="宋体"/>
                <w:color w:val="auto"/>
                <w:sz w:val="24"/>
                <w:highlight w:val="none"/>
              </w:rPr>
            </w:pPr>
          </w:p>
          <w:p w14:paraId="327DF2E2">
            <w:pPr>
              <w:tabs>
                <w:tab w:val="left" w:pos="5070"/>
              </w:tabs>
              <w:spacing w:line="360" w:lineRule="auto"/>
              <w:jc w:val="center"/>
              <w:rPr>
                <w:rFonts w:hint="eastAsia" w:ascii="宋体" w:hAnsi="宋体" w:cs="宋体"/>
                <w:color w:val="auto"/>
                <w:sz w:val="24"/>
                <w:highlight w:val="none"/>
              </w:rPr>
            </w:pPr>
          </w:p>
          <w:p w14:paraId="7C7DB4D0">
            <w:pPr>
              <w:tabs>
                <w:tab w:val="left" w:pos="5070"/>
              </w:tabs>
              <w:spacing w:line="360" w:lineRule="auto"/>
              <w:jc w:val="center"/>
              <w:rPr>
                <w:rFonts w:hint="eastAsia" w:ascii="宋体" w:hAnsi="宋体" w:cs="宋体"/>
                <w:color w:val="auto"/>
                <w:sz w:val="24"/>
                <w:highlight w:val="none"/>
              </w:rPr>
            </w:pPr>
          </w:p>
          <w:p w14:paraId="23624234">
            <w:pPr>
              <w:tabs>
                <w:tab w:val="left" w:pos="507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编制人：康海铧、刘丽敏</w:t>
            </w:r>
          </w:p>
          <w:p w14:paraId="277BD6B5">
            <w:pPr>
              <w:tabs>
                <w:tab w:val="left" w:pos="5070"/>
              </w:tabs>
              <w:spacing w:line="360" w:lineRule="auto"/>
              <w:rPr>
                <w:rFonts w:hint="eastAsia" w:ascii="宋体" w:hAnsi="宋体" w:cs="宋体"/>
                <w:color w:val="auto"/>
                <w:sz w:val="24"/>
                <w:highlight w:val="none"/>
              </w:rPr>
            </w:pPr>
          </w:p>
          <w:p w14:paraId="36356922">
            <w:pPr>
              <w:tabs>
                <w:tab w:val="left" w:pos="507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r>
              <w:rPr>
                <w:rFonts w:ascii="宋体" w:hAnsi="宋体" w:cs="宋体"/>
                <w:color w:val="auto"/>
                <w:sz w:val="24"/>
                <w:highlight w:val="none"/>
              </w:rPr>
              <w:t>202</w:t>
            </w:r>
            <w:r>
              <w:rPr>
                <w:rFonts w:hint="eastAsia" w:ascii="宋体" w:hAnsi="宋体" w:cs="宋体"/>
                <w:color w:val="auto"/>
                <w:sz w:val="24"/>
                <w:highlight w:val="none"/>
                <w:lang w:val="en-US" w:eastAsia="zh-CN"/>
              </w:rPr>
              <w:t>5</w:t>
            </w:r>
            <w:r>
              <w:rPr>
                <w:rFonts w:ascii="宋体" w:hAnsi="宋体" w:cs="宋体"/>
                <w:color w:val="auto"/>
                <w:sz w:val="24"/>
                <w:highlight w:val="none"/>
              </w:rPr>
              <w:t>年</w:t>
            </w:r>
            <w:r>
              <w:rPr>
                <w:rFonts w:hint="eastAsia" w:ascii="宋体" w:hAnsi="宋体" w:cs="宋体"/>
                <w:color w:val="auto"/>
                <w:sz w:val="24"/>
                <w:highlight w:val="none"/>
                <w:lang w:val="en-US" w:eastAsia="zh-CN"/>
              </w:rPr>
              <w:t>1</w:t>
            </w:r>
            <w:r>
              <w:rPr>
                <w:rFonts w:ascii="宋体" w:hAnsi="宋体" w:cs="宋体"/>
                <w:color w:val="auto"/>
                <w:sz w:val="24"/>
                <w:highlight w:val="none"/>
              </w:rPr>
              <w:t>月</w:t>
            </w:r>
          </w:p>
        </w:tc>
      </w:tr>
      <w:tr w14:paraId="2A92CD6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428" w:hRule="atLeast"/>
          <w:jc w:val="center"/>
        </w:trPr>
        <w:tc>
          <w:tcPr>
            <w:tcW w:w="8700" w:type="dxa"/>
            <w:tcBorders>
              <w:top w:val="single" w:color="auto" w:sz="4" w:space="0"/>
              <w:left w:val="single" w:color="auto" w:sz="4" w:space="0"/>
              <w:bottom w:val="single" w:color="auto" w:sz="4" w:space="0"/>
              <w:right w:val="single" w:color="auto" w:sz="4" w:space="0"/>
            </w:tcBorders>
          </w:tcPr>
          <w:p w14:paraId="57DE9B5A">
            <w:pPr>
              <w:spacing w:line="360" w:lineRule="auto"/>
              <w:rPr>
                <w:rFonts w:hint="eastAsia" w:ascii="宋体" w:hAnsi="宋体" w:cs="宋体"/>
                <w:color w:val="auto"/>
                <w:sz w:val="24"/>
                <w:highlight w:val="none"/>
              </w:rPr>
            </w:pPr>
          </w:p>
          <w:p w14:paraId="539FA598">
            <w:pPr>
              <w:pStyle w:val="24"/>
              <w:spacing w:line="360" w:lineRule="auto"/>
              <w:ind w:firstLine="480"/>
              <w:rPr>
                <w:rFonts w:hint="eastAsia" w:ascii="宋体" w:hAnsi="宋体" w:cs="宋体"/>
                <w:color w:val="auto"/>
                <w:sz w:val="24"/>
                <w:highlight w:val="none"/>
              </w:rPr>
            </w:pPr>
          </w:p>
          <w:p w14:paraId="1AB7C59E">
            <w:pPr>
              <w:pStyle w:val="24"/>
              <w:spacing w:line="360" w:lineRule="auto"/>
              <w:ind w:firstLine="480"/>
              <w:rPr>
                <w:rFonts w:hint="eastAsia" w:ascii="宋体" w:hAnsi="宋体" w:cs="宋体"/>
                <w:color w:val="auto"/>
                <w:sz w:val="24"/>
                <w:highlight w:val="none"/>
              </w:rPr>
            </w:pPr>
          </w:p>
          <w:p w14:paraId="5D4BD15D">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采购单位(盖章)             法定代表人(签字或盖章)</w:t>
            </w:r>
          </w:p>
          <w:p w14:paraId="48E241FE">
            <w:pPr>
              <w:spacing w:line="360" w:lineRule="auto"/>
              <w:jc w:val="center"/>
              <w:rPr>
                <w:rFonts w:hint="eastAsia" w:ascii="宋体" w:hAnsi="宋体" w:cs="宋体"/>
                <w:color w:val="auto"/>
                <w:sz w:val="24"/>
                <w:highlight w:val="none"/>
              </w:rPr>
            </w:pPr>
          </w:p>
          <w:p w14:paraId="39897650">
            <w:pPr>
              <w:spacing w:line="360" w:lineRule="auto"/>
              <w:jc w:val="center"/>
              <w:rPr>
                <w:rFonts w:hint="eastAsia" w:ascii="宋体" w:hAnsi="宋体" w:cs="宋体"/>
                <w:color w:val="auto"/>
                <w:sz w:val="24"/>
                <w:highlight w:val="none"/>
              </w:rPr>
            </w:pPr>
          </w:p>
          <w:p w14:paraId="68F1ED5E">
            <w:pPr>
              <w:pStyle w:val="12"/>
              <w:spacing w:line="360" w:lineRule="auto"/>
              <w:rPr>
                <w:rFonts w:hint="eastAsia" w:ascii="宋体" w:eastAsia="宋体"/>
                <w:color w:val="auto"/>
                <w:highlight w:val="none"/>
              </w:rPr>
            </w:pPr>
          </w:p>
          <w:p w14:paraId="54859719">
            <w:pPr>
              <w:pStyle w:val="24"/>
              <w:spacing w:line="360" w:lineRule="auto"/>
              <w:ind w:firstLine="400"/>
              <w:rPr>
                <w:rFonts w:hint="eastAsia" w:ascii="宋体" w:hAnsi="宋体"/>
                <w:color w:val="auto"/>
                <w:highlight w:val="none"/>
              </w:rPr>
            </w:pPr>
          </w:p>
          <w:p w14:paraId="08CCF0C7">
            <w:pPr>
              <w:pStyle w:val="24"/>
              <w:spacing w:line="360" w:lineRule="auto"/>
              <w:ind w:firstLine="400"/>
              <w:rPr>
                <w:rFonts w:hint="eastAsia" w:ascii="宋体" w:hAnsi="宋体"/>
                <w:color w:val="auto"/>
                <w:highlight w:val="none"/>
              </w:rPr>
            </w:pPr>
          </w:p>
          <w:p w14:paraId="4F4C4063">
            <w:pPr>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代理机构(盖章)             法定代表人(签字或盖章)</w:t>
            </w:r>
          </w:p>
          <w:p w14:paraId="41A04E4D">
            <w:pPr>
              <w:tabs>
                <w:tab w:val="left" w:pos="5070"/>
              </w:tabs>
              <w:spacing w:line="360" w:lineRule="auto"/>
              <w:jc w:val="center"/>
              <w:rPr>
                <w:rFonts w:hint="eastAsia" w:ascii="宋体" w:hAnsi="宋体" w:cs="宋体"/>
                <w:color w:val="auto"/>
                <w:sz w:val="24"/>
                <w:highlight w:val="none"/>
              </w:rPr>
            </w:pPr>
          </w:p>
          <w:p w14:paraId="26FF75F5">
            <w:pPr>
              <w:pStyle w:val="24"/>
              <w:spacing w:line="360" w:lineRule="auto"/>
              <w:ind w:left="0" w:leftChars="0" w:firstLine="0" w:firstLineChars="0"/>
              <w:rPr>
                <w:rFonts w:hint="eastAsia" w:ascii="宋体" w:hAnsi="宋体"/>
                <w:color w:val="auto"/>
                <w:highlight w:val="none"/>
              </w:rPr>
            </w:pPr>
          </w:p>
          <w:p w14:paraId="588D5FDC">
            <w:pPr>
              <w:pStyle w:val="24"/>
              <w:spacing w:line="360" w:lineRule="auto"/>
              <w:ind w:firstLine="400"/>
              <w:rPr>
                <w:rFonts w:hint="eastAsia" w:ascii="宋体" w:hAnsi="宋体"/>
                <w:color w:val="auto"/>
                <w:highlight w:val="none"/>
              </w:rPr>
            </w:pPr>
          </w:p>
          <w:p w14:paraId="12FD7B61">
            <w:pPr>
              <w:tabs>
                <w:tab w:val="left" w:pos="5070"/>
              </w:tabs>
              <w:spacing w:line="360" w:lineRule="auto"/>
              <w:jc w:val="center"/>
              <w:rPr>
                <w:rFonts w:hint="eastAsia" w:ascii="宋体" w:hAnsi="宋体" w:cs="宋体"/>
                <w:color w:val="auto"/>
                <w:sz w:val="24"/>
                <w:highlight w:val="none"/>
              </w:rPr>
            </w:pPr>
            <w:r>
              <w:rPr>
                <w:rFonts w:hint="eastAsia" w:ascii="宋体" w:hAnsi="宋体" w:cs="宋体"/>
                <w:color w:val="auto"/>
                <w:sz w:val="24"/>
                <w:highlight w:val="none"/>
              </w:rPr>
              <w:t xml:space="preserve">                             日  期：</w:t>
            </w:r>
            <w:r>
              <w:rPr>
                <w:rFonts w:ascii="宋体" w:hAnsi="宋体" w:cs="宋体"/>
                <w:color w:val="auto"/>
                <w:sz w:val="24"/>
                <w:highlight w:val="none"/>
              </w:rPr>
              <w:t>202</w:t>
            </w:r>
            <w:r>
              <w:rPr>
                <w:rFonts w:hint="eastAsia" w:ascii="宋体" w:hAnsi="宋体" w:cs="宋体"/>
                <w:color w:val="auto"/>
                <w:sz w:val="24"/>
                <w:highlight w:val="none"/>
                <w:lang w:val="en-US" w:eastAsia="zh-CN"/>
              </w:rPr>
              <w:t>5</w:t>
            </w:r>
            <w:r>
              <w:rPr>
                <w:rFonts w:ascii="宋体" w:hAnsi="宋体" w:cs="宋体"/>
                <w:color w:val="auto"/>
                <w:sz w:val="24"/>
                <w:highlight w:val="none"/>
              </w:rPr>
              <w:t>年</w:t>
            </w:r>
            <w:r>
              <w:rPr>
                <w:rFonts w:hint="eastAsia" w:ascii="宋体" w:hAnsi="宋体" w:cs="宋体"/>
                <w:color w:val="auto"/>
                <w:sz w:val="24"/>
                <w:highlight w:val="none"/>
                <w:lang w:val="en-US" w:eastAsia="zh-CN"/>
              </w:rPr>
              <w:t>1</w:t>
            </w:r>
            <w:r>
              <w:rPr>
                <w:rFonts w:ascii="宋体" w:hAnsi="宋体" w:cs="宋体"/>
                <w:color w:val="auto"/>
                <w:sz w:val="24"/>
                <w:highlight w:val="none"/>
              </w:rPr>
              <w:t>月</w:t>
            </w:r>
          </w:p>
          <w:p w14:paraId="062D2BA7">
            <w:pPr>
              <w:spacing w:line="360" w:lineRule="auto"/>
              <w:rPr>
                <w:rFonts w:hint="eastAsia" w:ascii="宋体" w:hAnsi="宋体" w:cs="宋体"/>
                <w:color w:val="auto"/>
                <w:sz w:val="24"/>
                <w:highlight w:val="none"/>
              </w:rPr>
            </w:pPr>
          </w:p>
        </w:tc>
      </w:tr>
    </w:tbl>
    <w:p w14:paraId="3AD5C9F3">
      <w:pPr>
        <w:adjustRightInd w:val="0"/>
        <w:snapToGrid w:val="0"/>
        <w:spacing w:line="360" w:lineRule="auto"/>
        <w:ind w:left="-158" w:leftChars="-75" w:right="-601" w:rightChars="-286"/>
        <w:rPr>
          <w:rFonts w:hint="eastAsia" w:ascii="宋体" w:hAnsi="宋体"/>
          <w:snapToGrid w:val="0"/>
          <w:color w:val="auto"/>
          <w:sz w:val="26"/>
          <w:szCs w:val="28"/>
          <w:highlight w:val="none"/>
        </w:rPr>
      </w:pPr>
    </w:p>
    <w:p w14:paraId="5B1203B6">
      <w:pPr>
        <w:spacing w:line="360" w:lineRule="auto"/>
        <w:jc w:val="center"/>
        <w:outlineLvl w:val="0"/>
        <w:rPr>
          <w:rFonts w:hint="eastAsia" w:ascii="宋体" w:hAnsi="宋体"/>
          <w:b/>
          <w:color w:val="auto"/>
          <w:sz w:val="44"/>
          <w:szCs w:val="44"/>
          <w:highlight w:val="none"/>
        </w:rPr>
      </w:pPr>
    </w:p>
    <w:p w14:paraId="3590CC6B">
      <w:pPr>
        <w:spacing w:line="360" w:lineRule="auto"/>
        <w:jc w:val="center"/>
        <w:outlineLvl w:val="0"/>
        <w:rPr>
          <w:rFonts w:hint="eastAsia" w:ascii="宋体" w:hAnsi="宋体"/>
          <w:b/>
          <w:color w:val="auto"/>
          <w:sz w:val="28"/>
          <w:szCs w:val="28"/>
          <w:highlight w:val="none"/>
        </w:rPr>
      </w:pPr>
      <w:r>
        <w:rPr>
          <w:rFonts w:ascii="宋体" w:hAnsi="宋体"/>
          <w:b/>
          <w:color w:val="auto"/>
          <w:sz w:val="44"/>
          <w:szCs w:val="44"/>
          <w:highlight w:val="none"/>
        </w:rPr>
        <w:t>目      录</w:t>
      </w:r>
    </w:p>
    <w:p w14:paraId="287709F7">
      <w:pPr>
        <w:spacing w:line="360" w:lineRule="auto"/>
        <w:jc w:val="center"/>
        <w:rPr>
          <w:rFonts w:hint="eastAsia" w:ascii="宋体" w:hAnsi="宋体"/>
          <w:b/>
          <w:color w:val="auto"/>
          <w:sz w:val="28"/>
          <w:szCs w:val="28"/>
          <w:highlight w:val="none"/>
        </w:rPr>
      </w:pPr>
    </w:p>
    <w:p w14:paraId="21AFD397">
      <w:pPr>
        <w:tabs>
          <w:tab w:val="left" w:pos="7740"/>
        </w:tabs>
        <w:spacing w:line="360" w:lineRule="auto"/>
        <w:rPr>
          <w:rFonts w:hint="eastAsia" w:ascii="宋体" w:hAnsi="宋体"/>
          <w:color w:val="auto"/>
          <w:spacing w:val="2"/>
          <w:sz w:val="28"/>
          <w:szCs w:val="28"/>
          <w:highlight w:val="none"/>
        </w:rPr>
      </w:pPr>
      <w:r>
        <w:rPr>
          <w:rFonts w:ascii="宋体" w:hAnsi="宋体"/>
          <w:color w:val="auto"/>
          <w:sz w:val="28"/>
          <w:szCs w:val="28"/>
          <w:highlight w:val="none"/>
        </w:rPr>
        <w:t xml:space="preserve">第一章  </w:t>
      </w:r>
      <w:r>
        <w:rPr>
          <w:rFonts w:hint="eastAsia" w:ascii="宋体" w:hAnsi="宋体"/>
          <w:color w:val="auto"/>
          <w:sz w:val="28"/>
          <w:szCs w:val="28"/>
          <w:highlight w:val="none"/>
          <w:lang w:val="en-US" w:eastAsia="zh-CN"/>
        </w:rPr>
        <w:t>采购</w:t>
      </w:r>
      <w:r>
        <w:rPr>
          <w:rFonts w:ascii="宋体" w:hAnsi="宋体"/>
          <w:color w:val="auto"/>
          <w:sz w:val="28"/>
          <w:szCs w:val="28"/>
          <w:highlight w:val="none"/>
        </w:rPr>
        <w:t>公告</w:t>
      </w:r>
    </w:p>
    <w:p w14:paraId="52CD5D17">
      <w:pPr>
        <w:tabs>
          <w:tab w:val="left" w:pos="7740"/>
        </w:tabs>
        <w:spacing w:line="360" w:lineRule="auto"/>
        <w:rPr>
          <w:rFonts w:hint="eastAsia" w:ascii="宋体" w:hAnsi="宋体"/>
          <w:color w:val="auto"/>
          <w:sz w:val="28"/>
          <w:szCs w:val="28"/>
          <w:highlight w:val="none"/>
        </w:rPr>
      </w:pPr>
    </w:p>
    <w:p w14:paraId="38CDAF53">
      <w:pPr>
        <w:tabs>
          <w:tab w:val="left" w:pos="7740"/>
        </w:tabs>
        <w:spacing w:line="360" w:lineRule="auto"/>
        <w:rPr>
          <w:rFonts w:hint="eastAsia" w:ascii="宋体" w:hAnsi="宋体"/>
          <w:color w:val="auto"/>
          <w:spacing w:val="2"/>
          <w:sz w:val="28"/>
          <w:szCs w:val="28"/>
          <w:highlight w:val="none"/>
        </w:rPr>
      </w:pPr>
      <w:r>
        <w:rPr>
          <w:rFonts w:ascii="宋体" w:hAnsi="宋体"/>
          <w:color w:val="auto"/>
          <w:sz w:val="28"/>
          <w:szCs w:val="28"/>
          <w:highlight w:val="none"/>
        </w:rPr>
        <w:t>第二章  投标供应商须知</w:t>
      </w:r>
    </w:p>
    <w:p w14:paraId="5D50DD77">
      <w:pPr>
        <w:spacing w:line="360" w:lineRule="auto"/>
        <w:rPr>
          <w:rFonts w:hint="eastAsia" w:ascii="宋体" w:hAnsi="宋体"/>
          <w:color w:val="auto"/>
          <w:sz w:val="28"/>
          <w:szCs w:val="28"/>
          <w:highlight w:val="none"/>
        </w:rPr>
      </w:pPr>
    </w:p>
    <w:p w14:paraId="529596E2">
      <w:pPr>
        <w:tabs>
          <w:tab w:val="left" w:pos="7740"/>
        </w:tabs>
        <w:spacing w:line="360" w:lineRule="auto"/>
        <w:rPr>
          <w:rFonts w:hint="eastAsia" w:ascii="宋体" w:hAnsi="宋体"/>
          <w:color w:val="auto"/>
          <w:spacing w:val="2"/>
          <w:sz w:val="28"/>
          <w:szCs w:val="28"/>
          <w:highlight w:val="none"/>
        </w:rPr>
      </w:pPr>
      <w:r>
        <w:rPr>
          <w:rFonts w:ascii="宋体" w:hAnsi="宋体"/>
          <w:color w:val="auto"/>
          <w:sz w:val="28"/>
          <w:szCs w:val="28"/>
          <w:highlight w:val="none"/>
        </w:rPr>
        <w:t>第三章  项目需求</w:t>
      </w:r>
    </w:p>
    <w:p w14:paraId="761D8AD8">
      <w:pPr>
        <w:pStyle w:val="13"/>
        <w:tabs>
          <w:tab w:val="left" w:pos="7740"/>
          <w:tab w:val="left" w:pos="7920"/>
        </w:tabs>
        <w:spacing w:line="360" w:lineRule="auto"/>
        <w:ind w:left="0" w:leftChars="0"/>
        <w:rPr>
          <w:rFonts w:hint="eastAsia" w:ascii="宋体" w:hAnsi="宋体"/>
          <w:color w:val="auto"/>
          <w:sz w:val="28"/>
          <w:szCs w:val="28"/>
          <w:highlight w:val="none"/>
        </w:rPr>
      </w:pPr>
    </w:p>
    <w:p w14:paraId="66421758">
      <w:pPr>
        <w:tabs>
          <w:tab w:val="left" w:pos="7740"/>
        </w:tabs>
        <w:spacing w:line="360" w:lineRule="auto"/>
        <w:rPr>
          <w:rFonts w:hint="eastAsia" w:ascii="宋体" w:hAnsi="宋体"/>
          <w:color w:val="auto"/>
          <w:spacing w:val="2"/>
          <w:sz w:val="28"/>
          <w:szCs w:val="28"/>
          <w:highlight w:val="none"/>
        </w:rPr>
      </w:pPr>
      <w:r>
        <w:rPr>
          <w:rFonts w:ascii="宋体" w:hAnsi="宋体"/>
          <w:color w:val="auto"/>
          <w:sz w:val="28"/>
          <w:szCs w:val="28"/>
          <w:highlight w:val="none"/>
        </w:rPr>
        <w:t>第四章  评审方法和程序</w:t>
      </w:r>
    </w:p>
    <w:p w14:paraId="6982A185">
      <w:pPr>
        <w:spacing w:line="360" w:lineRule="auto"/>
        <w:rPr>
          <w:rFonts w:hint="eastAsia" w:ascii="宋体" w:hAnsi="宋体"/>
          <w:color w:val="auto"/>
          <w:sz w:val="28"/>
          <w:szCs w:val="28"/>
          <w:highlight w:val="none"/>
        </w:rPr>
      </w:pPr>
    </w:p>
    <w:p w14:paraId="2FB408EA">
      <w:pPr>
        <w:tabs>
          <w:tab w:val="left" w:pos="7740"/>
        </w:tabs>
        <w:spacing w:line="360" w:lineRule="auto"/>
        <w:rPr>
          <w:rFonts w:hint="eastAsia" w:ascii="宋体" w:hAnsi="宋体"/>
          <w:color w:val="auto"/>
          <w:spacing w:val="2"/>
          <w:sz w:val="28"/>
          <w:szCs w:val="28"/>
          <w:highlight w:val="none"/>
        </w:rPr>
      </w:pPr>
      <w:r>
        <w:rPr>
          <w:rFonts w:ascii="宋体" w:hAnsi="宋体"/>
          <w:color w:val="auto"/>
          <w:sz w:val="28"/>
          <w:szCs w:val="28"/>
          <w:highlight w:val="none"/>
        </w:rPr>
        <w:t>第五章  合同授予</w:t>
      </w:r>
    </w:p>
    <w:p w14:paraId="3335D3EB">
      <w:pPr>
        <w:spacing w:line="360" w:lineRule="auto"/>
        <w:rPr>
          <w:rFonts w:hint="eastAsia" w:ascii="宋体" w:hAnsi="宋体"/>
          <w:color w:val="auto"/>
          <w:sz w:val="28"/>
          <w:szCs w:val="28"/>
          <w:highlight w:val="none"/>
        </w:rPr>
      </w:pPr>
    </w:p>
    <w:p w14:paraId="4ADAEAD4">
      <w:pPr>
        <w:tabs>
          <w:tab w:val="left" w:pos="7740"/>
        </w:tabs>
        <w:spacing w:line="360" w:lineRule="auto"/>
        <w:rPr>
          <w:rFonts w:hint="eastAsia" w:ascii="宋体" w:hAnsi="宋体"/>
          <w:color w:val="auto"/>
          <w:sz w:val="28"/>
          <w:szCs w:val="28"/>
          <w:highlight w:val="none"/>
        </w:rPr>
      </w:pPr>
      <w:r>
        <w:rPr>
          <w:rFonts w:ascii="宋体" w:hAnsi="宋体"/>
          <w:color w:val="auto"/>
          <w:sz w:val="28"/>
          <w:szCs w:val="28"/>
          <w:highlight w:val="none"/>
        </w:rPr>
        <w:t>第六章  质疑提出和处理</w:t>
      </w:r>
    </w:p>
    <w:p w14:paraId="643CAEEA">
      <w:pPr>
        <w:tabs>
          <w:tab w:val="left" w:pos="7740"/>
        </w:tabs>
        <w:spacing w:line="360" w:lineRule="auto"/>
        <w:rPr>
          <w:rFonts w:hint="eastAsia" w:ascii="宋体" w:hAnsi="宋体"/>
          <w:color w:val="auto"/>
          <w:sz w:val="28"/>
          <w:szCs w:val="28"/>
          <w:highlight w:val="none"/>
        </w:rPr>
      </w:pPr>
    </w:p>
    <w:p w14:paraId="55A843FD">
      <w:pPr>
        <w:spacing w:line="360" w:lineRule="auto"/>
        <w:rPr>
          <w:rFonts w:hint="eastAsia" w:ascii="宋体" w:hAnsi="宋体"/>
          <w:b/>
          <w:color w:val="auto"/>
          <w:sz w:val="28"/>
          <w:szCs w:val="28"/>
          <w:highlight w:val="none"/>
        </w:rPr>
      </w:pPr>
      <w:r>
        <w:rPr>
          <w:rFonts w:ascii="宋体" w:hAnsi="宋体"/>
          <w:color w:val="auto"/>
          <w:sz w:val="28"/>
          <w:szCs w:val="28"/>
          <w:highlight w:val="none"/>
        </w:rPr>
        <w:t xml:space="preserve">第七章  </w:t>
      </w:r>
      <w:r>
        <w:rPr>
          <w:rFonts w:hint="eastAsia" w:ascii="宋体" w:hAnsi="宋体"/>
          <w:color w:val="auto"/>
          <w:sz w:val="28"/>
          <w:szCs w:val="28"/>
          <w:highlight w:val="none"/>
          <w:lang w:eastAsia="zh-CN"/>
        </w:rPr>
        <w:t>响应文件</w:t>
      </w:r>
      <w:r>
        <w:rPr>
          <w:rFonts w:ascii="宋体" w:hAnsi="宋体"/>
          <w:color w:val="auto"/>
          <w:sz w:val="28"/>
          <w:szCs w:val="28"/>
          <w:highlight w:val="none"/>
        </w:rPr>
        <w:t>组成</w:t>
      </w:r>
    </w:p>
    <w:p w14:paraId="0D9B93F2">
      <w:pPr>
        <w:spacing w:line="360" w:lineRule="auto"/>
        <w:rPr>
          <w:rFonts w:hint="eastAsia" w:ascii="宋体" w:hAnsi="宋体"/>
          <w:color w:val="auto"/>
          <w:sz w:val="24"/>
          <w:highlight w:val="none"/>
        </w:rPr>
      </w:pPr>
    </w:p>
    <w:p w14:paraId="7512A94A">
      <w:pPr>
        <w:snapToGrid w:val="0"/>
        <w:spacing w:line="360" w:lineRule="auto"/>
        <w:jc w:val="center"/>
        <w:outlineLvl w:val="0"/>
        <w:rPr>
          <w:rStyle w:val="80"/>
          <w:rFonts w:hint="default"/>
          <w:color w:val="auto"/>
          <w:sz w:val="28"/>
          <w:szCs w:val="28"/>
          <w:highlight w:val="none"/>
        </w:rPr>
      </w:pPr>
      <w:r>
        <w:rPr>
          <w:rFonts w:ascii="宋体" w:hAnsi="宋体"/>
          <w:b/>
          <w:color w:val="auto"/>
          <w:sz w:val="24"/>
          <w:highlight w:val="none"/>
        </w:rPr>
        <w:br w:type="page"/>
      </w:r>
      <w:r>
        <w:rPr>
          <w:rStyle w:val="80"/>
          <w:rFonts w:hint="default"/>
          <w:bCs/>
          <w:color w:val="auto"/>
          <w:sz w:val="28"/>
          <w:szCs w:val="28"/>
          <w:highlight w:val="none"/>
        </w:rPr>
        <w:t xml:space="preserve">第一章  </w:t>
      </w:r>
      <w:bookmarkStart w:id="0" w:name="OLE_LINK2"/>
      <w:bookmarkStart w:id="1" w:name="OLE_LINK1"/>
      <w:bookmarkStart w:id="2" w:name="OLE_LINK3"/>
      <w:r>
        <w:rPr>
          <w:rStyle w:val="80"/>
          <w:rFonts w:hint="eastAsia"/>
          <w:bCs/>
          <w:color w:val="auto"/>
          <w:sz w:val="28"/>
          <w:szCs w:val="28"/>
          <w:highlight w:val="none"/>
          <w:lang w:val="en-US"/>
        </w:rPr>
        <w:t>采购</w:t>
      </w:r>
      <w:r>
        <w:rPr>
          <w:rStyle w:val="80"/>
          <w:rFonts w:hint="default"/>
          <w:bCs/>
          <w:color w:val="auto"/>
          <w:sz w:val="28"/>
          <w:szCs w:val="28"/>
          <w:highlight w:val="none"/>
        </w:rPr>
        <w:t>公告</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57"/>
      </w:tblGrid>
      <w:tr w14:paraId="4BB46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464" w:type="dxa"/>
          </w:tcPr>
          <w:p w14:paraId="7F3C5F00">
            <w:pPr>
              <w:widowControl/>
              <w:snapToGrid w:val="0"/>
              <w:spacing w:line="360" w:lineRule="auto"/>
              <w:jc w:val="left"/>
              <w:rPr>
                <w:rFonts w:hint="eastAsia" w:ascii="宋体" w:hAnsi="宋体"/>
                <w:color w:val="auto"/>
                <w:szCs w:val="21"/>
                <w:highlight w:val="none"/>
              </w:rPr>
            </w:pPr>
            <w:r>
              <w:rPr>
                <w:rFonts w:ascii="宋体" w:hAnsi="宋体"/>
                <w:color w:val="auto"/>
                <w:szCs w:val="21"/>
                <w:highlight w:val="none"/>
              </w:rPr>
              <w:t>项目概况</w:t>
            </w:r>
          </w:p>
          <w:p w14:paraId="52EB1EF7">
            <w:pPr>
              <w:kinsoku w:val="0"/>
              <w:overflowPunct w:val="0"/>
              <w:autoSpaceDE w:val="0"/>
              <w:autoSpaceDN w:val="0"/>
              <w:snapToGrid w:val="0"/>
              <w:spacing w:line="360" w:lineRule="auto"/>
              <w:ind w:firstLine="420" w:firstLineChars="200"/>
              <w:outlineLvl w:val="1"/>
              <w:rPr>
                <w:rFonts w:hint="eastAsia" w:ascii="宋体" w:hAnsi="宋体"/>
                <w:b/>
                <w:color w:val="auto"/>
                <w:szCs w:val="21"/>
                <w:highlight w:val="none"/>
              </w:rPr>
            </w:pPr>
            <w:r>
              <w:rPr>
                <w:rFonts w:hint="eastAsia" w:ascii="宋体" w:hAnsi="宋体"/>
                <w:color w:val="auto"/>
                <w:szCs w:val="21"/>
                <w:highlight w:val="none"/>
                <w:u w:val="single"/>
              </w:rPr>
              <w:t>南通市崇川区城市工程建设管理中心2025-2027年崇川区市政道路养护维修项目</w:t>
            </w:r>
            <w:r>
              <w:rPr>
                <w:rFonts w:ascii="宋体" w:hAnsi="宋体"/>
                <w:color w:val="auto"/>
                <w:szCs w:val="21"/>
                <w:highlight w:val="none"/>
              </w:rPr>
              <w:t>的潜在</w:t>
            </w:r>
            <w:r>
              <w:rPr>
                <w:rFonts w:hint="eastAsia" w:ascii="宋体" w:hAnsi="宋体"/>
                <w:color w:val="auto"/>
                <w:szCs w:val="21"/>
                <w:highlight w:val="none"/>
              </w:rPr>
              <w:t>投标供应商</w:t>
            </w:r>
            <w:r>
              <w:rPr>
                <w:rFonts w:ascii="宋体" w:hAnsi="宋体"/>
                <w:color w:val="auto"/>
                <w:szCs w:val="21"/>
                <w:highlight w:val="none"/>
              </w:rPr>
              <w:t>应在</w:t>
            </w:r>
            <w:r>
              <w:rPr>
                <w:rFonts w:hint="eastAsia" w:ascii="宋体" w:hAnsi="宋体"/>
                <w:color w:val="auto"/>
                <w:szCs w:val="21"/>
                <w:highlight w:val="none"/>
                <w:u w:val="single"/>
              </w:rPr>
              <w:t>江苏政府采购网→采购公告栏内</w:t>
            </w:r>
            <w:r>
              <w:rPr>
                <w:rFonts w:ascii="宋体" w:hAnsi="宋体"/>
                <w:color w:val="auto"/>
                <w:szCs w:val="21"/>
                <w:highlight w:val="none"/>
              </w:rPr>
              <w:t>获取采购文件，并于</w:t>
            </w:r>
            <w:r>
              <w:rPr>
                <w:rFonts w:ascii="宋体" w:hAnsi="宋体"/>
                <w:color w:val="auto"/>
                <w:szCs w:val="21"/>
                <w:highlight w:val="none"/>
                <w:u w:val="single"/>
              </w:rPr>
              <w:t>202</w:t>
            </w:r>
            <w:r>
              <w:rPr>
                <w:rFonts w:hint="eastAsia" w:ascii="宋体" w:hAnsi="宋体"/>
                <w:color w:val="auto"/>
                <w:szCs w:val="21"/>
                <w:highlight w:val="none"/>
                <w:u w:val="single"/>
                <w:lang w:val="en-US" w:eastAsia="zh-CN"/>
              </w:rPr>
              <w:t>5</w:t>
            </w:r>
            <w:r>
              <w:rPr>
                <w:rFonts w:ascii="宋体" w:hAnsi="宋体"/>
                <w:color w:val="auto"/>
                <w:szCs w:val="21"/>
                <w:highlight w:val="none"/>
              </w:rPr>
              <w:t>年</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2</w:t>
            </w:r>
            <w:r>
              <w:rPr>
                <w:rFonts w:hint="eastAsia" w:ascii="宋体" w:hAnsi="宋体"/>
                <w:color w:val="auto"/>
                <w:szCs w:val="21"/>
                <w:highlight w:val="none"/>
                <w:u w:val="single"/>
              </w:rPr>
              <w:t xml:space="preserve"> </w:t>
            </w:r>
            <w:r>
              <w:rPr>
                <w:rFonts w:ascii="宋体" w:hAnsi="宋体"/>
                <w:color w:val="auto"/>
                <w:szCs w:val="21"/>
                <w:highlight w:val="none"/>
              </w:rPr>
              <w:t>月</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 xml:space="preserve">24 </w:t>
            </w:r>
            <w:r>
              <w:rPr>
                <w:rFonts w:ascii="宋体" w:hAnsi="宋体"/>
                <w:color w:val="auto"/>
                <w:szCs w:val="21"/>
                <w:highlight w:val="none"/>
              </w:rPr>
              <w:t>日</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14</w:t>
            </w:r>
            <w:r>
              <w:rPr>
                <w:rFonts w:hint="eastAsia" w:ascii="宋体" w:hAnsi="宋体"/>
                <w:color w:val="auto"/>
                <w:szCs w:val="21"/>
                <w:highlight w:val="none"/>
                <w:u w:val="single"/>
              </w:rPr>
              <w:t xml:space="preserve"> </w:t>
            </w:r>
            <w:r>
              <w:rPr>
                <w:rFonts w:ascii="宋体" w:hAnsi="宋体"/>
                <w:color w:val="auto"/>
                <w:szCs w:val="21"/>
                <w:highlight w:val="none"/>
              </w:rPr>
              <w:t>时</w:t>
            </w:r>
            <w:r>
              <w:rPr>
                <w:rFonts w:hint="eastAsia" w:ascii="宋体" w:hAnsi="宋体"/>
                <w:color w:val="auto"/>
                <w:szCs w:val="21"/>
                <w:highlight w:val="none"/>
                <w:u w:val="single"/>
              </w:rPr>
              <w:t xml:space="preserve"> </w:t>
            </w:r>
            <w:r>
              <w:rPr>
                <w:rFonts w:hint="eastAsia" w:ascii="宋体" w:hAnsi="宋体"/>
                <w:color w:val="auto"/>
                <w:szCs w:val="21"/>
                <w:highlight w:val="none"/>
                <w:u w:val="single"/>
                <w:lang w:val="en-US" w:eastAsia="zh-CN"/>
              </w:rPr>
              <w:t>00</w:t>
            </w:r>
            <w:r>
              <w:rPr>
                <w:rFonts w:hint="eastAsia" w:ascii="宋体" w:hAnsi="宋体"/>
                <w:color w:val="auto"/>
                <w:szCs w:val="21"/>
                <w:highlight w:val="none"/>
                <w:u w:val="single"/>
              </w:rPr>
              <w:t xml:space="preserve"> </w:t>
            </w:r>
            <w:r>
              <w:rPr>
                <w:rFonts w:ascii="宋体" w:hAnsi="宋体"/>
                <w:color w:val="auto"/>
                <w:szCs w:val="21"/>
                <w:highlight w:val="none"/>
              </w:rPr>
              <w:t>分（北京时间）前提交响应文件。</w:t>
            </w:r>
          </w:p>
        </w:tc>
      </w:tr>
    </w:tbl>
    <w:p w14:paraId="678AEA73">
      <w:pPr>
        <w:kinsoku w:val="0"/>
        <w:overflowPunct w:val="0"/>
        <w:autoSpaceDE w:val="0"/>
        <w:autoSpaceDN w:val="0"/>
        <w:snapToGrid w:val="0"/>
        <w:spacing w:line="420" w:lineRule="exact"/>
        <w:ind w:firstLine="422" w:firstLineChars="200"/>
        <w:outlineLvl w:val="1"/>
        <w:rPr>
          <w:rFonts w:hint="eastAsia" w:ascii="宋体" w:hAnsi="宋体"/>
          <w:b/>
          <w:color w:val="auto"/>
          <w:szCs w:val="21"/>
          <w:highlight w:val="none"/>
        </w:rPr>
      </w:pPr>
      <w:r>
        <w:rPr>
          <w:rFonts w:ascii="宋体" w:hAnsi="宋体"/>
          <w:b/>
          <w:color w:val="auto"/>
          <w:szCs w:val="21"/>
          <w:highlight w:val="none"/>
        </w:rPr>
        <w:t>一、项目基本情况</w:t>
      </w:r>
    </w:p>
    <w:p w14:paraId="04256304">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1.项目名称：南通市崇川区城市工程建设管理中心2025-2027年崇川区市政道路养护维修项目</w:t>
      </w:r>
    </w:p>
    <w:p w14:paraId="17A7E31B">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2.项目实施的地点：崇川区</w:t>
      </w:r>
    </w:p>
    <w:p w14:paraId="3A1C8F9E">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3.采购方式：公开招标</w:t>
      </w:r>
    </w:p>
    <w:p w14:paraId="21710CEC">
      <w:pPr>
        <w:widowControl/>
        <w:snapToGrid w:val="0"/>
        <w:spacing w:line="420" w:lineRule="exact"/>
        <w:ind w:firstLine="420" w:firstLineChars="200"/>
        <w:jc w:val="left"/>
        <w:rPr>
          <w:rFonts w:hint="eastAsia"/>
          <w:color w:val="auto"/>
          <w:sz w:val="21"/>
          <w:szCs w:val="21"/>
          <w:highlight w:val="none"/>
        </w:rPr>
      </w:pPr>
      <w:r>
        <w:rPr>
          <w:rFonts w:hint="eastAsia"/>
          <w:color w:val="auto"/>
          <w:sz w:val="21"/>
          <w:szCs w:val="21"/>
          <w:highlight w:val="none"/>
        </w:rPr>
        <w:t>4.预算金额（</w:t>
      </w:r>
      <w:r>
        <w:rPr>
          <w:rFonts w:hint="eastAsia"/>
          <w:color w:val="auto"/>
          <w:sz w:val="21"/>
          <w:szCs w:val="21"/>
          <w:highlight w:val="none"/>
          <w:lang w:val="en-US" w:eastAsia="zh-CN"/>
        </w:rPr>
        <w:t>招标控制价</w:t>
      </w:r>
      <w:r>
        <w:rPr>
          <w:rFonts w:hint="eastAsia"/>
          <w:color w:val="auto"/>
          <w:sz w:val="21"/>
          <w:szCs w:val="21"/>
          <w:highlight w:val="none"/>
        </w:rPr>
        <w:t>）：</w:t>
      </w:r>
      <w:r>
        <w:rPr>
          <w:rFonts w:hint="eastAsia" w:ascii="宋体" w:hAnsi="宋体" w:eastAsia="宋体" w:cs="宋体"/>
          <w:color w:val="auto"/>
          <w:sz w:val="21"/>
          <w:szCs w:val="21"/>
          <w:highlight w:val="none"/>
        </w:rPr>
        <w:t>本项目采用</w:t>
      </w:r>
      <w:r>
        <w:rPr>
          <w:rFonts w:hint="eastAsia" w:ascii="宋体" w:hAnsi="宋体" w:eastAsia="宋体" w:cs="宋体"/>
          <w:b/>
          <w:bCs/>
          <w:color w:val="auto"/>
          <w:sz w:val="21"/>
          <w:szCs w:val="21"/>
          <w:highlight w:val="none"/>
          <w:u w:val="single"/>
        </w:rPr>
        <w:t>固定</w:t>
      </w:r>
      <w:r>
        <w:rPr>
          <w:rFonts w:hint="eastAsia" w:ascii="宋体" w:hAnsi="宋体" w:eastAsia="宋体" w:cs="宋体"/>
          <w:b/>
          <w:bCs/>
          <w:color w:val="auto"/>
          <w:sz w:val="21"/>
          <w:szCs w:val="21"/>
          <w:highlight w:val="none"/>
          <w:u w:val="single"/>
          <w:lang w:val="en-US" w:eastAsia="zh-CN"/>
        </w:rPr>
        <w:t>优惠率</w:t>
      </w:r>
      <w:r>
        <w:rPr>
          <w:rFonts w:hint="eastAsia" w:ascii="宋体" w:hAnsi="宋体" w:eastAsia="宋体" w:cs="宋体"/>
          <w:color w:val="auto"/>
          <w:sz w:val="21"/>
          <w:szCs w:val="21"/>
          <w:highlight w:val="none"/>
        </w:rPr>
        <w:t>报价，</w:t>
      </w:r>
      <w:r>
        <w:rPr>
          <w:rFonts w:hint="eastAsia" w:ascii="宋体" w:hAnsi="宋体" w:eastAsia="宋体" w:cs="宋体"/>
          <w:b/>
          <w:bCs/>
          <w:color w:val="auto"/>
          <w:sz w:val="21"/>
          <w:szCs w:val="21"/>
          <w:highlight w:val="none"/>
          <w:u w:val="thick" w:color="FF0000"/>
        </w:rPr>
        <w:t>投标</w:t>
      </w:r>
      <w:r>
        <w:rPr>
          <w:rFonts w:hint="eastAsia" w:ascii="宋体" w:hAnsi="宋体" w:eastAsia="宋体" w:cs="宋体"/>
          <w:b/>
          <w:bCs/>
          <w:color w:val="auto"/>
          <w:sz w:val="21"/>
          <w:szCs w:val="21"/>
          <w:highlight w:val="none"/>
          <w:u w:val="thick" w:color="FF0000"/>
          <w:lang w:val="en-US" w:eastAsia="zh-CN"/>
        </w:rPr>
        <w:t>优惠</w:t>
      </w:r>
      <w:r>
        <w:rPr>
          <w:rFonts w:hint="eastAsia" w:ascii="宋体" w:hAnsi="宋体" w:eastAsia="宋体" w:cs="宋体"/>
          <w:b/>
          <w:bCs/>
          <w:color w:val="auto"/>
          <w:sz w:val="21"/>
          <w:szCs w:val="21"/>
          <w:highlight w:val="none"/>
          <w:u w:val="thick" w:color="FF0000"/>
        </w:rPr>
        <w:t>率不得</w:t>
      </w:r>
      <w:r>
        <w:rPr>
          <w:rFonts w:hint="eastAsia" w:ascii="宋体" w:hAnsi="宋体" w:eastAsia="宋体" w:cs="宋体"/>
          <w:b/>
          <w:bCs/>
          <w:color w:val="auto"/>
          <w:sz w:val="21"/>
          <w:szCs w:val="21"/>
          <w:highlight w:val="none"/>
          <w:u w:val="thick" w:color="FF0000"/>
          <w:lang w:val="en-US" w:eastAsia="zh-CN"/>
        </w:rPr>
        <w:t>低</w:t>
      </w:r>
      <w:r>
        <w:rPr>
          <w:rFonts w:hint="eastAsia" w:ascii="宋体" w:hAnsi="宋体" w:eastAsia="宋体" w:cs="宋体"/>
          <w:b/>
          <w:bCs/>
          <w:color w:val="auto"/>
          <w:sz w:val="21"/>
          <w:szCs w:val="21"/>
          <w:highlight w:val="none"/>
          <w:u w:val="thick" w:color="FF0000"/>
        </w:rPr>
        <w:t>于或等于5</w:t>
      </w:r>
      <w:r>
        <w:rPr>
          <w:rFonts w:hint="eastAsia" w:ascii="宋体" w:hAnsi="宋体" w:eastAsia="宋体" w:cs="宋体"/>
          <w:b/>
          <w:bCs/>
          <w:color w:val="auto"/>
          <w:sz w:val="21"/>
          <w:szCs w:val="21"/>
          <w:highlight w:val="none"/>
          <w:u w:val="thick" w:color="FF0000"/>
          <w:lang w:val="en-US" w:eastAsia="zh-CN"/>
        </w:rPr>
        <w:t>.00</w:t>
      </w:r>
      <w:r>
        <w:rPr>
          <w:rFonts w:hint="eastAsia" w:ascii="宋体" w:hAnsi="宋体" w:eastAsia="宋体" w:cs="宋体"/>
          <w:b/>
          <w:bCs/>
          <w:color w:val="auto"/>
          <w:sz w:val="21"/>
          <w:szCs w:val="21"/>
          <w:highlight w:val="none"/>
          <w:u w:val="thick" w:color="FF0000"/>
        </w:rPr>
        <w:t>%，否则作废标处理。</w:t>
      </w:r>
    </w:p>
    <w:p w14:paraId="136C81E3">
      <w:pPr>
        <w:widowControl/>
        <w:spacing w:line="420" w:lineRule="exact"/>
        <w:ind w:firstLine="437"/>
        <w:jc w:val="left"/>
        <w:rPr>
          <w:rFonts w:hint="eastAsia" w:ascii="宋体" w:hAnsi="宋体" w:cs="宋体"/>
          <w:color w:val="auto"/>
          <w:szCs w:val="21"/>
          <w:highlight w:val="none"/>
          <w:u w:val="single"/>
        </w:rPr>
      </w:pPr>
      <w:r>
        <w:rPr>
          <w:rFonts w:hint="eastAsia" w:ascii="宋体" w:hAnsi="宋体" w:cs="宋体"/>
          <w:color w:val="auto"/>
          <w:szCs w:val="21"/>
          <w:highlight w:val="none"/>
        </w:rPr>
        <w:t>5.工程规模：</w:t>
      </w:r>
      <w:r>
        <w:rPr>
          <w:rFonts w:hint="eastAsia" w:ascii="宋体" w:hAnsi="宋体" w:cs="宋体"/>
          <w:color w:val="auto"/>
          <w:szCs w:val="21"/>
          <w:highlight w:val="none"/>
          <w:u w:val="single"/>
        </w:rPr>
        <w:t>计划总投资约2</w:t>
      </w:r>
      <w:r>
        <w:rPr>
          <w:rFonts w:ascii="宋体" w:hAnsi="宋体" w:cs="宋体"/>
          <w:color w:val="auto"/>
          <w:szCs w:val="21"/>
          <w:highlight w:val="none"/>
          <w:u w:val="single"/>
        </w:rPr>
        <w:t>5</w:t>
      </w:r>
      <w:r>
        <w:rPr>
          <w:rFonts w:hint="eastAsia" w:ascii="宋体" w:hAnsi="宋体" w:cs="宋体"/>
          <w:color w:val="auto"/>
          <w:szCs w:val="21"/>
          <w:highlight w:val="none"/>
          <w:u w:val="single"/>
        </w:rPr>
        <w:t>00万元/年（平均每家约</w:t>
      </w:r>
      <w:r>
        <w:rPr>
          <w:rFonts w:ascii="宋体" w:hAnsi="宋体" w:cs="宋体"/>
          <w:color w:val="auto"/>
          <w:szCs w:val="21"/>
          <w:highlight w:val="none"/>
          <w:u w:val="single"/>
        </w:rPr>
        <w:t>5</w:t>
      </w:r>
      <w:r>
        <w:rPr>
          <w:rFonts w:hint="eastAsia" w:ascii="宋体" w:hAnsi="宋体" w:cs="宋体"/>
          <w:color w:val="auto"/>
          <w:szCs w:val="21"/>
          <w:highlight w:val="none"/>
          <w:u w:val="single"/>
        </w:rPr>
        <w:t>00万元/年），最终结算以实际巡查、养护维修的工程量为准</w:t>
      </w:r>
      <w:r>
        <w:rPr>
          <w:rFonts w:hint="eastAsia" w:ascii="宋体" w:hAnsi="宋体" w:cs="宋体"/>
          <w:color w:val="auto"/>
          <w:szCs w:val="21"/>
          <w:highlight w:val="none"/>
          <w:u w:val="single"/>
          <w:lang w:eastAsia="zh-CN"/>
        </w:rPr>
        <w:t>。</w:t>
      </w:r>
      <w:r>
        <w:rPr>
          <w:rFonts w:hint="eastAsia" w:ascii="宋体" w:hAnsi="宋体" w:cs="宋体"/>
          <w:color w:val="auto"/>
          <w:szCs w:val="21"/>
          <w:highlight w:val="none"/>
          <w:u w:val="single"/>
          <w:lang w:val="en-US" w:eastAsia="zh-CN"/>
        </w:rPr>
        <w:t>本项目巡查费用按月结算，巡查路段明细详见附件，如管养过程中出现路段的增减，则巡查费用按照中标单价进行相应的调增（调减）</w:t>
      </w:r>
      <w:r>
        <w:rPr>
          <w:rFonts w:hint="eastAsia" w:ascii="宋体" w:hAnsi="宋体" w:cs="宋体"/>
          <w:color w:val="auto"/>
          <w:szCs w:val="21"/>
          <w:highlight w:val="none"/>
          <w:u w:val="single"/>
        </w:rPr>
        <w:t>。具体</w:t>
      </w:r>
      <w:r>
        <w:rPr>
          <w:rFonts w:ascii="宋体" w:hAnsi="宋体" w:cs="宋体"/>
          <w:color w:val="auto"/>
          <w:szCs w:val="21"/>
          <w:highlight w:val="none"/>
          <w:u w:val="single"/>
        </w:rPr>
        <w:t>划分</w:t>
      </w:r>
      <w:r>
        <w:rPr>
          <w:rFonts w:hint="eastAsia" w:ascii="宋体" w:hAnsi="宋体" w:cs="宋体"/>
          <w:color w:val="auto"/>
          <w:szCs w:val="21"/>
          <w:highlight w:val="none"/>
          <w:u w:val="single"/>
        </w:rPr>
        <w:t>养护</w:t>
      </w:r>
      <w:r>
        <w:rPr>
          <w:rFonts w:ascii="宋体" w:hAnsi="宋体" w:cs="宋体"/>
          <w:color w:val="auto"/>
          <w:szCs w:val="21"/>
          <w:highlight w:val="none"/>
          <w:u w:val="single"/>
        </w:rPr>
        <w:t>范围如下：</w:t>
      </w:r>
    </w:p>
    <w:p w14:paraId="6F1E5FC0">
      <w:pPr>
        <w:widowControl/>
        <w:shd w:val="clear" w:color="auto" w:fill="FFFFFF"/>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标段1：唐闸、幸福、秦灶街道等范围内的区管市政设施巡查、养护维修（应急及临时交办的工作内容不受养护范围限制）；</w:t>
      </w:r>
    </w:p>
    <w:p w14:paraId="2C254C40">
      <w:pPr>
        <w:widowControl/>
        <w:shd w:val="clear" w:color="auto" w:fill="FFFFFF"/>
        <w:spacing w:line="420" w:lineRule="exact"/>
        <w:ind w:firstLine="420" w:firstLineChars="200"/>
        <w:jc w:val="left"/>
        <w:rPr>
          <w:rFonts w:hint="eastAsia" w:ascii="宋体" w:hAnsi="宋体" w:cs="宋体" w:eastAsiaTheme="minorEastAsia"/>
          <w:color w:val="auto"/>
          <w:szCs w:val="21"/>
          <w:highlight w:val="none"/>
          <w:lang w:eastAsia="zh-CN"/>
        </w:rPr>
      </w:pPr>
      <w:r>
        <w:rPr>
          <w:rFonts w:hint="eastAsia" w:ascii="宋体" w:hAnsi="宋体" w:cs="宋体"/>
          <w:color w:val="auto"/>
          <w:szCs w:val="21"/>
          <w:highlight w:val="none"/>
        </w:rPr>
        <w:t>标段2：永兴、天生港、陈桥街道等范围内的区管市政设施巡查、养护维修（应急及临时交办的工作内容不受养护范围限制）</w:t>
      </w:r>
      <w:r>
        <w:rPr>
          <w:rFonts w:hint="eastAsia" w:ascii="宋体" w:hAnsi="宋体" w:cs="宋体"/>
          <w:color w:val="auto"/>
          <w:szCs w:val="21"/>
          <w:highlight w:val="none"/>
          <w:lang w:eastAsia="zh-CN"/>
        </w:rPr>
        <w:t>；</w:t>
      </w:r>
    </w:p>
    <w:p w14:paraId="3D6DA935">
      <w:pPr>
        <w:widowControl/>
        <w:shd w:val="clear" w:color="auto" w:fill="FFFFFF"/>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标段3：新城桥、和平桥、任港、虹桥街道等范围内的区管市政设施巡查、养护维修（应急及临时交办的工作内容不受养护范围限制）；</w:t>
      </w:r>
    </w:p>
    <w:p w14:paraId="03E9167E">
      <w:pPr>
        <w:widowControl/>
        <w:shd w:val="clear" w:color="auto" w:fill="FFFFFF"/>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标段4：文峰、学田、城东</w:t>
      </w:r>
      <w:r>
        <w:rPr>
          <w:rFonts w:ascii="宋体" w:hAnsi="宋体" w:cs="宋体"/>
          <w:color w:val="auto"/>
          <w:szCs w:val="21"/>
          <w:highlight w:val="none"/>
        </w:rPr>
        <w:t>街道</w:t>
      </w:r>
      <w:r>
        <w:rPr>
          <w:rFonts w:hint="eastAsia" w:ascii="宋体" w:hAnsi="宋体" w:cs="宋体"/>
          <w:color w:val="auto"/>
          <w:szCs w:val="21"/>
          <w:highlight w:val="none"/>
        </w:rPr>
        <w:t>等范围内的区管市政设施巡查、养护维修（应急及临时交办的工作内容不受养护范围限制）；</w:t>
      </w:r>
    </w:p>
    <w:p w14:paraId="20D93C43">
      <w:pPr>
        <w:widowControl/>
        <w:shd w:val="clear" w:color="auto" w:fill="FFFFFF"/>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标段5：观音山、狼山镇、钟秀街道等范围内的区管市政设施巡查、养护维修（应急及临时交办的工作内容不受养护范围限制）。</w:t>
      </w:r>
    </w:p>
    <w:p w14:paraId="70AA2462">
      <w:pPr>
        <w:widowControl/>
        <w:shd w:val="clear" w:color="auto" w:fill="FFFFFF"/>
        <w:spacing w:line="440" w:lineRule="exact"/>
        <w:ind w:firstLine="420" w:firstLineChars="200"/>
        <w:jc w:val="left"/>
        <w:rPr>
          <w:rFonts w:hint="eastAsia" w:ascii="宋体" w:hAnsi="宋体" w:cs="宋体"/>
          <w:bCs/>
          <w:color w:val="auto"/>
          <w:szCs w:val="21"/>
          <w:highlight w:val="none"/>
          <w:u w:val="single"/>
        </w:rPr>
      </w:pPr>
      <w:r>
        <w:rPr>
          <w:rFonts w:hint="eastAsia" w:ascii="宋体" w:hAnsi="宋体"/>
          <w:color w:val="auto"/>
          <w:szCs w:val="21"/>
          <w:highlight w:val="none"/>
        </w:rPr>
        <w:t>6.采购内容：</w:t>
      </w:r>
      <w:r>
        <w:rPr>
          <w:rFonts w:hint="eastAsia" w:ascii="宋体" w:hAnsi="宋体" w:cs="宋体"/>
          <w:bCs/>
          <w:color w:val="auto"/>
          <w:szCs w:val="21"/>
          <w:highlight w:val="none"/>
          <w:u w:val="single"/>
        </w:rPr>
        <w:t>崇川区辖区范围内的市政设施巡查、养护维修，</w:t>
      </w:r>
      <w:r>
        <w:rPr>
          <w:rFonts w:ascii="宋体" w:hAnsi="宋体" w:cs="宋体"/>
          <w:bCs/>
          <w:color w:val="auto"/>
          <w:szCs w:val="21"/>
          <w:highlight w:val="none"/>
          <w:u w:val="single"/>
        </w:rPr>
        <w:t>具体内容如下：</w:t>
      </w:r>
    </w:p>
    <w:p w14:paraId="3D1A0A06">
      <w:pPr>
        <w:widowControl/>
        <w:shd w:val="clear" w:color="auto" w:fill="FFFFFF"/>
        <w:spacing w:line="440" w:lineRule="exact"/>
        <w:ind w:firstLine="420" w:firstLineChars="200"/>
        <w:jc w:val="left"/>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①设施巡查。按规定频次开展道路、桥梁巡查，通过</w:t>
      </w:r>
      <w:r>
        <w:rPr>
          <w:rFonts w:hint="eastAsia" w:ascii="宋体" w:hAnsi="宋体" w:cs="宋体"/>
          <w:bCs/>
          <w:color w:val="auto"/>
          <w:szCs w:val="21"/>
          <w:highlight w:val="none"/>
          <w:u w:val="single"/>
          <w:lang w:val="en-US" w:eastAsia="zh-CN"/>
        </w:rPr>
        <w:t>相关</w:t>
      </w:r>
      <w:r>
        <w:rPr>
          <w:rFonts w:hint="eastAsia" w:ascii="宋体" w:hAnsi="宋体" w:cs="宋体"/>
          <w:bCs/>
          <w:color w:val="auto"/>
          <w:szCs w:val="21"/>
          <w:highlight w:val="none"/>
          <w:u w:val="single"/>
        </w:rPr>
        <w:t>系统做好缺陷病害上报，按要求设置警示防护标志；及时做好平台案件的核实及反馈；冬季桥面扫雪除冰；参与设施移交验收；参与道路占用、挖掘现场勘验，做好过程监管，劝阻违法、违章行为，清除人行道表面青苔以及道板、侧缘石缝间杂草，保持桥面泄水孔畅通；按“一桥一挡”、“一路一档”建立巡查档案。</w:t>
      </w:r>
    </w:p>
    <w:p w14:paraId="6E818201">
      <w:pPr>
        <w:widowControl/>
        <w:shd w:val="clear" w:color="auto" w:fill="FFFFFF"/>
        <w:spacing w:line="440" w:lineRule="exact"/>
        <w:ind w:firstLine="420" w:firstLineChars="200"/>
        <w:jc w:val="left"/>
        <w:rPr>
          <w:rFonts w:hint="eastAsia" w:ascii="宋体" w:hAnsi="宋体" w:cs="宋体"/>
          <w:bCs/>
          <w:color w:val="auto"/>
          <w:szCs w:val="21"/>
          <w:highlight w:val="none"/>
          <w:u w:val="single"/>
        </w:rPr>
      </w:pPr>
      <w:r>
        <w:rPr>
          <w:rFonts w:hint="eastAsia" w:ascii="宋体" w:hAnsi="宋体" w:cs="宋体"/>
          <w:bCs/>
          <w:color w:val="auto"/>
          <w:szCs w:val="21"/>
          <w:highlight w:val="none"/>
          <w:u w:val="single"/>
        </w:rPr>
        <w:t>②设施养护维修。城市支路（背街后巷）、桥梁与无物业维护的老小区的市政设施养护维修，包括：</w:t>
      </w:r>
      <w:r>
        <w:rPr>
          <w:rFonts w:ascii="宋体" w:hAnsi="宋体" w:cs="宋体"/>
          <w:bCs/>
          <w:color w:val="auto"/>
          <w:szCs w:val="21"/>
          <w:highlight w:val="none"/>
          <w:u w:val="single"/>
        </w:rPr>
        <w:t>路面及路基维修、人行道</w:t>
      </w:r>
      <w:r>
        <w:rPr>
          <w:rFonts w:hint="eastAsia" w:ascii="宋体" w:hAnsi="宋体" w:cs="宋体"/>
          <w:bCs/>
          <w:color w:val="auto"/>
          <w:szCs w:val="21"/>
          <w:highlight w:val="none"/>
          <w:u w:val="single"/>
        </w:rPr>
        <w:t>维修、路缘石</w:t>
      </w:r>
      <w:r>
        <w:rPr>
          <w:rFonts w:ascii="宋体" w:hAnsi="宋体" w:cs="宋体"/>
          <w:bCs/>
          <w:color w:val="auto"/>
          <w:szCs w:val="21"/>
          <w:highlight w:val="none"/>
          <w:u w:val="single"/>
        </w:rPr>
        <w:t>维修</w:t>
      </w:r>
      <w:r>
        <w:rPr>
          <w:rFonts w:hint="eastAsia" w:ascii="宋体" w:hAnsi="宋体" w:cs="宋体"/>
          <w:bCs/>
          <w:color w:val="auto"/>
          <w:szCs w:val="21"/>
          <w:highlight w:val="none"/>
          <w:u w:val="single"/>
        </w:rPr>
        <w:t>、镶边石维修、桥面铺装维修、桥梁栏杆维修、检查井翻修、雨水口翻修、排水管道翻修、积水路段整治，以及市政设施抢修等事项。</w:t>
      </w:r>
    </w:p>
    <w:p w14:paraId="15892062">
      <w:pPr>
        <w:widowControl/>
        <w:snapToGrid w:val="0"/>
        <w:spacing w:line="420" w:lineRule="exact"/>
        <w:ind w:firstLine="420" w:firstLineChars="200"/>
        <w:jc w:val="left"/>
        <w:rPr>
          <w:rFonts w:hint="eastAsia" w:ascii="宋体" w:hAnsi="宋体"/>
          <w:b/>
          <w:bCs/>
          <w:color w:val="auto"/>
          <w:szCs w:val="21"/>
          <w:highlight w:val="none"/>
        </w:rPr>
      </w:pPr>
      <w:r>
        <w:rPr>
          <w:rFonts w:hint="eastAsia" w:ascii="宋体" w:hAnsi="宋体"/>
          <w:color w:val="auto"/>
          <w:szCs w:val="21"/>
          <w:highlight w:val="none"/>
        </w:rPr>
        <w:t>7.养护维修服务期限：</w:t>
      </w:r>
      <w:r>
        <w:rPr>
          <w:rFonts w:hint="eastAsia" w:ascii="宋体" w:hAnsi="宋体"/>
          <w:b/>
          <w:bCs/>
          <w:color w:val="auto"/>
          <w:szCs w:val="21"/>
          <w:highlight w:val="none"/>
        </w:rPr>
        <w:t>两年，自2025年4月1日起至2027年3月31日止（暂定，具体以合同签订时间为准）；单项维修任务必须在采购人及信访平台规定的时间内完成。</w:t>
      </w:r>
    </w:p>
    <w:p w14:paraId="6AA762AF">
      <w:pPr>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8.质量要求：（1）设施巡查质量执行《崇川区市政设施巡查考核评价标准》，每家中标人必须安排1名施工技术人员至采购人指定的地点办公。（2）设施养护维修质量目标合格，符合《城镇道路养护技术规范》（CJJ36-2016）、《城镇道路工程施工与质量验收规范》（CJJ1-2008）、《沥青路面施工及验收规范》（GB50092-96）、《城镇给水排水技术规范》（GB50788-2012）、《城市桥梁养护技术规范》（CJJ99-2017）、《给水排水管道工程施工及验收规范》（GB 50268-2008）等规范要求，以及《崇川区市政设施养护维修技术标准》、《崇川区市政设施巡查考核评价标准》、《崇川区市政设施养护维修考核评价标准》的要求。</w:t>
      </w:r>
    </w:p>
    <w:p w14:paraId="1C021DC8">
      <w:pPr>
        <w:spacing w:line="420" w:lineRule="exact"/>
        <w:ind w:firstLine="422" w:firstLineChars="200"/>
        <w:jc w:val="left"/>
        <w:rPr>
          <w:b/>
          <w:bCs/>
          <w:color w:val="auto"/>
          <w:highlight w:val="none"/>
        </w:rPr>
      </w:pPr>
      <w:r>
        <w:rPr>
          <w:rFonts w:hint="eastAsia" w:ascii="宋体" w:hAnsi="宋体"/>
          <w:b/>
          <w:bCs/>
          <w:color w:val="auto"/>
          <w:szCs w:val="21"/>
          <w:highlight w:val="none"/>
        </w:rPr>
        <w:t>9.本项目按养护维修范围划分为5个标段，实为一个项目，投标供应商可同时参与壹个或多个标段的投标，但不兼中。已中一个标段的投标单位不再参与其他标段价格标评审。任一标段不因本标段中标结果的改变而影响其他标段的中标结果。所有标段的</w:t>
      </w:r>
      <w:r>
        <w:rPr>
          <w:rFonts w:hint="eastAsia" w:ascii="宋体" w:hAnsi="宋体"/>
          <w:b/>
          <w:bCs/>
          <w:color w:val="auto"/>
          <w:szCs w:val="21"/>
          <w:highlight w:val="none"/>
          <w:lang w:eastAsia="zh-CN"/>
        </w:rPr>
        <w:t>采购文件</w:t>
      </w:r>
      <w:r>
        <w:rPr>
          <w:rFonts w:hint="eastAsia" w:ascii="宋体" w:hAnsi="宋体"/>
          <w:b/>
          <w:bCs/>
          <w:color w:val="auto"/>
          <w:szCs w:val="21"/>
          <w:highlight w:val="none"/>
        </w:rPr>
        <w:t>为同一个</w:t>
      </w:r>
      <w:r>
        <w:rPr>
          <w:rFonts w:hint="eastAsia" w:ascii="宋体" w:hAnsi="宋体"/>
          <w:b/>
          <w:bCs/>
          <w:color w:val="auto"/>
          <w:szCs w:val="21"/>
          <w:highlight w:val="none"/>
          <w:lang w:eastAsia="zh-CN"/>
        </w:rPr>
        <w:t>采购文件</w:t>
      </w:r>
      <w:r>
        <w:rPr>
          <w:rFonts w:hint="eastAsia" w:ascii="宋体" w:hAnsi="宋体"/>
          <w:b/>
          <w:bCs/>
          <w:color w:val="auto"/>
          <w:szCs w:val="21"/>
          <w:highlight w:val="none"/>
        </w:rPr>
        <w:t>。</w:t>
      </w:r>
    </w:p>
    <w:p w14:paraId="73A071B9">
      <w:pPr>
        <w:kinsoku w:val="0"/>
        <w:overflowPunct w:val="0"/>
        <w:autoSpaceDE w:val="0"/>
        <w:autoSpaceDN w:val="0"/>
        <w:snapToGrid w:val="0"/>
        <w:spacing w:line="420" w:lineRule="exact"/>
        <w:ind w:firstLine="422" w:firstLineChars="200"/>
        <w:outlineLvl w:val="1"/>
        <w:rPr>
          <w:rFonts w:hint="eastAsia" w:ascii="宋体" w:hAnsi="宋体"/>
          <w:b/>
          <w:color w:val="auto"/>
          <w:szCs w:val="21"/>
          <w:highlight w:val="none"/>
        </w:rPr>
      </w:pPr>
      <w:r>
        <w:rPr>
          <w:rFonts w:ascii="宋体" w:hAnsi="宋体"/>
          <w:b/>
          <w:color w:val="auto"/>
          <w:szCs w:val="21"/>
          <w:highlight w:val="none"/>
        </w:rPr>
        <w:t>二、</w:t>
      </w:r>
      <w:r>
        <w:rPr>
          <w:rFonts w:hint="eastAsia" w:ascii="宋体" w:hAnsi="宋体"/>
          <w:b/>
          <w:color w:val="auto"/>
          <w:szCs w:val="21"/>
          <w:highlight w:val="none"/>
        </w:rPr>
        <w:t>投标供应商</w:t>
      </w:r>
      <w:r>
        <w:rPr>
          <w:rFonts w:ascii="宋体" w:hAnsi="宋体"/>
          <w:b/>
          <w:color w:val="auto"/>
          <w:szCs w:val="21"/>
          <w:highlight w:val="none"/>
        </w:rPr>
        <w:t>的资格要求</w:t>
      </w:r>
    </w:p>
    <w:p w14:paraId="631A3AC4">
      <w:pPr>
        <w:widowControl/>
        <w:snapToGrid w:val="0"/>
        <w:spacing w:line="420" w:lineRule="exact"/>
        <w:ind w:firstLine="420" w:firstLineChars="200"/>
        <w:jc w:val="left"/>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满足《中华人民共和国政府采购法》第二十二条规定：具有独立承担民事责任的能力；具有良好的商业信誉和健全的财务会计制度；具有履行合同所必需的设备和专业技术能力；有依法缴纳税收和社会保障资金的良好记录；参加政府采购活动前三年内，在经营活动中没有重大违法记录。</w:t>
      </w:r>
    </w:p>
    <w:p w14:paraId="35BFAF2F">
      <w:pPr>
        <w:widowControl/>
        <w:snapToGrid w:val="0"/>
        <w:spacing w:line="420" w:lineRule="exact"/>
        <w:ind w:firstLine="420" w:firstLineChars="200"/>
        <w:jc w:val="left"/>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未被“信用中国”网站(www.creditchina.gov.cn) 列入失信被执行人</w:t>
      </w:r>
      <w:r>
        <w:rPr>
          <w:rFonts w:hint="eastAsia" w:ascii="宋体" w:hAnsi="宋体"/>
          <w:color w:val="auto"/>
          <w:szCs w:val="21"/>
          <w:highlight w:val="none"/>
        </w:rPr>
        <w:t>、重大税收违法案件当事人名单</w:t>
      </w:r>
      <w:r>
        <w:rPr>
          <w:rFonts w:ascii="宋体" w:hAnsi="宋体"/>
          <w:color w:val="auto"/>
          <w:szCs w:val="21"/>
          <w:highlight w:val="none"/>
        </w:rPr>
        <w:t>，未被</w:t>
      </w:r>
      <w:r>
        <w:rPr>
          <w:rFonts w:hint="eastAsia" w:ascii="宋体" w:hAnsi="宋体"/>
          <w:color w:val="auto"/>
          <w:szCs w:val="21"/>
          <w:highlight w:val="none"/>
        </w:rPr>
        <w:t>“中国政府采购网”（http://www.ccgp.gov.cn/）</w:t>
      </w:r>
      <w:r>
        <w:rPr>
          <w:rFonts w:ascii="宋体" w:hAnsi="宋体"/>
          <w:color w:val="auto"/>
          <w:szCs w:val="21"/>
          <w:highlight w:val="none"/>
        </w:rPr>
        <w:t>列入</w:t>
      </w:r>
      <w:r>
        <w:rPr>
          <w:rFonts w:hint="eastAsia" w:ascii="宋体" w:hAnsi="宋体"/>
          <w:color w:val="auto"/>
          <w:szCs w:val="21"/>
          <w:highlight w:val="none"/>
        </w:rPr>
        <w:t>政府采购严重违法失信行为记录名单。</w:t>
      </w:r>
    </w:p>
    <w:p w14:paraId="7BB9A189">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3.投标供应商必须是有能力按本</w:t>
      </w:r>
      <w:r>
        <w:rPr>
          <w:rFonts w:hint="eastAsia" w:ascii="宋体" w:hAnsi="宋体"/>
          <w:color w:val="auto"/>
          <w:szCs w:val="21"/>
          <w:highlight w:val="none"/>
          <w:lang w:eastAsia="zh-CN"/>
        </w:rPr>
        <w:t>采购文件</w:t>
      </w:r>
      <w:r>
        <w:rPr>
          <w:rFonts w:hint="eastAsia" w:ascii="宋体" w:hAnsi="宋体"/>
          <w:color w:val="auto"/>
          <w:szCs w:val="21"/>
          <w:highlight w:val="none"/>
        </w:rPr>
        <w:t>规定的要求提供相关货物及服务，须提供营业执照复印件或扫描打印件。</w:t>
      </w:r>
    </w:p>
    <w:p w14:paraId="7534E6F8">
      <w:pPr>
        <w:spacing w:line="42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4.投标供应商须具备</w:t>
      </w:r>
      <w:r>
        <w:rPr>
          <w:rFonts w:hint="eastAsia" w:ascii="宋体" w:hAnsi="宋体" w:cs="宋体"/>
          <w:b/>
          <w:bCs/>
          <w:snapToGrid w:val="0"/>
          <w:color w:val="auto"/>
          <w:szCs w:val="21"/>
          <w:highlight w:val="none"/>
          <w:u w:val="single"/>
        </w:rPr>
        <w:t>市政公用工程施工总承包叁级及以上资质</w:t>
      </w:r>
      <w:r>
        <w:rPr>
          <w:rFonts w:hint="eastAsia" w:ascii="宋体" w:hAnsi="宋体"/>
          <w:b/>
          <w:color w:val="auto"/>
          <w:szCs w:val="21"/>
          <w:highlight w:val="none"/>
          <w:u w:val="single"/>
        </w:rPr>
        <w:t>，同时</w:t>
      </w:r>
      <w:r>
        <w:rPr>
          <w:rFonts w:ascii="宋体" w:hAnsi="宋体"/>
          <w:b/>
          <w:color w:val="auto"/>
          <w:szCs w:val="21"/>
          <w:highlight w:val="none"/>
          <w:u w:val="single"/>
        </w:rPr>
        <w:t>具备安全生产条件，并取得有效</w:t>
      </w:r>
      <w:r>
        <w:rPr>
          <w:rFonts w:hint="eastAsia" w:ascii="宋体" w:hAnsi="宋体"/>
          <w:b/>
          <w:color w:val="auto"/>
          <w:szCs w:val="21"/>
          <w:highlight w:val="none"/>
          <w:u w:val="single"/>
        </w:rPr>
        <w:t>的</w:t>
      </w:r>
      <w:r>
        <w:rPr>
          <w:rFonts w:ascii="宋体" w:hAnsi="宋体"/>
          <w:b/>
          <w:color w:val="auto"/>
          <w:szCs w:val="21"/>
          <w:highlight w:val="none"/>
          <w:u w:val="single"/>
        </w:rPr>
        <w:t>安全生产许可证</w:t>
      </w:r>
      <w:r>
        <w:rPr>
          <w:rFonts w:hint="eastAsia" w:ascii="宋体" w:hAnsi="宋体" w:cs="宋体"/>
          <w:color w:val="auto"/>
          <w:szCs w:val="21"/>
          <w:highlight w:val="none"/>
        </w:rPr>
        <w:t>，并在人员、设备、资金等方面具有相应的施工能力。</w:t>
      </w:r>
    </w:p>
    <w:p w14:paraId="75B8F999">
      <w:pPr>
        <w:spacing w:line="42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5.拟派项目负责人资格如下：</w:t>
      </w:r>
    </w:p>
    <w:p w14:paraId="19C1AEFD">
      <w:pPr>
        <w:snapToGrid w:val="0"/>
        <w:spacing w:line="420" w:lineRule="exact"/>
        <w:ind w:right="-107"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5.1投标供应商</w:t>
      </w:r>
      <w:r>
        <w:rPr>
          <w:rFonts w:hint="eastAsia" w:ascii="宋体" w:hAnsi="宋体" w:cs="宋体"/>
          <w:color w:val="auto"/>
          <w:spacing w:val="-8"/>
          <w:szCs w:val="21"/>
          <w:highlight w:val="none"/>
        </w:rPr>
        <w:t>拟派项目负责人须具备</w:t>
      </w:r>
      <w:r>
        <w:rPr>
          <w:rFonts w:hint="eastAsia" w:ascii="宋体" w:hAnsi="宋体"/>
          <w:b/>
          <w:color w:val="auto"/>
          <w:szCs w:val="21"/>
          <w:highlight w:val="none"/>
          <w:u w:val="single"/>
        </w:rPr>
        <w:t>市政公用专业贰级及以上注册建造师，同时具有安全生产考核合格证（B证），项目负责人不得为本企业法定代表人、企业董事长、总经理。</w:t>
      </w:r>
      <w:r>
        <w:rPr>
          <w:rFonts w:hint="eastAsia" w:ascii="宋体" w:hAnsi="宋体" w:cs="宋体"/>
          <w:color w:val="auto"/>
          <w:szCs w:val="21"/>
          <w:highlight w:val="none"/>
        </w:rPr>
        <w:t>且必须满足下列条件：（1）项目负责人不得同时在两个或者两个以上单位受聘或者执业（a.未同时在两个及以上单位交纳社会保险；b.未将本人执（职）业资格证书同时注册在两个及以上单位）。</w:t>
      </w:r>
    </w:p>
    <w:p w14:paraId="38D05D59">
      <w:pPr>
        <w:widowControl/>
        <w:snapToGrid w:val="0"/>
        <w:spacing w:line="420" w:lineRule="exact"/>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5.</w:t>
      </w:r>
      <w:r>
        <w:rPr>
          <w:rFonts w:ascii="宋体" w:hAnsi="宋体" w:cs="宋体"/>
          <w:color w:val="auto"/>
          <w:szCs w:val="21"/>
          <w:highlight w:val="none"/>
        </w:rPr>
        <w:t>2</w:t>
      </w:r>
      <w:r>
        <w:rPr>
          <w:rFonts w:hint="eastAsia" w:ascii="宋体" w:hAnsi="宋体" w:cs="宋体"/>
          <w:color w:val="auto"/>
          <w:szCs w:val="21"/>
          <w:highlight w:val="none"/>
        </w:rPr>
        <w:t>拟派项目负责人为投标企业正式人员</w:t>
      </w:r>
      <w:r>
        <w:rPr>
          <w:rFonts w:hint="eastAsia" w:ascii="宋体" w:hAnsi="宋体"/>
          <w:color w:val="auto"/>
          <w:szCs w:val="21"/>
          <w:highlight w:val="none"/>
        </w:rPr>
        <w:t>【提供①与投标供应商签订的有效劳动合同复印件或扫描打印件；②</w:t>
      </w:r>
      <w:r>
        <w:rPr>
          <w:rFonts w:hint="eastAsia" w:ascii="宋体" w:hAnsi="宋体" w:cs="宋体"/>
          <w:color w:val="auto"/>
          <w:kern w:val="0"/>
          <w:szCs w:val="21"/>
          <w:highlight w:val="none"/>
          <w:lang w:eastAsia="zh-CN"/>
        </w:rPr>
        <w:t>投标供应商为其缴纳的自本公告发布日前近1个月的社保缴费清单。</w:t>
      </w:r>
    </w:p>
    <w:p w14:paraId="7E67BB0D">
      <w:pPr>
        <w:pStyle w:val="43"/>
        <w:rPr>
          <w:rFonts w:hint="eastAsia" w:ascii="宋体" w:cs="宋体" w:eastAsiaTheme="minorEastAsia"/>
          <w:b/>
          <w:bCs w:val="0"/>
          <w:color w:val="auto"/>
          <w:sz w:val="21"/>
          <w:szCs w:val="21"/>
          <w:highlight w:val="none"/>
          <w:u w:val="thick" w:color="FF0000"/>
        </w:rPr>
      </w:pPr>
      <w:r>
        <w:rPr>
          <w:rFonts w:hint="eastAsia" w:ascii="宋体" w:cs="宋体" w:eastAsiaTheme="minorEastAsia"/>
          <w:b/>
          <w:bCs w:val="0"/>
          <w:color w:val="auto"/>
          <w:sz w:val="21"/>
          <w:szCs w:val="21"/>
          <w:highlight w:val="none"/>
          <w:u w:val="thick" w:color="FF0000"/>
        </w:rPr>
        <w:t>特别提醒：①本工程投标人拟派项目负责人为二级注册建造师的，必须根据《省住房和城乡建设厅关于我省二级建造师、二级造价工程师、二级注册建筑师、二级注册结构工程师注册证书电子证照换发的公告》（(2023)第26号）文件要求使用并提供证书，如未按文件要求提供证书，该证书无效，视为项目负责人的资格不符合要求。</w:t>
      </w:r>
    </w:p>
    <w:p w14:paraId="29AE01AC">
      <w:pPr>
        <w:pStyle w:val="43"/>
        <w:rPr>
          <w:rFonts w:hint="eastAsia"/>
          <w:b/>
          <w:bCs w:val="0"/>
          <w:color w:val="auto"/>
          <w:highlight w:val="none"/>
        </w:rPr>
      </w:pPr>
      <w:r>
        <w:rPr>
          <w:rFonts w:hint="eastAsia" w:ascii="宋体" w:cs="宋体" w:eastAsiaTheme="minorEastAsia"/>
          <w:b/>
          <w:bCs w:val="0"/>
          <w:color w:val="auto"/>
          <w:sz w:val="21"/>
          <w:szCs w:val="21"/>
          <w:highlight w:val="none"/>
          <w:u w:val="thick" w:color="FF0000"/>
        </w:rPr>
        <w:t>②本工程投标人拟派项目负责人为一级注册建造师的，必须根据《住房和城乡建设部办公厅关于全面实行一级建造师电子注册证书的通知》（建办市〔2021〕40 号）文件要求使用并提供电子证书，如未按文件要求提供电子证书，该电子证书无效，视为拟派项目负责人的资格不符合要求。</w:t>
      </w:r>
    </w:p>
    <w:p w14:paraId="40A8E43D">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6.投标供应商法定代表人参加投标的，必须提供法定代表人身份证明（格式参见第七章）；</w:t>
      </w:r>
    </w:p>
    <w:p w14:paraId="3C070EF2">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非法定代表人参加的，必须提供①法定代表人身份证明（格式参见第七章）、②法定代表人签字或盖章的授权委托书（格式参见第七章）、被授权人为投标供应商正式人员证明材料【提供①与投标供应商签订的有效劳动合同复印件或扫描打印件；②</w:t>
      </w:r>
      <w:r>
        <w:rPr>
          <w:rFonts w:hint="eastAsia" w:ascii="宋体" w:hAnsi="宋体" w:cs="宋体"/>
          <w:color w:val="auto"/>
          <w:kern w:val="0"/>
          <w:szCs w:val="21"/>
          <w:highlight w:val="none"/>
        </w:rPr>
        <w:t>投标供应商为其缴纳的自本公告发布日前近1个月的社保缴费清单</w:t>
      </w:r>
      <w:r>
        <w:rPr>
          <w:rFonts w:hint="eastAsia" w:ascii="宋体" w:hAnsi="宋体"/>
          <w:color w:val="auto"/>
          <w:szCs w:val="21"/>
          <w:highlight w:val="none"/>
        </w:rPr>
        <w:t>】。</w:t>
      </w:r>
    </w:p>
    <w:p w14:paraId="574A7E20">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7.投标供应商须提供参与本次项目政府采购活动前三年内，在经营活动中没有重大违法记录的书面《无重大违法记录声明函》（格式参见第七章）。</w:t>
      </w:r>
    </w:p>
    <w:p w14:paraId="3188F7F0">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8.关于资格文件的声明函（格式参见第七章）。</w:t>
      </w:r>
    </w:p>
    <w:p w14:paraId="1BC48693">
      <w:pPr>
        <w:widowControl/>
        <w:snapToGrid w:val="0"/>
        <w:spacing w:line="42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9.本项目不接受联合体投标，中标后不得分包、转包。</w:t>
      </w:r>
    </w:p>
    <w:p w14:paraId="12AD3D4F">
      <w:pPr>
        <w:widowControl/>
        <w:snapToGrid w:val="0"/>
        <w:spacing w:line="42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特别提醒】单位负责人为同一人或者存在直接控股、管理关系的不同投标供应商，不得同时参与同一采购项目相同标段的政府采购活动；如发现投标供应商递交的资格审查文件有弄虚作假行为，该投标供应商将记入不良记录，并上报有关部门，如已中标，采购人有权取消其中标资格，并由该投标供应商承担由此带来可能的一切责任和损失。</w:t>
      </w:r>
    </w:p>
    <w:p w14:paraId="555BE492">
      <w:pPr>
        <w:pStyle w:val="23"/>
        <w:spacing w:line="420" w:lineRule="exact"/>
        <w:ind w:firstLine="422" w:firstLineChars="200"/>
        <w:outlineLvl w:val="9"/>
        <w:rPr>
          <w:rFonts w:hint="eastAsia" w:ascii="宋体" w:eastAsia="宋体" w:cs="宋体"/>
          <w:color w:val="auto"/>
          <w:sz w:val="21"/>
          <w:szCs w:val="21"/>
          <w:highlight w:val="none"/>
        </w:rPr>
      </w:pPr>
      <w:r>
        <w:rPr>
          <w:rFonts w:hint="eastAsia" w:ascii="宋体" w:eastAsia="宋体" w:cs="宋体"/>
          <w:b/>
          <w:color w:val="auto"/>
          <w:sz w:val="21"/>
          <w:szCs w:val="21"/>
          <w:highlight w:val="none"/>
        </w:rPr>
        <w:t>投标供应商应依照规定提交各类声明函、承诺函，不再同时提供原件备查或提供有关部门出具的相关证明文件。但中标人应做好提交声明函、承诺函相应原件的核查准备；核查后发现虚假或违背承诺的，依照相关法律法规规定处理。</w:t>
      </w:r>
    </w:p>
    <w:p w14:paraId="50993B59">
      <w:pPr>
        <w:kinsoku w:val="0"/>
        <w:overflowPunct w:val="0"/>
        <w:autoSpaceDE w:val="0"/>
        <w:autoSpaceDN w:val="0"/>
        <w:snapToGrid w:val="0"/>
        <w:spacing w:line="420" w:lineRule="exact"/>
        <w:ind w:firstLine="422" w:firstLineChars="200"/>
        <w:outlineLvl w:val="1"/>
        <w:rPr>
          <w:rFonts w:hint="eastAsia" w:ascii="宋体" w:hAnsi="宋体" w:eastAsiaTheme="minorEastAsia"/>
          <w:b/>
          <w:color w:val="auto"/>
          <w:szCs w:val="21"/>
          <w:highlight w:val="none"/>
          <w:lang w:eastAsia="zh-CN"/>
        </w:rPr>
      </w:pPr>
      <w:r>
        <w:rPr>
          <w:rFonts w:ascii="宋体" w:hAnsi="宋体"/>
          <w:b/>
          <w:color w:val="auto"/>
          <w:szCs w:val="21"/>
          <w:highlight w:val="none"/>
        </w:rPr>
        <w:t>三、获取</w:t>
      </w:r>
      <w:r>
        <w:rPr>
          <w:rFonts w:hint="eastAsia" w:ascii="宋体" w:hAnsi="宋体"/>
          <w:b/>
          <w:color w:val="auto"/>
          <w:szCs w:val="21"/>
          <w:highlight w:val="none"/>
          <w:lang w:eastAsia="zh-CN"/>
        </w:rPr>
        <w:t>采购文件</w:t>
      </w:r>
    </w:p>
    <w:p w14:paraId="744D4CCC">
      <w:pPr>
        <w:snapToGrid w:val="0"/>
        <w:spacing w:line="420" w:lineRule="exact"/>
        <w:ind w:firstLine="420" w:firstLineChars="200"/>
        <w:rPr>
          <w:rFonts w:hint="eastAsia" w:ascii="宋体" w:hAnsi="宋体"/>
          <w:color w:val="auto"/>
          <w:szCs w:val="21"/>
          <w:highlight w:val="none"/>
          <w:lang w:val="zh-CN"/>
        </w:rPr>
      </w:pPr>
      <w:r>
        <w:rPr>
          <w:rFonts w:hint="eastAsia" w:ascii="宋体" w:hAnsi="宋体"/>
          <w:color w:val="auto"/>
          <w:szCs w:val="21"/>
          <w:highlight w:val="none"/>
          <w:lang w:val="zh-CN"/>
        </w:rPr>
        <w:t>1.</w:t>
      </w:r>
      <w:r>
        <w:rPr>
          <w:rFonts w:ascii="宋体" w:hAnsi="宋体"/>
          <w:color w:val="auto"/>
          <w:szCs w:val="21"/>
          <w:highlight w:val="none"/>
          <w:lang w:val="zh-CN"/>
        </w:rPr>
        <w:t>获取时间：</w:t>
      </w:r>
      <w:r>
        <w:rPr>
          <w:rFonts w:ascii="宋体" w:hAnsi="宋体"/>
          <w:color w:val="auto"/>
          <w:szCs w:val="21"/>
          <w:highlight w:val="none"/>
          <w:u w:val="single"/>
          <w:lang w:val="zh-CN"/>
        </w:rPr>
        <w:t>自</w:t>
      </w:r>
      <w:r>
        <w:rPr>
          <w:rFonts w:hint="eastAsia" w:ascii="宋体" w:hAnsi="宋体"/>
          <w:color w:val="auto"/>
          <w:szCs w:val="21"/>
          <w:highlight w:val="none"/>
          <w:u w:val="single"/>
          <w:lang w:val="zh-CN"/>
        </w:rPr>
        <w:t>本</w:t>
      </w:r>
      <w:r>
        <w:rPr>
          <w:rFonts w:ascii="宋体" w:hAnsi="宋体"/>
          <w:color w:val="auto"/>
          <w:szCs w:val="21"/>
          <w:highlight w:val="none"/>
          <w:u w:val="single"/>
          <w:lang w:val="zh-CN"/>
        </w:rPr>
        <w:t>公告发布之日起</w:t>
      </w:r>
      <w:r>
        <w:rPr>
          <w:rFonts w:ascii="宋体" w:hAnsi="宋体"/>
          <w:color w:val="auto"/>
          <w:szCs w:val="21"/>
          <w:highlight w:val="none"/>
          <w:lang w:val="zh-CN"/>
        </w:rPr>
        <w:t>。</w:t>
      </w:r>
    </w:p>
    <w:p w14:paraId="08472BDC">
      <w:pPr>
        <w:snapToGrid w:val="0"/>
        <w:spacing w:line="420" w:lineRule="exact"/>
        <w:ind w:firstLine="420" w:firstLineChars="200"/>
        <w:rPr>
          <w:rFonts w:hint="eastAsia" w:ascii="宋体" w:hAnsi="宋体" w:eastAsia="宋体" w:cs="宋体"/>
          <w:color w:val="auto"/>
          <w:sz w:val="21"/>
          <w:szCs w:val="21"/>
          <w:highlight w:val="none"/>
          <w:u w:val="single"/>
          <w:lang w:val="zh-CN"/>
        </w:rPr>
      </w:pPr>
      <w:bookmarkStart w:id="3" w:name="_Toc387526173"/>
      <w:bookmarkStart w:id="4" w:name="_Toc387526369"/>
      <w:bookmarkStart w:id="5" w:name="_Toc387526277"/>
      <w:r>
        <w:rPr>
          <w:rFonts w:hint="eastAsia" w:ascii="宋体" w:hAnsi="宋体"/>
          <w:color w:val="auto"/>
          <w:szCs w:val="21"/>
          <w:highlight w:val="none"/>
          <w:lang w:val="zh-CN"/>
        </w:rPr>
        <w:t>2.</w:t>
      </w:r>
      <w:r>
        <w:rPr>
          <w:rFonts w:ascii="宋体" w:hAnsi="宋体"/>
          <w:color w:val="auto"/>
          <w:szCs w:val="21"/>
          <w:highlight w:val="none"/>
          <w:lang w:val="zh-CN"/>
        </w:rPr>
        <w:t>获取方式：</w:t>
      </w:r>
      <w:bookmarkEnd w:id="3"/>
      <w:bookmarkEnd w:id="4"/>
      <w:bookmarkEnd w:id="5"/>
      <w:r>
        <w:rPr>
          <w:rFonts w:hint="eastAsia" w:ascii="宋体" w:hAnsi="宋体" w:eastAsia="宋体" w:cs="宋体"/>
          <w:color w:val="auto"/>
          <w:sz w:val="21"/>
          <w:szCs w:val="21"/>
          <w:highlight w:val="none"/>
          <w:u w:val="single"/>
          <w:lang w:val="zh-CN"/>
        </w:rPr>
        <w:t>本项目采用网上注册登记方式。</w:t>
      </w:r>
    </w:p>
    <w:p w14:paraId="1CCAED3D">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2.1潜在供应商访问电子招标响应交易平台的网络地址和方法：</w:t>
      </w:r>
    </w:p>
    <w:p w14:paraId="0CD85B05">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苏采云”系统用户注册--获取“CA数字证书”--CA绑定与登录--网上报名--下载采购文件（后缀名为“.kedt”）--将后缀名为“.kedt”的采购文件导入政府采购客户端工具--制作响应文件--导出加密的响应文件（后缀名为zip）--通过“苏采云”系统上传响应文件。具体见《江苏省政府采购管理交易系统（苏采云）供应商操作手册》。</w:t>
      </w:r>
    </w:p>
    <w:p w14:paraId="32F408CF">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2.2潜在供应商访问“苏采云”系统的网络地址和方法：“苏采云”系统的网址：http://jszfcg.jsczt.cn/。</w:t>
      </w:r>
    </w:p>
    <w:p w14:paraId="194DD235">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2.3“CA数字证书”的获取：</w:t>
      </w:r>
    </w:p>
    <w:p w14:paraId="2FDAF1B0">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响应供应商需办理“CA 数字证书”，CA办理指南及“苏采云”操作手册可至江苏省政府采购网―办事指南-资料下载中心下载。</w:t>
      </w:r>
    </w:p>
    <w:p w14:paraId="53C0DAE6">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通过苏采云系统首页（http://jszfcg.jscz.gov.cn/）的“苏采云控件驱动下载”，选择“政务CA、方正签章控件驱动安装包及安装说明”下载安装，具体安装方法详见下载文件内的《安装说明》。</w:t>
      </w:r>
    </w:p>
    <w:p w14:paraId="12AA1690">
      <w:pPr>
        <w:snapToGrid w:val="0"/>
        <w:spacing w:line="420" w:lineRule="exact"/>
        <w:ind w:firstLine="420" w:firstLineChars="200"/>
        <w:rPr>
          <w:rFonts w:hint="eastAsia" w:ascii="宋体" w:hAnsi="宋体"/>
          <w:color w:val="auto"/>
          <w:szCs w:val="21"/>
          <w:highlight w:val="none"/>
          <w:lang w:val="en-US" w:eastAsia="zh-CN"/>
        </w:rPr>
      </w:pPr>
      <w:r>
        <w:rPr>
          <w:rFonts w:hint="eastAsia" w:ascii="宋体" w:hAnsi="宋体"/>
          <w:color w:val="auto"/>
          <w:szCs w:val="21"/>
          <w:highlight w:val="none"/>
          <w:lang w:val="en-US" w:eastAsia="zh-CN"/>
        </w:rPr>
        <w:t>2.4采购文件（后缀名为“.kedt”）、供应商操作手册及政府采购客户端工具可通过“苏采云”系统--已报名项目--报名详情页面内相应链接进行下载。</w:t>
      </w:r>
    </w:p>
    <w:p w14:paraId="7067B4AC">
      <w:pPr>
        <w:snapToGrid w:val="0"/>
        <w:spacing w:line="420" w:lineRule="exact"/>
        <w:ind w:firstLine="420" w:firstLineChars="200"/>
        <w:rPr>
          <w:rFonts w:hint="eastAsia" w:ascii="宋体" w:hAnsi="宋体" w:eastAsiaTheme="minorEastAsia" w:cstheme="minorBidi"/>
          <w:b w:val="0"/>
          <w:color w:val="auto"/>
          <w:spacing w:val="0"/>
          <w:kern w:val="2"/>
          <w:sz w:val="21"/>
          <w:szCs w:val="21"/>
          <w:highlight w:val="none"/>
          <w:lang w:val="en-US" w:eastAsia="zh-CN" w:bidi="ar-SA"/>
        </w:rPr>
      </w:pPr>
      <w:r>
        <w:rPr>
          <w:rFonts w:hint="eastAsia" w:ascii="宋体" w:hAnsi="宋体" w:eastAsiaTheme="minorEastAsia" w:cstheme="minorBidi"/>
          <w:b w:val="0"/>
          <w:color w:val="auto"/>
          <w:spacing w:val="0"/>
          <w:kern w:val="2"/>
          <w:sz w:val="21"/>
          <w:szCs w:val="21"/>
          <w:highlight w:val="none"/>
          <w:lang w:val="en-US" w:eastAsia="zh-CN" w:bidi="ar-SA"/>
        </w:rPr>
        <w:t>2.5采购人或采购代理机构将数据电文形式的采购文件加载至“苏采云”系统，供潜在供应商下载或者查阅。</w:t>
      </w:r>
    </w:p>
    <w:p w14:paraId="1245F3F5">
      <w:pPr>
        <w:snapToGrid w:val="0"/>
        <w:spacing w:line="420" w:lineRule="exact"/>
        <w:ind w:firstLine="420" w:firstLineChars="200"/>
        <w:rPr>
          <w:rFonts w:hint="eastAsia" w:ascii="宋体" w:hAnsi="宋体" w:eastAsia="宋体" w:cs="宋体"/>
          <w:color w:val="auto"/>
          <w:sz w:val="21"/>
          <w:szCs w:val="21"/>
          <w:highlight w:val="none"/>
          <w:lang w:val="en-US" w:eastAsia="zh-CN" w:bidi="ar-SA"/>
        </w:rPr>
      </w:pPr>
      <w:r>
        <w:rPr>
          <w:rFonts w:hint="eastAsia" w:ascii="宋体" w:hAnsi="宋体" w:eastAsia="宋体" w:cs="宋体"/>
          <w:color w:val="auto"/>
          <w:sz w:val="21"/>
          <w:szCs w:val="21"/>
          <w:highlight w:val="none"/>
          <w:lang w:val="en-US" w:eastAsia="zh-CN" w:bidi="ar-SA"/>
        </w:rPr>
        <w:t>2.6请潜在供应商提前安装相应的控件（详见《江苏省政府采购管理交易系统（苏采云）供应商操作手册》）并使用谷歌浏览器登录“苏采云”系统参与不见面开评标。</w:t>
      </w:r>
    </w:p>
    <w:p w14:paraId="1B492BCF">
      <w:pPr>
        <w:pStyle w:val="43"/>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bidi="ar-SA"/>
        </w:rPr>
      </w:pPr>
      <w:r>
        <w:rPr>
          <w:rFonts w:hint="eastAsia" w:ascii="宋体" w:eastAsia="宋体" w:cs="宋体"/>
          <w:color w:val="auto"/>
          <w:sz w:val="21"/>
          <w:szCs w:val="21"/>
          <w:highlight w:val="none"/>
          <w:lang w:val="en-US" w:eastAsia="zh-CN" w:bidi="ar-SA"/>
        </w:rPr>
        <w:t>2</w:t>
      </w:r>
      <w:r>
        <w:rPr>
          <w:rFonts w:hint="eastAsia" w:ascii="宋体" w:hAnsi="宋体" w:eastAsia="宋体" w:cs="宋体"/>
          <w:color w:val="auto"/>
          <w:sz w:val="21"/>
          <w:szCs w:val="21"/>
          <w:highlight w:val="none"/>
          <w:lang w:val="en-US" w:eastAsia="zh-CN" w:bidi="ar-SA"/>
        </w:rPr>
        <w:t>.7开评标全过程中，投标供应商一端参与交互的人员将均被视为是</w:t>
      </w:r>
      <w:r>
        <w:rPr>
          <w:rFonts w:hint="eastAsia" w:ascii="宋体" w:eastAsia="宋体" w:cs="宋体"/>
          <w:color w:val="auto"/>
          <w:sz w:val="21"/>
          <w:szCs w:val="21"/>
          <w:highlight w:val="none"/>
          <w:lang w:val="en-US" w:eastAsia="zh-CN" w:bidi="ar-SA"/>
        </w:rPr>
        <w:t>投标</w:t>
      </w:r>
      <w:r>
        <w:rPr>
          <w:rFonts w:hint="eastAsia" w:ascii="宋体" w:hAnsi="宋体" w:eastAsia="宋体" w:cs="宋体"/>
          <w:color w:val="auto"/>
          <w:sz w:val="21"/>
          <w:szCs w:val="21"/>
          <w:highlight w:val="none"/>
          <w:lang w:val="en-US" w:eastAsia="zh-CN" w:bidi="ar-SA"/>
        </w:rPr>
        <w:t>供应商的授权委托人或法定代表人，投标供应商不得以不承认交互人员的资格或身份等为借口抵赖推脱，投标供应商自行承担随意更换人员所导致的一切后果。为顺利实现本项目开评标的远程交互，建议投标供应商配置的硬件设施有：电脑或手机、高速稳定的网络、电源（不间断）、音视频设备（话筒、耳麦、高清摄像头、音响）等。为保证交互效果，建议投标供应商选择封闭安静的地点参与远程交互。因投标供应商自身软硬件问题而导致在交互过程中出现不稳定或中断等情况的，由投标供应商自身承担一切后果。</w:t>
      </w:r>
    </w:p>
    <w:p w14:paraId="167F017E">
      <w:pPr>
        <w:pStyle w:val="43"/>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注：如潜在供应商未按上述要求操作，将自行承担所产生的风险。</w:t>
      </w:r>
    </w:p>
    <w:p w14:paraId="3098F515">
      <w:pPr>
        <w:keepNext w:val="0"/>
        <w:keepLines w:val="0"/>
        <w:pageBreakBefore w:val="0"/>
        <w:kinsoku w:val="0"/>
        <w:wordWrap/>
        <w:overflowPunct w:val="0"/>
        <w:topLinePunct w:val="0"/>
        <w:autoSpaceDE w:val="0"/>
        <w:autoSpaceDN w:val="0"/>
        <w:bidi w:val="0"/>
        <w:adjustRightInd/>
        <w:snapToGrid w:val="0"/>
        <w:spacing w:line="360" w:lineRule="auto"/>
        <w:ind w:firstLine="422" w:firstLineChars="200"/>
        <w:textAlignment w:val="auto"/>
        <w:outlineLvl w:val="1"/>
        <w:rPr>
          <w:rFonts w:hint="eastAsia" w:ascii="宋体" w:hAnsi="宋体"/>
          <w:b/>
          <w:color w:val="auto"/>
          <w:szCs w:val="21"/>
          <w:highlight w:val="none"/>
        </w:rPr>
      </w:pPr>
      <w:r>
        <w:rPr>
          <w:rFonts w:ascii="宋体" w:hAnsi="宋体"/>
          <w:b/>
          <w:color w:val="auto"/>
          <w:szCs w:val="21"/>
          <w:highlight w:val="none"/>
        </w:rPr>
        <w:t>四、提交</w:t>
      </w:r>
      <w:r>
        <w:rPr>
          <w:rFonts w:hint="eastAsia" w:ascii="宋体" w:hAnsi="宋体"/>
          <w:b/>
          <w:color w:val="auto"/>
          <w:szCs w:val="21"/>
          <w:highlight w:val="none"/>
          <w:lang w:eastAsia="zh-CN"/>
        </w:rPr>
        <w:t>响应文件</w:t>
      </w:r>
      <w:r>
        <w:rPr>
          <w:rFonts w:ascii="宋体" w:hAnsi="宋体"/>
          <w:b/>
          <w:color w:val="auto"/>
          <w:szCs w:val="21"/>
          <w:highlight w:val="none"/>
        </w:rPr>
        <w:t>截止时间、开标时间和地点</w:t>
      </w:r>
    </w:p>
    <w:p w14:paraId="2E5B9C28">
      <w:pPr>
        <w:spacing w:line="360" w:lineRule="auto"/>
        <w:ind w:firstLine="420"/>
        <w:rPr>
          <w:rFonts w:hint="eastAsia" w:ascii="宋体" w:hAnsi="宋体"/>
          <w:color w:val="auto"/>
          <w:szCs w:val="21"/>
          <w:highlight w:val="none"/>
        </w:rPr>
      </w:pPr>
      <w:r>
        <w:rPr>
          <w:rFonts w:hint="eastAsia" w:ascii="宋体" w:hAnsi="宋体"/>
          <w:color w:val="auto"/>
          <w:szCs w:val="21"/>
          <w:highlight w:val="none"/>
          <w:lang w:val="en-US" w:eastAsia="zh-CN"/>
        </w:rPr>
        <w:t>1.</w:t>
      </w:r>
      <w:r>
        <w:rPr>
          <w:rFonts w:ascii="宋体" w:hAnsi="宋体"/>
          <w:color w:val="auto"/>
          <w:szCs w:val="21"/>
          <w:highlight w:val="none"/>
        </w:rPr>
        <w:t>截止时间</w:t>
      </w:r>
      <w:r>
        <w:rPr>
          <w:rFonts w:hint="eastAsia" w:ascii="宋体" w:hAnsi="宋体"/>
          <w:color w:val="auto"/>
          <w:szCs w:val="21"/>
          <w:highlight w:val="none"/>
        </w:rPr>
        <w:t>及</w:t>
      </w:r>
      <w:r>
        <w:rPr>
          <w:rFonts w:ascii="宋体" w:hAnsi="宋体"/>
          <w:color w:val="auto"/>
          <w:szCs w:val="21"/>
          <w:highlight w:val="none"/>
        </w:rPr>
        <w:t>开标时间：</w:t>
      </w:r>
      <w:r>
        <w:rPr>
          <w:rFonts w:ascii="宋体" w:hAnsi="宋体"/>
          <w:color w:val="auto"/>
          <w:szCs w:val="21"/>
          <w:highlight w:val="none"/>
          <w:u w:val="single"/>
        </w:rPr>
        <w:t>202</w:t>
      </w:r>
      <w:r>
        <w:rPr>
          <w:rFonts w:hint="eastAsia" w:ascii="宋体" w:hAnsi="宋体"/>
          <w:color w:val="auto"/>
          <w:szCs w:val="21"/>
          <w:highlight w:val="none"/>
          <w:u w:val="single"/>
          <w:lang w:val="en-US" w:eastAsia="zh-CN"/>
        </w:rPr>
        <w:t>5</w:t>
      </w:r>
      <w:r>
        <w:rPr>
          <w:rFonts w:ascii="宋体" w:hAnsi="宋体"/>
          <w:color w:val="auto"/>
          <w:szCs w:val="21"/>
          <w:highlight w:val="none"/>
          <w:u w:val="single"/>
        </w:rPr>
        <w:t>年</w:t>
      </w:r>
      <w:r>
        <w:rPr>
          <w:rFonts w:hint="eastAsia" w:ascii="宋体" w:hAnsi="宋体"/>
          <w:color w:val="auto"/>
          <w:szCs w:val="21"/>
          <w:highlight w:val="none"/>
          <w:u w:val="single"/>
          <w:lang w:val="en-US" w:eastAsia="zh-CN"/>
        </w:rPr>
        <w:t>2</w:t>
      </w:r>
      <w:r>
        <w:rPr>
          <w:rFonts w:ascii="宋体" w:hAnsi="宋体"/>
          <w:color w:val="auto"/>
          <w:szCs w:val="21"/>
          <w:highlight w:val="none"/>
          <w:u w:val="single"/>
        </w:rPr>
        <w:t>月</w:t>
      </w:r>
      <w:r>
        <w:rPr>
          <w:rFonts w:hint="eastAsia" w:ascii="宋体" w:hAnsi="宋体"/>
          <w:color w:val="auto"/>
          <w:szCs w:val="21"/>
          <w:highlight w:val="none"/>
          <w:u w:val="single"/>
          <w:lang w:val="en-US" w:eastAsia="zh-CN"/>
        </w:rPr>
        <w:t>24</w:t>
      </w:r>
      <w:r>
        <w:rPr>
          <w:rFonts w:ascii="宋体" w:hAnsi="宋体"/>
          <w:color w:val="auto"/>
          <w:szCs w:val="21"/>
          <w:highlight w:val="none"/>
          <w:u w:val="single"/>
        </w:rPr>
        <w:t>日</w:t>
      </w:r>
      <w:r>
        <w:rPr>
          <w:rFonts w:hint="eastAsia" w:ascii="宋体" w:hAnsi="宋体"/>
          <w:color w:val="auto"/>
          <w:szCs w:val="21"/>
          <w:highlight w:val="none"/>
          <w:u w:val="single"/>
          <w:lang w:val="en-US" w:eastAsia="zh-CN"/>
        </w:rPr>
        <w:t>14</w:t>
      </w:r>
      <w:r>
        <w:rPr>
          <w:rFonts w:ascii="宋体" w:hAnsi="宋体"/>
          <w:color w:val="auto"/>
          <w:szCs w:val="21"/>
          <w:highlight w:val="none"/>
          <w:u w:val="single"/>
        </w:rPr>
        <w:t>时</w:t>
      </w:r>
      <w:r>
        <w:rPr>
          <w:rFonts w:hint="eastAsia" w:ascii="宋体" w:hAnsi="宋体"/>
          <w:color w:val="auto"/>
          <w:szCs w:val="21"/>
          <w:highlight w:val="none"/>
          <w:u w:val="single"/>
          <w:lang w:val="en-US" w:eastAsia="zh-CN"/>
        </w:rPr>
        <w:t>00</w:t>
      </w:r>
      <w:r>
        <w:rPr>
          <w:rFonts w:ascii="宋体" w:hAnsi="宋体"/>
          <w:color w:val="auto"/>
          <w:szCs w:val="21"/>
          <w:highlight w:val="none"/>
          <w:u w:val="single"/>
        </w:rPr>
        <w:t>分</w:t>
      </w:r>
      <w:r>
        <w:rPr>
          <w:rFonts w:hint="eastAsia" w:ascii="宋体" w:hAnsi="宋体" w:eastAsia="宋体" w:cs="宋体"/>
          <w:b/>
          <w:bCs/>
          <w:color w:val="auto"/>
          <w:sz w:val="21"/>
          <w:szCs w:val="21"/>
          <w:highlight w:val="none"/>
          <w:u w:val="single"/>
          <w:lang w:eastAsia="zh-CN"/>
        </w:rPr>
        <w:t>，</w:t>
      </w:r>
      <w:r>
        <w:rPr>
          <w:rFonts w:hint="eastAsia" w:ascii="宋体" w:hAnsi="宋体" w:eastAsia="宋体" w:cs="宋体"/>
          <w:color w:val="auto"/>
          <w:sz w:val="21"/>
          <w:szCs w:val="21"/>
          <w:highlight w:val="none"/>
        </w:rPr>
        <w:t>逾时，“苏采云”系统将拒绝接受上传响应文件电子文档。</w:t>
      </w:r>
    </w:p>
    <w:p w14:paraId="76E100E8">
      <w:pPr>
        <w:keepNext w:val="0"/>
        <w:keepLines w:val="0"/>
        <w:pageBreakBefore w:val="0"/>
        <w:widowControl/>
        <w:wordWrap/>
        <w:topLinePunct w:val="0"/>
        <w:bidi w:val="0"/>
        <w:adjustRightInd/>
        <w:snapToGrid w:val="0"/>
        <w:spacing w:line="360" w:lineRule="auto"/>
        <w:ind w:firstLine="411" w:firstLineChars="196"/>
        <w:jc w:val="left"/>
        <w:textAlignment w:val="auto"/>
        <w:rPr>
          <w:rFonts w:hint="eastAsia" w:ascii="宋体" w:hAnsi="宋体"/>
          <w:color w:val="auto"/>
          <w:szCs w:val="21"/>
          <w:highlight w:val="none"/>
        </w:rPr>
      </w:pPr>
      <w:r>
        <w:rPr>
          <w:rFonts w:hint="eastAsia" w:ascii="宋体" w:hAnsi="宋体"/>
          <w:color w:val="auto"/>
          <w:szCs w:val="21"/>
          <w:highlight w:val="none"/>
          <w:lang w:val="en-US" w:eastAsia="zh-CN"/>
        </w:rPr>
        <w:t>2.</w:t>
      </w:r>
      <w:r>
        <w:rPr>
          <w:rFonts w:ascii="宋体" w:hAnsi="宋体"/>
          <w:color w:val="auto"/>
          <w:szCs w:val="21"/>
          <w:highlight w:val="none"/>
        </w:rPr>
        <w:t>地点：</w:t>
      </w:r>
      <w:r>
        <w:rPr>
          <w:rFonts w:hint="eastAsia" w:ascii="宋体" w:hAnsi="宋体" w:eastAsia="宋体" w:cs="宋体"/>
          <w:b/>
          <w:bCs/>
          <w:color w:val="auto"/>
          <w:sz w:val="21"/>
          <w:szCs w:val="21"/>
          <w:highlight w:val="none"/>
          <w:u w:val="single"/>
          <w:lang w:eastAsia="en-US"/>
        </w:rPr>
        <w:t>“苏采云”系统（网址：http://jszfcg.jsczt.cn/）“开标大厅”</w:t>
      </w:r>
      <w:r>
        <w:rPr>
          <w:rFonts w:hint="eastAsia" w:ascii="宋体" w:hAnsi="宋体" w:eastAsia="宋体" w:cs="宋体"/>
          <w:b/>
          <w:bCs/>
          <w:color w:val="auto"/>
          <w:sz w:val="21"/>
          <w:szCs w:val="21"/>
          <w:highlight w:val="none"/>
          <w:u w:val="single"/>
          <w:lang w:eastAsia="zh-CN"/>
        </w:rPr>
        <w:t>。</w:t>
      </w:r>
    </w:p>
    <w:p w14:paraId="6D32FB80">
      <w:pPr>
        <w:keepNext w:val="0"/>
        <w:keepLines w:val="0"/>
        <w:pageBreakBefore w:val="0"/>
        <w:kinsoku w:val="0"/>
        <w:wordWrap/>
        <w:overflowPunct w:val="0"/>
        <w:topLinePunct w:val="0"/>
        <w:autoSpaceDE w:val="0"/>
        <w:autoSpaceDN w:val="0"/>
        <w:bidi w:val="0"/>
        <w:adjustRightInd/>
        <w:snapToGrid w:val="0"/>
        <w:spacing w:line="360" w:lineRule="auto"/>
        <w:ind w:firstLine="420" w:firstLineChars="200"/>
        <w:textAlignment w:val="auto"/>
        <w:outlineLvl w:val="1"/>
        <w:rPr>
          <w:rFonts w:hint="default" w:ascii="宋体" w:hAnsi="宋体" w:eastAsiaTheme="minorEastAsia"/>
          <w:b/>
          <w:color w:val="auto"/>
          <w:szCs w:val="21"/>
          <w:highlight w:val="none"/>
          <w:lang w:val="en-US" w:eastAsia="zh-CN"/>
        </w:rPr>
      </w:pPr>
      <w:r>
        <w:rPr>
          <w:rFonts w:hint="eastAsia" w:ascii="宋体" w:hAnsi="宋体" w:eastAsia="宋体" w:cs="宋体"/>
          <w:color w:val="auto"/>
          <w:sz w:val="21"/>
          <w:szCs w:val="21"/>
          <w:highlight w:val="none"/>
          <w:lang w:val="en-US" w:eastAsia="zh-CN" w:bidi="ar-SA"/>
        </w:rPr>
        <w:t>3.</w:t>
      </w:r>
      <w:r>
        <w:rPr>
          <w:rFonts w:hint="eastAsia" w:ascii="宋体" w:hAnsi="宋体" w:eastAsia="宋体" w:cs="宋体"/>
          <w:color w:val="auto"/>
          <w:sz w:val="21"/>
          <w:szCs w:val="21"/>
          <w:highlight w:val="none"/>
        </w:rPr>
        <w:t>响应文件的解密：开标当天各供应商及时登录不见面开标大厅，响应文件递交截止时间后，采购人将在系统内公布响应供应商名单，然后通过开标会议区发出响应文件解密的指令，供应商在开标室按规定时间自行实施远程解密，</w:t>
      </w:r>
      <w:r>
        <w:rPr>
          <w:rFonts w:hint="eastAsia" w:ascii="宋体" w:hAnsi="宋体" w:eastAsia="宋体" w:cs="宋体"/>
          <w:b/>
          <w:color w:val="auto"/>
          <w:sz w:val="21"/>
          <w:szCs w:val="21"/>
          <w:highlight w:val="none"/>
        </w:rPr>
        <w:t>供应商解密限定在开标后</w:t>
      </w:r>
      <w:r>
        <w:rPr>
          <w:rFonts w:hint="eastAsia" w:ascii="宋体" w:hAnsi="宋体" w:eastAsia="宋体" w:cs="宋体"/>
          <w:b/>
          <w:color w:val="auto"/>
          <w:sz w:val="21"/>
          <w:szCs w:val="21"/>
          <w:highlight w:val="none"/>
          <w:lang w:val="en-US" w:eastAsia="zh-CN"/>
        </w:rPr>
        <w:t>30</w:t>
      </w:r>
      <w:r>
        <w:rPr>
          <w:rFonts w:hint="eastAsia" w:ascii="宋体" w:hAnsi="宋体" w:eastAsia="宋体" w:cs="宋体"/>
          <w:b/>
          <w:color w:val="auto"/>
          <w:sz w:val="21"/>
          <w:szCs w:val="21"/>
          <w:highlight w:val="none"/>
        </w:rPr>
        <w:t>分钟之内完成</w:t>
      </w:r>
      <w:r>
        <w:rPr>
          <w:rFonts w:hint="eastAsia" w:ascii="宋体" w:hAnsi="宋体" w:eastAsia="宋体" w:cs="宋体"/>
          <w:color w:val="auto"/>
          <w:sz w:val="21"/>
          <w:szCs w:val="21"/>
          <w:highlight w:val="none"/>
        </w:rPr>
        <w:t>。</w:t>
      </w:r>
      <w:r>
        <w:rPr>
          <w:rFonts w:hint="eastAsia" w:ascii="宋体" w:hAnsi="宋体" w:eastAsia="宋体" w:cs="宋体"/>
          <w:color w:val="auto"/>
          <w:sz w:val="21"/>
          <w:szCs w:val="21"/>
          <w:highlight w:val="none"/>
          <w:u w:val="single"/>
        </w:rPr>
        <w:t>因供应商网络与电源不稳定、未按操作手册要求配置软硬件、解密锁发生故障或用错、故意不在要求时限内完成解密等自身原因，导致响应文件在规定时间内未能解密、解密失败或解密超时，视为供应商撤销其响应文件，系统内响应文件将被退回</w:t>
      </w:r>
      <w:r>
        <w:rPr>
          <w:rFonts w:hint="eastAsia" w:ascii="宋体" w:hAnsi="宋体" w:eastAsia="宋体" w:cs="宋体"/>
          <w:color w:val="auto"/>
          <w:sz w:val="21"/>
          <w:szCs w:val="21"/>
          <w:highlight w:val="none"/>
        </w:rPr>
        <w:t>；因采购人原因或网上招投标平台发生故障，导致无法按时完成响应文件解密或开、评标工作无法进行的，可根据实际情况相应延迟解密时间或调整开、评标时间。</w:t>
      </w:r>
    </w:p>
    <w:p w14:paraId="19721C76">
      <w:pPr>
        <w:keepNext w:val="0"/>
        <w:keepLines w:val="0"/>
        <w:pageBreakBefore w:val="0"/>
        <w:kinsoku w:val="0"/>
        <w:wordWrap/>
        <w:overflowPunct w:val="0"/>
        <w:topLinePunct w:val="0"/>
        <w:autoSpaceDE w:val="0"/>
        <w:autoSpaceDN w:val="0"/>
        <w:bidi w:val="0"/>
        <w:adjustRightInd/>
        <w:snapToGrid w:val="0"/>
        <w:spacing w:line="360" w:lineRule="auto"/>
        <w:ind w:firstLine="422" w:firstLineChars="200"/>
        <w:textAlignment w:val="auto"/>
        <w:outlineLvl w:val="1"/>
        <w:rPr>
          <w:rFonts w:hint="eastAsia" w:ascii="宋体" w:hAnsi="宋体"/>
          <w:b/>
          <w:color w:val="auto"/>
          <w:szCs w:val="21"/>
          <w:highlight w:val="none"/>
        </w:rPr>
      </w:pPr>
      <w:r>
        <w:rPr>
          <w:rFonts w:ascii="宋体" w:hAnsi="宋体"/>
          <w:b/>
          <w:color w:val="auto"/>
          <w:szCs w:val="21"/>
          <w:highlight w:val="none"/>
        </w:rPr>
        <w:t>五、公告期限</w:t>
      </w:r>
    </w:p>
    <w:p w14:paraId="419F406C">
      <w:pPr>
        <w:keepNext w:val="0"/>
        <w:keepLines w:val="0"/>
        <w:pageBreakBefore w:val="0"/>
        <w:widowControl/>
        <w:wordWrap/>
        <w:topLinePunct w:val="0"/>
        <w:bidi w:val="0"/>
        <w:adjustRightInd/>
        <w:snapToGrid w:val="0"/>
        <w:spacing w:line="360" w:lineRule="auto"/>
        <w:ind w:firstLine="411" w:firstLineChars="196"/>
        <w:jc w:val="left"/>
        <w:textAlignment w:val="auto"/>
        <w:rPr>
          <w:rFonts w:hint="eastAsia" w:ascii="宋体" w:hAnsi="宋体"/>
          <w:color w:val="auto"/>
          <w:szCs w:val="21"/>
          <w:highlight w:val="none"/>
        </w:rPr>
      </w:pPr>
      <w:r>
        <w:rPr>
          <w:rFonts w:ascii="宋体" w:hAnsi="宋体"/>
          <w:color w:val="auto"/>
          <w:szCs w:val="21"/>
          <w:highlight w:val="none"/>
        </w:rPr>
        <w:t>自本公告发布之日起</w:t>
      </w:r>
      <w:r>
        <w:rPr>
          <w:rFonts w:hint="eastAsia" w:ascii="宋体" w:hAnsi="宋体"/>
          <w:color w:val="auto"/>
          <w:szCs w:val="21"/>
          <w:highlight w:val="none"/>
        </w:rPr>
        <w:t>5</w:t>
      </w:r>
      <w:r>
        <w:rPr>
          <w:rFonts w:ascii="宋体" w:hAnsi="宋体"/>
          <w:color w:val="auto"/>
          <w:szCs w:val="21"/>
          <w:highlight w:val="none"/>
        </w:rPr>
        <w:t>个工作日。</w:t>
      </w:r>
    </w:p>
    <w:p w14:paraId="26066C3D">
      <w:pPr>
        <w:pStyle w:val="43"/>
        <w:keepNext w:val="0"/>
        <w:keepLines w:val="0"/>
        <w:pageBreakBefore w:val="0"/>
        <w:numPr>
          <w:ilvl w:val="0"/>
          <w:numId w:val="1"/>
        </w:numPr>
        <w:kinsoku/>
        <w:wordWrap/>
        <w:overflowPunct/>
        <w:topLinePunct w:val="0"/>
        <w:autoSpaceDE/>
        <w:autoSpaceDN/>
        <w:bidi w:val="0"/>
        <w:spacing w:line="360" w:lineRule="auto"/>
        <w:ind w:firstLine="482"/>
        <w:textAlignment w:val="auto"/>
        <w:outlineLvl w:val="9"/>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其他补充事宜</w:t>
      </w:r>
    </w:p>
    <w:p w14:paraId="1C4432FC">
      <w:pPr>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1</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投标保证金：免收</w:t>
      </w:r>
    </w:p>
    <w:p w14:paraId="2BE2739A">
      <w:pPr>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2</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项目开标活动模式：不见面远程开标模式，供应商在各自地点通过“苏采云”政府采购交易系统参加</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活动。</w:t>
      </w:r>
    </w:p>
    <w:p w14:paraId="3AB411C9">
      <w:pPr>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3</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项目演示、样品、答辩等（如有请描述）：无</w:t>
      </w:r>
    </w:p>
    <w:p w14:paraId="20E428E2">
      <w:pPr>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4</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对项目需求部分（供应商资格要求、项目需求、商务技术评分标准）的询问、质疑由采购人负责答复；对项目</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文件其它部分的询问请向</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文件制作人或项目</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经办人提出；对在“电子交易平台”操作阶段的询问请向交易系统软件维护人员提出。</w:t>
      </w:r>
    </w:p>
    <w:p w14:paraId="4EEF30C0">
      <w:pPr>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lang w:val="en-US" w:eastAsia="zh-CN"/>
        </w:rPr>
        <w:t>5</w:t>
      </w:r>
      <w:r>
        <w:rPr>
          <w:rFonts w:hint="eastAsia" w:ascii="宋体" w:eastAsia="宋体" w:cs="宋体"/>
          <w:b w:val="0"/>
          <w:bCs/>
          <w:color w:val="auto"/>
          <w:sz w:val="21"/>
          <w:szCs w:val="21"/>
          <w:highlight w:val="none"/>
          <w:lang w:val="en-US" w:eastAsia="zh-CN"/>
        </w:rPr>
        <w:t>.</w:t>
      </w:r>
      <w:r>
        <w:rPr>
          <w:rFonts w:hint="eastAsia" w:ascii="宋体" w:hAnsi="宋体" w:eastAsia="宋体" w:cs="宋体"/>
          <w:b w:val="0"/>
          <w:bCs/>
          <w:color w:val="auto"/>
          <w:sz w:val="21"/>
          <w:szCs w:val="21"/>
          <w:highlight w:val="none"/>
          <w:lang w:eastAsia="zh-CN"/>
        </w:rPr>
        <w:t>投标供应商</w:t>
      </w:r>
      <w:r>
        <w:rPr>
          <w:rFonts w:hint="eastAsia" w:ascii="宋体" w:hAnsi="宋体" w:eastAsia="宋体" w:cs="宋体"/>
          <w:b w:val="0"/>
          <w:bCs/>
          <w:color w:val="auto"/>
          <w:sz w:val="21"/>
          <w:szCs w:val="21"/>
          <w:highlight w:val="none"/>
        </w:rPr>
        <w:t>应依照规定提交各类声明函、承诺函，不再同时提供原件备查或提供有关部门出具的相关证明文件。但中标</w:t>
      </w:r>
      <w:r>
        <w:rPr>
          <w:rFonts w:hint="eastAsia" w:ascii="宋体" w:hAnsi="宋体" w:eastAsia="宋体" w:cs="宋体"/>
          <w:b w:val="0"/>
          <w:bCs/>
          <w:color w:val="auto"/>
          <w:sz w:val="21"/>
          <w:szCs w:val="21"/>
          <w:highlight w:val="none"/>
          <w:lang w:val="en-US" w:eastAsia="zh-CN"/>
        </w:rPr>
        <w:t>供应商</w:t>
      </w:r>
      <w:r>
        <w:rPr>
          <w:rFonts w:hint="eastAsia" w:ascii="宋体" w:hAnsi="宋体" w:eastAsia="宋体" w:cs="宋体"/>
          <w:b w:val="0"/>
          <w:bCs/>
          <w:color w:val="auto"/>
          <w:sz w:val="21"/>
          <w:szCs w:val="21"/>
          <w:highlight w:val="none"/>
        </w:rPr>
        <w:t>应做好提交声明函、承诺函相应原件的核查准备；核查后发现虚假或违背承诺的，依照相关法律法规规定处理。</w:t>
      </w:r>
    </w:p>
    <w:p w14:paraId="309B9291">
      <w:pPr>
        <w:pageBreakBefore w:val="0"/>
        <w:kinsoku/>
        <w:wordWrap/>
        <w:overflowPunct/>
        <w:topLinePunct w:val="0"/>
        <w:autoSpaceDE/>
        <w:autoSpaceDN/>
        <w:bidi w:val="0"/>
        <w:adjustRightInd w:val="0"/>
        <w:snapToGrid w:val="0"/>
        <w:spacing w:line="360" w:lineRule="auto"/>
        <w:ind w:left="0" w:leftChars="0" w:firstLine="420" w:firstLineChars="200"/>
        <w:textAlignment w:val="auto"/>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6</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rPr>
        <w:t>有关本次</w:t>
      </w:r>
      <w:r>
        <w:rPr>
          <w:rFonts w:hint="eastAsia" w:ascii="宋体" w:hAnsi="宋体" w:eastAsia="宋体" w:cs="宋体"/>
          <w:color w:val="auto"/>
          <w:kern w:val="0"/>
          <w:sz w:val="21"/>
          <w:szCs w:val="21"/>
          <w:highlight w:val="none"/>
          <w:lang w:val="en-US" w:eastAsia="zh-CN"/>
        </w:rPr>
        <w:t>采购</w:t>
      </w:r>
      <w:r>
        <w:rPr>
          <w:rFonts w:hint="eastAsia" w:ascii="宋体" w:hAnsi="宋体" w:eastAsia="宋体" w:cs="宋体"/>
          <w:color w:val="auto"/>
          <w:kern w:val="0"/>
          <w:sz w:val="21"/>
          <w:szCs w:val="21"/>
          <w:highlight w:val="none"/>
        </w:rPr>
        <w:t>的事项若存在变动或修改，敬请及时关注采购人及采购代理机构在“江苏政府采购网”发布的更正公告。</w:t>
      </w:r>
    </w:p>
    <w:p w14:paraId="195CB36B">
      <w:pPr>
        <w:pageBreakBefore w:val="0"/>
        <w:kinsoku/>
        <w:wordWrap/>
        <w:overflowPunct/>
        <w:topLinePunct w:val="0"/>
        <w:autoSpaceDE/>
        <w:autoSpaceDN/>
        <w:bidi w:val="0"/>
        <w:adjustRightInd w:val="0"/>
        <w:snapToGrid w:val="0"/>
        <w:spacing w:line="360" w:lineRule="auto"/>
        <w:ind w:left="0" w:leftChars="0" w:firstLine="422" w:firstLineChars="200"/>
        <w:textAlignment w:val="auto"/>
        <w:rPr>
          <w:rFonts w:hint="eastAsia" w:ascii="宋体" w:hAnsi="宋体" w:eastAsia="宋体" w:cs="宋体"/>
          <w:b/>
          <w:bCs/>
          <w:color w:val="auto"/>
          <w:kern w:val="0"/>
          <w:sz w:val="21"/>
          <w:szCs w:val="21"/>
          <w:highlight w:val="none"/>
          <w:u w:val="thick" w:color="FF0000"/>
          <w:lang w:val="en-US" w:eastAsia="zh-CN"/>
        </w:rPr>
      </w:pPr>
      <w:r>
        <w:rPr>
          <w:rFonts w:hint="eastAsia" w:ascii="宋体" w:hAnsi="宋体" w:eastAsia="宋体" w:cs="宋体"/>
          <w:b/>
          <w:bCs/>
          <w:color w:val="auto"/>
          <w:kern w:val="0"/>
          <w:sz w:val="21"/>
          <w:szCs w:val="21"/>
          <w:highlight w:val="none"/>
          <w:u w:val="thick" w:color="FF0000"/>
          <w:lang w:val="en-US" w:eastAsia="zh-CN"/>
        </w:rPr>
        <w:t>7.中标后，各标段中标候选人第一名须在3个工作日内提交技术标内所有相关业绩、证书、发票、驾驶证等原件至招标人处进行复核，逾期视作放弃中标。</w:t>
      </w:r>
    </w:p>
    <w:p w14:paraId="1C22E65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default" w:ascii="宋体" w:hAnsi="宋体" w:eastAsia="宋体" w:cs="宋体"/>
          <w:b/>
          <w:bCs/>
          <w:color w:val="auto"/>
          <w:kern w:val="0"/>
          <w:sz w:val="21"/>
          <w:szCs w:val="21"/>
          <w:highlight w:val="none"/>
          <w:u w:val="thick" w:color="FF0000"/>
          <w:lang w:val="en-US" w:eastAsia="zh-CN"/>
        </w:rPr>
      </w:pPr>
      <w:r>
        <w:rPr>
          <w:rFonts w:hint="eastAsia" w:ascii="宋体" w:hAnsi="宋体" w:eastAsia="宋体" w:cs="宋体"/>
          <w:b/>
          <w:bCs/>
          <w:color w:val="auto"/>
          <w:kern w:val="0"/>
          <w:sz w:val="21"/>
          <w:szCs w:val="21"/>
          <w:highlight w:val="none"/>
          <w:u w:val="thick" w:color="FF0000"/>
          <w:lang w:val="en-US" w:eastAsia="zh-CN"/>
        </w:rPr>
        <w:t>8.</w:t>
      </w:r>
      <w:r>
        <w:rPr>
          <w:rFonts w:hint="eastAsia" w:ascii="宋体" w:hAnsi="宋体" w:cs="宋体"/>
          <w:b/>
          <w:bCs/>
          <w:color w:val="auto"/>
          <w:kern w:val="0"/>
          <w:sz w:val="21"/>
          <w:szCs w:val="21"/>
          <w:highlight w:val="none"/>
          <w:u w:val="thick" w:color="FF0000"/>
          <w:lang w:val="en-US" w:eastAsia="zh-CN"/>
        </w:rPr>
        <w:t>中标后，招标人将在3个工作日内对技术标内提供的车辆等设备进行随机抽查，如抽查不符合投标文件要求，视作放弃中标。</w:t>
      </w:r>
    </w:p>
    <w:p w14:paraId="188E185A">
      <w:pPr>
        <w:keepNext w:val="0"/>
        <w:keepLines w:val="0"/>
        <w:pageBreakBefore w:val="0"/>
        <w:kinsoku w:val="0"/>
        <w:wordWrap/>
        <w:overflowPunct w:val="0"/>
        <w:topLinePunct w:val="0"/>
        <w:autoSpaceDE w:val="0"/>
        <w:autoSpaceDN w:val="0"/>
        <w:bidi w:val="0"/>
        <w:adjustRightInd/>
        <w:snapToGrid w:val="0"/>
        <w:spacing w:line="360" w:lineRule="auto"/>
        <w:ind w:firstLine="422" w:firstLineChars="200"/>
        <w:textAlignment w:val="auto"/>
        <w:outlineLvl w:val="1"/>
        <w:rPr>
          <w:rFonts w:hint="eastAsia" w:ascii="宋体" w:hAnsi="宋体"/>
          <w:b/>
          <w:color w:val="auto"/>
          <w:szCs w:val="21"/>
          <w:highlight w:val="none"/>
        </w:rPr>
      </w:pPr>
      <w:r>
        <w:rPr>
          <w:rFonts w:hint="eastAsia" w:ascii="宋体" w:hAnsi="宋体"/>
          <w:b/>
          <w:color w:val="auto"/>
          <w:szCs w:val="21"/>
          <w:highlight w:val="none"/>
          <w:lang w:val="en-US" w:eastAsia="zh-CN"/>
        </w:rPr>
        <w:t>七</w:t>
      </w:r>
      <w:r>
        <w:rPr>
          <w:rFonts w:ascii="宋体" w:hAnsi="宋体"/>
          <w:b/>
          <w:color w:val="auto"/>
          <w:szCs w:val="21"/>
          <w:highlight w:val="none"/>
        </w:rPr>
        <w:t>、凡对本次采购提出询问，请按以下方式联系。</w:t>
      </w:r>
    </w:p>
    <w:p w14:paraId="2B90485A">
      <w:pPr>
        <w:keepNext w:val="0"/>
        <w:keepLines w:val="0"/>
        <w:pageBreakBefore w:val="0"/>
        <w:widowControl/>
        <w:wordWrap/>
        <w:topLinePunct w:val="0"/>
        <w:bidi w:val="0"/>
        <w:adjustRightInd/>
        <w:snapToGrid w:val="0"/>
        <w:spacing w:line="360" w:lineRule="auto"/>
        <w:ind w:firstLine="411" w:firstLineChars="196"/>
        <w:jc w:val="left"/>
        <w:textAlignment w:val="auto"/>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采购人信息</w:t>
      </w:r>
    </w:p>
    <w:p w14:paraId="2B0E3B02">
      <w:pPr>
        <w:keepNext w:val="0"/>
        <w:keepLines w:val="0"/>
        <w:pageBreakBefore w:val="0"/>
        <w:wordWrap/>
        <w:topLinePunct w:val="0"/>
        <w:bidi w:val="0"/>
        <w:adjustRightInd/>
        <w:spacing w:line="360" w:lineRule="auto"/>
        <w:ind w:firstLine="420" w:firstLineChars="200"/>
        <w:jc w:val="left"/>
        <w:textAlignment w:val="auto"/>
        <w:rPr>
          <w:rFonts w:hint="eastAsia" w:ascii="宋体" w:hAnsi="宋体"/>
          <w:color w:val="auto"/>
          <w:kern w:val="0"/>
          <w:szCs w:val="21"/>
          <w:highlight w:val="none"/>
        </w:rPr>
      </w:pPr>
      <w:r>
        <w:rPr>
          <w:rFonts w:ascii="宋体" w:hAnsi="宋体"/>
          <w:color w:val="auto"/>
          <w:kern w:val="0"/>
          <w:szCs w:val="21"/>
          <w:highlight w:val="none"/>
        </w:rPr>
        <w:t>名    称：</w:t>
      </w:r>
      <w:r>
        <w:rPr>
          <w:rFonts w:hint="eastAsia" w:ascii="宋体" w:hAnsi="宋体"/>
          <w:color w:val="auto"/>
          <w:szCs w:val="21"/>
          <w:highlight w:val="none"/>
          <w:lang w:val="zh-CN"/>
        </w:rPr>
        <w:t>南通市崇川区城市工程建设管理中心</w:t>
      </w:r>
    </w:p>
    <w:p w14:paraId="3A0684C8">
      <w:pPr>
        <w:keepNext w:val="0"/>
        <w:keepLines w:val="0"/>
        <w:pageBreakBefore w:val="0"/>
        <w:wordWrap/>
        <w:topLinePunct w:val="0"/>
        <w:bidi w:val="0"/>
        <w:adjustRightInd/>
        <w:spacing w:line="360" w:lineRule="auto"/>
        <w:ind w:firstLine="420" w:firstLineChars="200"/>
        <w:jc w:val="left"/>
        <w:textAlignment w:val="auto"/>
        <w:rPr>
          <w:rFonts w:hint="eastAsia" w:ascii="宋体" w:hAnsi="宋体"/>
          <w:color w:val="auto"/>
          <w:kern w:val="0"/>
          <w:szCs w:val="21"/>
          <w:highlight w:val="none"/>
        </w:rPr>
      </w:pPr>
      <w:r>
        <w:rPr>
          <w:rFonts w:ascii="宋体" w:hAnsi="宋体"/>
          <w:color w:val="auto"/>
          <w:kern w:val="0"/>
          <w:szCs w:val="21"/>
          <w:highlight w:val="none"/>
        </w:rPr>
        <w:t>地    址：</w:t>
      </w:r>
      <w:r>
        <w:rPr>
          <w:rFonts w:hint="eastAsia" w:ascii="宋体" w:hAnsi="宋体"/>
          <w:color w:val="auto"/>
          <w:kern w:val="0"/>
          <w:szCs w:val="21"/>
          <w:highlight w:val="none"/>
        </w:rPr>
        <w:t>城港路56号</w:t>
      </w:r>
    </w:p>
    <w:p w14:paraId="6CF3343D">
      <w:pPr>
        <w:keepNext w:val="0"/>
        <w:keepLines w:val="0"/>
        <w:pageBreakBefore w:val="0"/>
        <w:wordWrap/>
        <w:topLinePunct w:val="0"/>
        <w:bidi w:val="0"/>
        <w:adjustRightInd/>
        <w:spacing w:line="360" w:lineRule="auto"/>
        <w:ind w:firstLine="420" w:firstLineChars="200"/>
        <w:jc w:val="left"/>
        <w:textAlignment w:val="auto"/>
        <w:rPr>
          <w:rFonts w:ascii="宋体" w:hAnsi="宋体" w:cs="宋体"/>
          <w:color w:val="auto"/>
          <w:szCs w:val="21"/>
          <w:highlight w:val="none"/>
        </w:rPr>
      </w:pPr>
      <w:r>
        <w:rPr>
          <w:rFonts w:hint="eastAsia" w:ascii="宋体" w:hAnsi="宋体"/>
          <w:color w:val="auto"/>
          <w:kern w:val="0"/>
          <w:szCs w:val="21"/>
          <w:highlight w:val="none"/>
        </w:rPr>
        <w:t xml:space="preserve">联 系 人：石安琪 </w:t>
      </w:r>
      <w:r>
        <w:rPr>
          <w:rFonts w:ascii="宋体" w:hAnsi="宋体" w:cs="宋体"/>
          <w:color w:val="auto"/>
          <w:szCs w:val="21"/>
          <w:highlight w:val="none"/>
        </w:rPr>
        <w:t>0513-89106010</w:t>
      </w:r>
    </w:p>
    <w:p w14:paraId="17E55F93">
      <w:pPr>
        <w:keepNext w:val="0"/>
        <w:keepLines w:val="0"/>
        <w:pageBreakBefore w:val="0"/>
        <w:wordWrap/>
        <w:topLinePunct w:val="0"/>
        <w:bidi w:val="0"/>
        <w:adjustRightInd/>
        <w:spacing w:line="360" w:lineRule="auto"/>
        <w:ind w:firstLine="420" w:firstLineChars="200"/>
        <w:jc w:val="left"/>
        <w:textAlignment w:val="auto"/>
        <w:rPr>
          <w:rFonts w:hint="eastAsia" w:ascii="宋体" w:hAnsi="宋体"/>
          <w:color w:val="auto"/>
          <w:kern w:val="0"/>
          <w:szCs w:val="21"/>
          <w:highlight w:val="none"/>
        </w:rPr>
      </w:pPr>
      <w:r>
        <w:rPr>
          <w:rFonts w:hint="eastAsia" w:ascii="宋体" w:hAnsi="宋体"/>
          <w:color w:val="auto"/>
          <w:kern w:val="0"/>
          <w:szCs w:val="21"/>
          <w:highlight w:val="none"/>
          <w:lang w:val="en-US" w:eastAsia="zh-CN"/>
        </w:rPr>
        <w:t>2.</w:t>
      </w:r>
      <w:r>
        <w:rPr>
          <w:rFonts w:ascii="宋体" w:hAnsi="宋体"/>
          <w:color w:val="auto"/>
          <w:kern w:val="0"/>
          <w:szCs w:val="21"/>
          <w:highlight w:val="none"/>
        </w:rPr>
        <w:t>采购代理机构</w:t>
      </w:r>
      <w:r>
        <w:rPr>
          <w:rFonts w:hint="eastAsia" w:ascii="宋体" w:hAnsi="宋体"/>
          <w:color w:val="auto"/>
          <w:kern w:val="0"/>
          <w:szCs w:val="21"/>
          <w:highlight w:val="none"/>
        </w:rPr>
        <w:t>信息</w:t>
      </w:r>
    </w:p>
    <w:p w14:paraId="04EF5089">
      <w:pPr>
        <w:pStyle w:val="23"/>
        <w:keepNext w:val="0"/>
        <w:keepLines w:val="0"/>
        <w:pageBreakBefore w:val="0"/>
        <w:wordWrap/>
        <w:topLinePunct w:val="0"/>
        <w:bidi w:val="0"/>
        <w:adjustRightInd/>
        <w:spacing w:line="360" w:lineRule="auto"/>
        <w:ind w:firstLineChars="200"/>
        <w:textAlignment w:val="auto"/>
        <w:outlineLvl w:val="9"/>
        <w:rPr>
          <w:rFonts w:hint="eastAsia" w:ascii="宋体" w:eastAsia="宋体"/>
          <w:color w:val="auto"/>
          <w:sz w:val="21"/>
          <w:szCs w:val="21"/>
          <w:highlight w:val="none"/>
          <w:lang w:val="zh-CN"/>
        </w:rPr>
      </w:pPr>
      <w:r>
        <w:rPr>
          <w:rFonts w:hint="eastAsia" w:ascii="宋体" w:eastAsia="宋体"/>
          <w:color w:val="auto"/>
          <w:sz w:val="21"/>
          <w:szCs w:val="21"/>
          <w:highlight w:val="none"/>
          <w:lang w:val="zh-CN"/>
        </w:rPr>
        <w:t>代理机构：江苏建博工程管理咨询有限公司</w:t>
      </w:r>
    </w:p>
    <w:p w14:paraId="27A33EF1">
      <w:pPr>
        <w:pStyle w:val="23"/>
        <w:keepNext w:val="0"/>
        <w:keepLines w:val="0"/>
        <w:pageBreakBefore w:val="0"/>
        <w:wordWrap/>
        <w:topLinePunct w:val="0"/>
        <w:bidi w:val="0"/>
        <w:adjustRightInd/>
        <w:spacing w:line="360" w:lineRule="auto"/>
        <w:ind w:firstLineChars="200"/>
        <w:textAlignment w:val="auto"/>
        <w:outlineLvl w:val="9"/>
        <w:rPr>
          <w:rFonts w:hint="eastAsia" w:ascii="宋体" w:eastAsia="宋体"/>
          <w:color w:val="auto"/>
          <w:sz w:val="21"/>
          <w:szCs w:val="21"/>
          <w:highlight w:val="none"/>
          <w:lang w:val="zh-CN"/>
        </w:rPr>
      </w:pPr>
      <w:r>
        <w:rPr>
          <w:rFonts w:hint="eastAsia" w:ascii="宋体" w:eastAsia="宋体"/>
          <w:color w:val="auto"/>
          <w:sz w:val="21"/>
          <w:szCs w:val="21"/>
          <w:highlight w:val="none"/>
          <w:lang w:val="zh-CN"/>
        </w:rPr>
        <w:t>地址：南通市崇川区新胜路同济科技园B7四楼</w:t>
      </w:r>
    </w:p>
    <w:p w14:paraId="722AE008">
      <w:pPr>
        <w:pStyle w:val="23"/>
        <w:keepNext w:val="0"/>
        <w:keepLines w:val="0"/>
        <w:pageBreakBefore w:val="0"/>
        <w:wordWrap/>
        <w:topLinePunct w:val="0"/>
        <w:bidi w:val="0"/>
        <w:adjustRightInd/>
        <w:spacing w:line="360" w:lineRule="auto"/>
        <w:ind w:firstLineChars="200"/>
        <w:textAlignment w:val="auto"/>
        <w:outlineLvl w:val="9"/>
        <w:rPr>
          <w:rFonts w:hint="eastAsia" w:ascii="宋体" w:eastAsia="宋体"/>
          <w:color w:val="auto"/>
          <w:sz w:val="21"/>
          <w:szCs w:val="21"/>
          <w:highlight w:val="none"/>
          <w:lang w:val="en-US" w:eastAsia="zh-CN"/>
        </w:rPr>
      </w:pPr>
      <w:r>
        <w:rPr>
          <w:rFonts w:hint="eastAsia" w:ascii="宋体" w:eastAsia="宋体"/>
          <w:color w:val="auto"/>
          <w:sz w:val="21"/>
          <w:szCs w:val="21"/>
          <w:highlight w:val="none"/>
          <w:lang w:val="zh-CN"/>
        </w:rPr>
        <w:t>联系人：康海铧 18751368695、</w:t>
      </w:r>
      <w:r>
        <w:rPr>
          <w:rFonts w:hint="eastAsia" w:ascii="宋体" w:eastAsia="宋体"/>
          <w:color w:val="auto"/>
          <w:sz w:val="21"/>
          <w:szCs w:val="21"/>
          <w:highlight w:val="none"/>
          <w:lang w:val="en-US" w:eastAsia="zh-CN"/>
        </w:rPr>
        <w:t>刘丽敏</w:t>
      </w:r>
    </w:p>
    <w:p w14:paraId="42371172">
      <w:pPr>
        <w:pStyle w:val="23"/>
        <w:keepNext w:val="0"/>
        <w:keepLines w:val="0"/>
        <w:pageBreakBefore w:val="0"/>
        <w:wordWrap/>
        <w:topLinePunct w:val="0"/>
        <w:bidi w:val="0"/>
        <w:adjustRightInd/>
        <w:spacing w:line="360" w:lineRule="auto"/>
        <w:ind w:firstLineChars="200"/>
        <w:textAlignment w:val="auto"/>
        <w:outlineLvl w:val="9"/>
        <w:rPr>
          <w:rFonts w:hint="eastAsia" w:ascii="宋体" w:eastAsia="宋体"/>
          <w:color w:val="auto"/>
          <w:sz w:val="21"/>
          <w:szCs w:val="21"/>
          <w:highlight w:val="none"/>
        </w:rPr>
      </w:pPr>
      <w:r>
        <w:rPr>
          <w:rFonts w:hint="eastAsia" w:ascii="宋体" w:eastAsia="宋体"/>
          <w:color w:val="auto"/>
          <w:sz w:val="21"/>
          <w:szCs w:val="21"/>
          <w:highlight w:val="none"/>
          <w:lang w:val="zh-CN"/>
        </w:rPr>
        <w:t>邮箱</w:t>
      </w:r>
      <w:r>
        <w:rPr>
          <w:rFonts w:hint="eastAsia" w:ascii="宋体" w:eastAsia="宋体"/>
          <w:color w:val="auto"/>
          <w:sz w:val="21"/>
          <w:szCs w:val="21"/>
          <w:highlight w:val="none"/>
        </w:rPr>
        <w:t>：574492691@qq.com</w:t>
      </w:r>
    </w:p>
    <w:bookmarkEnd w:id="0"/>
    <w:bookmarkEnd w:id="1"/>
    <w:bookmarkEnd w:id="2"/>
    <w:p w14:paraId="188ED18D">
      <w:pPr>
        <w:pStyle w:val="23"/>
        <w:keepNext w:val="0"/>
        <w:keepLines w:val="0"/>
        <w:pageBreakBefore w:val="0"/>
        <w:wordWrap/>
        <w:topLinePunct w:val="0"/>
        <w:bidi w:val="0"/>
        <w:adjustRightInd/>
        <w:spacing w:line="360" w:lineRule="auto"/>
        <w:ind w:firstLine="4305" w:firstLineChars="2050"/>
        <w:textAlignment w:val="auto"/>
        <w:outlineLvl w:val="9"/>
        <w:rPr>
          <w:rFonts w:hint="eastAsia" w:ascii="宋体" w:eastAsia="宋体"/>
          <w:color w:val="auto"/>
          <w:sz w:val="21"/>
          <w:szCs w:val="21"/>
          <w:highlight w:val="none"/>
          <w:lang w:val="zh-CN"/>
        </w:rPr>
      </w:pPr>
    </w:p>
    <w:p w14:paraId="3F8F54D1">
      <w:pPr>
        <w:pStyle w:val="23"/>
        <w:keepNext w:val="0"/>
        <w:keepLines w:val="0"/>
        <w:pageBreakBefore w:val="0"/>
        <w:wordWrap/>
        <w:topLinePunct w:val="0"/>
        <w:bidi w:val="0"/>
        <w:adjustRightInd/>
        <w:spacing w:line="360" w:lineRule="auto"/>
        <w:ind w:firstLine="4305" w:firstLineChars="2050"/>
        <w:textAlignment w:val="auto"/>
        <w:outlineLvl w:val="9"/>
        <w:rPr>
          <w:rFonts w:hint="eastAsia" w:ascii="宋体" w:eastAsia="宋体"/>
          <w:color w:val="auto"/>
          <w:sz w:val="21"/>
          <w:szCs w:val="21"/>
          <w:highlight w:val="none"/>
          <w:lang w:val="zh-CN"/>
        </w:rPr>
      </w:pPr>
    </w:p>
    <w:p w14:paraId="0FEBEE09">
      <w:pPr>
        <w:pStyle w:val="23"/>
        <w:keepNext w:val="0"/>
        <w:keepLines w:val="0"/>
        <w:pageBreakBefore w:val="0"/>
        <w:wordWrap/>
        <w:topLinePunct w:val="0"/>
        <w:bidi w:val="0"/>
        <w:adjustRightInd/>
        <w:spacing w:line="360" w:lineRule="auto"/>
        <w:ind w:firstLine="4305" w:firstLineChars="2050"/>
        <w:textAlignment w:val="auto"/>
        <w:outlineLvl w:val="9"/>
        <w:rPr>
          <w:rFonts w:hint="eastAsia" w:ascii="宋体" w:eastAsia="宋体"/>
          <w:color w:val="auto"/>
          <w:sz w:val="21"/>
          <w:szCs w:val="21"/>
          <w:highlight w:val="none"/>
          <w:lang w:val="zh-CN"/>
        </w:rPr>
      </w:pPr>
    </w:p>
    <w:p w14:paraId="7DD63884">
      <w:pPr>
        <w:pStyle w:val="23"/>
        <w:keepNext w:val="0"/>
        <w:keepLines w:val="0"/>
        <w:pageBreakBefore w:val="0"/>
        <w:wordWrap/>
        <w:topLinePunct w:val="0"/>
        <w:bidi w:val="0"/>
        <w:adjustRightInd/>
        <w:spacing w:line="360" w:lineRule="auto"/>
        <w:ind w:firstLine="5040" w:firstLineChars="2400"/>
        <w:textAlignment w:val="auto"/>
        <w:outlineLvl w:val="9"/>
        <w:rPr>
          <w:rFonts w:hint="eastAsia" w:ascii="宋体" w:eastAsia="宋体"/>
          <w:color w:val="auto"/>
          <w:sz w:val="21"/>
          <w:szCs w:val="21"/>
          <w:highlight w:val="none"/>
        </w:rPr>
      </w:pPr>
      <w:r>
        <w:rPr>
          <w:rFonts w:hint="eastAsia" w:ascii="宋体" w:eastAsia="宋体"/>
          <w:color w:val="auto"/>
          <w:sz w:val="21"/>
          <w:szCs w:val="21"/>
          <w:highlight w:val="none"/>
          <w:lang w:val="zh-CN"/>
        </w:rPr>
        <w:t>南通市崇川区城市工程建设管理中心</w:t>
      </w:r>
    </w:p>
    <w:p w14:paraId="5634B085">
      <w:pPr>
        <w:pStyle w:val="23"/>
        <w:keepNext w:val="0"/>
        <w:keepLines w:val="0"/>
        <w:pageBreakBefore w:val="0"/>
        <w:wordWrap/>
        <w:topLinePunct w:val="0"/>
        <w:bidi w:val="0"/>
        <w:adjustRightInd/>
        <w:spacing w:line="360" w:lineRule="auto"/>
        <w:ind w:firstLine="6930" w:firstLineChars="3300"/>
        <w:textAlignment w:val="auto"/>
        <w:outlineLvl w:val="9"/>
        <w:rPr>
          <w:rFonts w:hint="eastAsia" w:ascii="宋体" w:eastAsia="宋体"/>
          <w:color w:val="auto"/>
          <w:sz w:val="21"/>
          <w:szCs w:val="21"/>
          <w:highlight w:val="none"/>
        </w:rPr>
      </w:pPr>
      <w:r>
        <w:rPr>
          <w:rFonts w:ascii="宋体" w:eastAsia="宋体"/>
          <w:color w:val="auto"/>
          <w:sz w:val="21"/>
          <w:szCs w:val="21"/>
          <w:highlight w:val="none"/>
          <w:lang w:val="zh-CN"/>
        </w:rPr>
        <w:t>202</w:t>
      </w:r>
      <w:r>
        <w:rPr>
          <w:rFonts w:hint="eastAsia" w:ascii="宋体" w:eastAsia="宋体"/>
          <w:color w:val="auto"/>
          <w:sz w:val="21"/>
          <w:szCs w:val="21"/>
          <w:highlight w:val="none"/>
          <w:lang w:val="en-US" w:eastAsia="zh-CN"/>
        </w:rPr>
        <w:t>5</w:t>
      </w:r>
      <w:r>
        <w:rPr>
          <w:rFonts w:ascii="宋体" w:eastAsia="宋体"/>
          <w:color w:val="auto"/>
          <w:sz w:val="21"/>
          <w:szCs w:val="21"/>
          <w:highlight w:val="none"/>
          <w:lang w:val="zh-CN"/>
        </w:rPr>
        <w:t>年</w:t>
      </w:r>
      <w:r>
        <w:rPr>
          <w:rFonts w:hint="eastAsia" w:ascii="宋体" w:eastAsia="宋体"/>
          <w:color w:val="auto"/>
          <w:sz w:val="21"/>
          <w:szCs w:val="21"/>
          <w:highlight w:val="none"/>
          <w:lang w:val="en-US" w:eastAsia="zh-CN"/>
        </w:rPr>
        <w:t>1</w:t>
      </w:r>
      <w:r>
        <w:rPr>
          <w:rFonts w:ascii="宋体" w:eastAsia="宋体"/>
          <w:color w:val="auto"/>
          <w:sz w:val="21"/>
          <w:szCs w:val="21"/>
          <w:highlight w:val="none"/>
          <w:lang w:val="zh-CN"/>
        </w:rPr>
        <w:t>月</w:t>
      </w:r>
    </w:p>
    <w:p w14:paraId="77033C0D">
      <w:pPr>
        <w:pStyle w:val="23"/>
        <w:spacing w:line="360" w:lineRule="auto"/>
        <w:ind w:firstLine="0" w:firstLineChars="0"/>
        <w:jc w:val="center"/>
        <w:rPr>
          <w:rFonts w:hint="eastAsia" w:ascii="宋体" w:eastAsia="宋体"/>
          <w:color w:val="auto"/>
          <w:kern w:val="0"/>
          <w:sz w:val="24"/>
          <w:highlight w:val="none"/>
        </w:rPr>
      </w:pPr>
      <w:r>
        <w:rPr>
          <w:rFonts w:ascii="宋体" w:eastAsia="宋体"/>
          <w:color w:val="auto"/>
          <w:highlight w:val="none"/>
        </w:rPr>
        <w:br w:type="page"/>
      </w:r>
      <w:bookmarkStart w:id="6" w:name="_Toc182848970"/>
      <w:r>
        <w:rPr>
          <w:rStyle w:val="80"/>
          <w:rFonts w:hint="default"/>
          <w:color w:val="auto"/>
          <w:sz w:val="28"/>
          <w:szCs w:val="28"/>
          <w:highlight w:val="none"/>
        </w:rPr>
        <w:t>第二章  投标供应商须知</w:t>
      </w:r>
      <w:bookmarkEnd w:id="6"/>
    </w:p>
    <w:p w14:paraId="1C3319C8">
      <w:pPr>
        <w:kinsoku w:val="0"/>
        <w:overflowPunct w:val="0"/>
        <w:autoSpaceDE w:val="0"/>
        <w:autoSpaceDN w:val="0"/>
        <w:snapToGrid w:val="0"/>
        <w:spacing w:line="420" w:lineRule="exact"/>
        <w:ind w:firstLine="422" w:firstLineChars="200"/>
        <w:outlineLvl w:val="1"/>
        <w:rPr>
          <w:rFonts w:hint="eastAsia" w:ascii="宋体" w:hAnsi="宋体"/>
          <w:b/>
          <w:color w:val="auto"/>
          <w:szCs w:val="21"/>
          <w:highlight w:val="none"/>
        </w:rPr>
      </w:pPr>
      <w:r>
        <w:rPr>
          <w:rFonts w:ascii="宋体" w:hAnsi="宋体"/>
          <w:b/>
          <w:color w:val="auto"/>
          <w:szCs w:val="21"/>
          <w:highlight w:val="none"/>
        </w:rPr>
        <w:t>一、说明</w:t>
      </w:r>
    </w:p>
    <w:p w14:paraId="2FBCECC7">
      <w:pPr>
        <w:kinsoku w:val="0"/>
        <w:overflowPunct w:val="0"/>
        <w:autoSpaceDE w:val="0"/>
        <w:autoSpaceDN w:val="0"/>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w:t>
      </w:r>
      <w:r>
        <w:rPr>
          <w:rFonts w:ascii="宋体" w:hAnsi="宋体"/>
          <w:color w:val="auto"/>
          <w:kern w:val="0"/>
          <w:szCs w:val="21"/>
          <w:highlight w:val="none"/>
        </w:rPr>
        <w:t>本</w:t>
      </w:r>
      <w:r>
        <w:rPr>
          <w:rFonts w:hint="eastAsia" w:ascii="宋体" w:hAnsi="宋体"/>
          <w:color w:val="auto"/>
          <w:kern w:val="0"/>
          <w:szCs w:val="21"/>
          <w:highlight w:val="none"/>
          <w:lang w:eastAsia="zh-CN"/>
        </w:rPr>
        <w:t>采购文件</w:t>
      </w:r>
      <w:r>
        <w:rPr>
          <w:rFonts w:ascii="宋体" w:hAnsi="宋体"/>
          <w:color w:val="auto"/>
          <w:kern w:val="0"/>
          <w:szCs w:val="21"/>
          <w:highlight w:val="none"/>
        </w:rPr>
        <w:t>仅适用于</w:t>
      </w:r>
      <w:r>
        <w:rPr>
          <w:rFonts w:hint="eastAsia" w:ascii="宋体" w:hAnsi="宋体"/>
          <w:b/>
          <w:color w:val="auto"/>
          <w:kern w:val="0"/>
          <w:szCs w:val="21"/>
          <w:highlight w:val="none"/>
        </w:rPr>
        <w:t>江苏建博工程管理咨询有限公司</w:t>
      </w:r>
      <w:r>
        <w:rPr>
          <w:rFonts w:ascii="宋体" w:hAnsi="宋体"/>
          <w:color w:val="auto"/>
          <w:kern w:val="0"/>
          <w:szCs w:val="21"/>
          <w:highlight w:val="none"/>
        </w:rPr>
        <w:t>组织（以下称代理机构）的公开招标活动</w:t>
      </w:r>
    </w:p>
    <w:p w14:paraId="6AAF45A4">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w:t>
      </w:r>
      <w:r>
        <w:rPr>
          <w:rFonts w:ascii="宋体" w:hAnsi="宋体"/>
          <w:color w:val="auto"/>
          <w:kern w:val="0"/>
          <w:szCs w:val="21"/>
          <w:highlight w:val="none"/>
        </w:rPr>
        <w:t>公开招标活动及因本次招标产生的合同受中国法律制约和保护。</w:t>
      </w:r>
    </w:p>
    <w:p w14:paraId="7B7C8CE7">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3</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的解释权属于</w:t>
      </w:r>
      <w:r>
        <w:rPr>
          <w:rFonts w:hint="eastAsia" w:ascii="宋体" w:hAnsi="宋体"/>
          <w:b/>
          <w:color w:val="auto"/>
          <w:kern w:val="0"/>
          <w:szCs w:val="21"/>
          <w:highlight w:val="none"/>
        </w:rPr>
        <w:t>江苏建博工程管理咨询有限公司</w:t>
      </w:r>
      <w:r>
        <w:rPr>
          <w:rFonts w:ascii="宋体" w:hAnsi="宋体"/>
          <w:color w:val="auto"/>
          <w:kern w:val="0"/>
          <w:szCs w:val="21"/>
          <w:highlight w:val="none"/>
        </w:rPr>
        <w:t>。</w:t>
      </w:r>
    </w:p>
    <w:p w14:paraId="37535CB5">
      <w:pPr>
        <w:adjustRightInd w:val="0"/>
        <w:snapToGrid w:val="0"/>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4</w:t>
      </w:r>
      <w:r>
        <w:rPr>
          <w:rFonts w:hint="eastAsia" w:ascii="宋体" w:hAnsi="宋体"/>
          <w:color w:val="auto"/>
          <w:kern w:val="0"/>
          <w:szCs w:val="21"/>
          <w:highlight w:val="none"/>
        </w:rPr>
        <w:t>.</w:t>
      </w:r>
      <w:r>
        <w:rPr>
          <w:rFonts w:ascii="宋体" w:hAnsi="宋体"/>
          <w:color w:val="auto"/>
          <w:kern w:val="0"/>
          <w:szCs w:val="21"/>
          <w:highlight w:val="none"/>
        </w:rPr>
        <w:t>投标供应商下载</w:t>
      </w:r>
      <w:r>
        <w:rPr>
          <w:rFonts w:hint="eastAsia" w:ascii="宋体" w:hAnsi="宋体"/>
          <w:color w:val="auto"/>
          <w:kern w:val="0"/>
          <w:szCs w:val="21"/>
          <w:highlight w:val="none"/>
          <w:lang w:eastAsia="zh-CN"/>
        </w:rPr>
        <w:t>采购文件</w:t>
      </w:r>
      <w:r>
        <w:rPr>
          <w:rFonts w:ascii="宋体" w:hAnsi="宋体"/>
          <w:color w:val="auto"/>
          <w:kern w:val="0"/>
          <w:szCs w:val="21"/>
          <w:highlight w:val="none"/>
        </w:rPr>
        <w:t>后，应仔细检查</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的所有内容，如有内容或页码短缺、资格要求和技术参数含有倾向性或排他性等表述的，应在</w:t>
      </w:r>
      <w:r>
        <w:rPr>
          <w:rFonts w:hint="eastAsia" w:ascii="宋体" w:hAnsi="宋体"/>
          <w:color w:val="auto"/>
          <w:kern w:val="0"/>
          <w:szCs w:val="21"/>
          <w:highlight w:val="none"/>
          <w:lang w:eastAsia="zh-CN"/>
        </w:rPr>
        <w:t>采购文件</w:t>
      </w:r>
      <w:r>
        <w:rPr>
          <w:rFonts w:ascii="宋体" w:hAnsi="宋体"/>
          <w:color w:val="auto"/>
          <w:kern w:val="0"/>
          <w:szCs w:val="21"/>
          <w:highlight w:val="none"/>
        </w:rPr>
        <w:t>发布后</w:t>
      </w:r>
      <w:r>
        <w:rPr>
          <w:rFonts w:hint="eastAsia" w:ascii="宋体" w:hAnsi="宋体"/>
          <w:color w:val="auto"/>
          <w:kern w:val="0"/>
          <w:szCs w:val="21"/>
          <w:highlight w:val="none"/>
        </w:rPr>
        <w:t>5</w:t>
      </w:r>
      <w:r>
        <w:rPr>
          <w:rFonts w:ascii="宋体" w:hAnsi="宋体"/>
          <w:color w:val="auto"/>
          <w:kern w:val="0"/>
          <w:szCs w:val="21"/>
          <w:highlight w:val="none"/>
        </w:rPr>
        <w:t>日内以书面形式提出询问，未在规定的</w:t>
      </w:r>
      <w:r>
        <w:rPr>
          <w:rFonts w:hint="eastAsia" w:ascii="宋体" w:hAnsi="宋体"/>
          <w:color w:val="auto"/>
          <w:kern w:val="0"/>
          <w:szCs w:val="21"/>
          <w:highlight w:val="none"/>
        </w:rPr>
        <w:t>5</w:t>
      </w:r>
      <w:r>
        <w:rPr>
          <w:rFonts w:ascii="宋体" w:hAnsi="宋体"/>
          <w:color w:val="auto"/>
          <w:kern w:val="0"/>
          <w:szCs w:val="21"/>
          <w:highlight w:val="none"/>
        </w:rPr>
        <w:t>日内提出询问或疑问的，视同</w:t>
      </w:r>
      <w:r>
        <w:rPr>
          <w:rFonts w:hint="eastAsia" w:ascii="宋体" w:hAnsi="宋体"/>
          <w:color w:val="auto"/>
          <w:szCs w:val="21"/>
          <w:highlight w:val="none"/>
        </w:rPr>
        <w:t>投标供应商</w:t>
      </w:r>
      <w:r>
        <w:rPr>
          <w:rFonts w:ascii="宋体" w:hAnsi="宋体"/>
          <w:color w:val="auto"/>
          <w:kern w:val="0"/>
          <w:szCs w:val="21"/>
          <w:highlight w:val="none"/>
        </w:rPr>
        <w:t>理解并接受本</w:t>
      </w:r>
      <w:r>
        <w:rPr>
          <w:rFonts w:hint="eastAsia" w:ascii="宋体" w:hAnsi="宋体"/>
          <w:color w:val="auto"/>
          <w:kern w:val="0"/>
          <w:szCs w:val="21"/>
          <w:highlight w:val="none"/>
          <w:lang w:eastAsia="zh-CN"/>
        </w:rPr>
        <w:t>采购文件</w:t>
      </w:r>
      <w:r>
        <w:rPr>
          <w:rFonts w:ascii="宋体" w:hAnsi="宋体"/>
          <w:color w:val="auto"/>
          <w:kern w:val="0"/>
          <w:szCs w:val="21"/>
          <w:highlight w:val="none"/>
        </w:rPr>
        <w:t>所有内容，并由此引起的损失自负。投标供应商不得在招标结束后针对</w:t>
      </w:r>
      <w:r>
        <w:rPr>
          <w:rFonts w:hint="eastAsia" w:ascii="宋体" w:hAnsi="宋体"/>
          <w:color w:val="auto"/>
          <w:kern w:val="0"/>
          <w:szCs w:val="21"/>
          <w:highlight w:val="none"/>
          <w:lang w:eastAsia="zh-CN"/>
        </w:rPr>
        <w:t>采购文件</w:t>
      </w:r>
      <w:r>
        <w:rPr>
          <w:rFonts w:ascii="宋体" w:hAnsi="宋体"/>
          <w:color w:val="auto"/>
          <w:kern w:val="0"/>
          <w:szCs w:val="21"/>
          <w:highlight w:val="none"/>
        </w:rPr>
        <w:t>所有内容提出质疑事项。</w:t>
      </w:r>
      <w:r>
        <w:rPr>
          <w:rFonts w:ascii="宋体" w:hAnsi="宋体"/>
          <w:b/>
          <w:color w:val="auto"/>
          <w:kern w:val="0"/>
          <w:szCs w:val="21"/>
          <w:highlight w:val="none"/>
        </w:rPr>
        <w:t>非书面形式的不作为日后质疑提出的依据</w:t>
      </w:r>
      <w:r>
        <w:rPr>
          <w:rFonts w:ascii="宋体" w:hAnsi="宋体"/>
          <w:color w:val="auto"/>
          <w:kern w:val="0"/>
          <w:szCs w:val="21"/>
          <w:highlight w:val="none"/>
        </w:rPr>
        <w:t>。</w:t>
      </w:r>
    </w:p>
    <w:p w14:paraId="194F0DFB">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w:t>
      </w:r>
      <w:r>
        <w:rPr>
          <w:rFonts w:ascii="宋体" w:hAnsi="宋体"/>
          <w:color w:val="auto"/>
          <w:kern w:val="0"/>
          <w:szCs w:val="21"/>
          <w:highlight w:val="none"/>
        </w:rPr>
        <w:t>投标供应商应认真审阅</w:t>
      </w:r>
      <w:r>
        <w:rPr>
          <w:rFonts w:hint="eastAsia" w:ascii="宋体" w:hAnsi="宋体"/>
          <w:color w:val="auto"/>
          <w:kern w:val="0"/>
          <w:szCs w:val="21"/>
          <w:highlight w:val="none"/>
          <w:lang w:eastAsia="zh-CN"/>
        </w:rPr>
        <w:t>采购文件</w:t>
      </w:r>
      <w:r>
        <w:rPr>
          <w:rFonts w:ascii="宋体" w:hAnsi="宋体"/>
          <w:color w:val="auto"/>
          <w:kern w:val="0"/>
          <w:szCs w:val="21"/>
          <w:highlight w:val="none"/>
        </w:rPr>
        <w:t>中所有的事项、格式、条款和规范要求等，如果</w:t>
      </w:r>
      <w:r>
        <w:rPr>
          <w:rFonts w:hint="eastAsia" w:ascii="宋体" w:hAnsi="宋体"/>
          <w:color w:val="auto"/>
          <w:szCs w:val="21"/>
          <w:highlight w:val="none"/>
        </w:rPr>
        <w:t>投标供应商</w:t>
      </w:r>
      <w:r>
        <w:rPr>
          <w:rFonts w:ascii="宋体" w:hAnsi="宋体"/>
          <w:color w:val="auto"/>
          <w:kern w:val="0"/>
          <w:szCs w:val="21"/>
          <w:highlight w:val="none"/>
        </w:rPr>
        <w:t>没有按照</w:t>
      </w:r>
      <w:r>
        <w:rPr>
          <w:rFonts w:hint="eastAsia" w:ascii="宋体" w:hAnsi="宋体"/>
          <w:color w:val="auto"/>
          <w:kern w:val="0"/>
          <w:szCs w:val="21"/>
          <w:highlight w:val="none"/>
          <w:lang w:eastAsia="zh-CN"/>
        </w:rPr>
        <w:t>采购文件</w:t>
      </w:r>
      <w:r>
        <w:rPr>
          <w:rFonts w:ascii="宋体" w:hAnsi="宋体"/>
          <w:color w:val="auto"/>
          <w:kern w:val="0"/>
          <w:szCs w:val="21"/>
          <w:highlight w:val="none"/>
        </w:rPr>
        <w:t>要求提交响应文件，或者</w:t>
      </w:r>
      <w:r>
        <w:rPr>
          <w:rFonts w:hint="eastAsia" w:ascii="宋体" w:hAnsi="宋体"/>
          <w:color w:val="auto"/>
          <w:kern w:val="0"/>
          <w:szCs w:val="21"/>
          <w:highlight w:val="none"/>
          <w:lang w:eastAsia="zh-CN"/>
        </w:rPr>
        <w:t>响应文件</w:t>
      </w:r>
      <w:r>
        <w:rPr>
          <w:rFonts w:ascii="宋体" w:hAnsi="宋体"/>
          <w:color w:val="auto"/>
          <w:kern w:val="0"/>
          <w:szCs w:val="21"/>
          <w:highlight w:val="none"/>
        </w:rPr>
        <w:t>没有对</w:t>
      </w:r>
      <w:r>
        <w:rPr>
          <w:rFonts w:hint="eastAsia" w:ascii="宋体" w:hAnsi="宋体"/>
          <w:color w:val="auto"/>
          <w:kern w:val="0"/>
          <w:szCs w:val="21"/>
          <w:highlight w:val="none"/>
          <w:lang w:eastAsia="zh-CN"/>
        </w:rPr>
        <w:t>采购文件</w:t>
      </w:r>
      <w:r>
        <w:rPr>
          <w:rFonts w:ascii="宋体" w:hAnsi="宋体"/>
          <w:color w:val="auto"/>
          <w:kern w:val="0"/>
          <w:szCs w:val="21"/>
          <w:highlight w:val="none"/>
        </w:rPr>
        <w:t>做出实质性响应，将被拒绝参与投标。</w:t>
      </w:r>
    </w:p>
    <w:p w14:paraId="41A258E1">
      <w:pPr>
        <w:snapToGrid w:val="0"/>
        <w:spacing w:line="420" w:lineRule="exact"/>
        <w:ind w:firstLine="422" w:firstLineChars="200"/>
        <w:outlineLvl w:val="1"/>
        <w:rPr>
          <w:rFonts w:hint="eastAsia" w:ascii="宋体" w:hAnsi="宋体"/>
          <w:b/>
          <w:color w:val="auto"/>
          <w:szCs w:val="21"/>
          <w:highlight w:val="none"/>
        </w:rPr>
      </w:pPr>
      <w:r>
        <w:rPr>
          <w:rFonts w:ascii="宋体" w:hAnsi="宋体"/>
          <w:b/>
          <w:color w:val="auto"/>
          <w:szCs w:val="21"/>
          <w:highlight w:val="none"/>
        </w:rPr>
        <w:t>二、</w:t>
      </w:r>
      <w:r>
        <w:rPr>
          <w:rFonts w:hint="eastAsia" w:ascii="宋体" w:hAnsi="宋体"/>
          <w:b/>
          <w:color w:val="auto"/>
          <w:szCs w:val="21"/>
          <w:highlight w:val="none"/>
          <w:lang w:eastAsia="zh-CN"/>
        </w:rPr>
        <w:t>采购文件</w:t>
      </w:r>
      <w:r>
        <w:rPr>
          <w:rFonts w:ascii="宋体" w:hAnsi="宋体"/>
          <w:b/>
          <w:color w:val="auto"/>
          <w:szCs w:val="21"/>
          <w:highlight w:val="none"/>
        </w:rPr>
        <w:t>的补充说明、澄清、修改、答疑</w:t>
      </w:r>
    </w:p>
    <w:p w14:paraId="52D17493">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w:t>
      </w:r>
      <w:r>
        <w:rPr>
          <w:rFonts w:ascii="宋体" w:hAnsi="宋体"/>
          <w:color w:val="auto"/>
          <w:kern w:val="0"/>
          <w:szCs w:val="21"/>
          <w:highlight w:val="none"/>
        </w:rPr>
        <w:t>代理机构有权对发出的</w:t>
      </w:r>
      <w:r>
        <w:rPr>
          <w:rFonts w:hint="eastAsia" w:ascii="宋体" w:hAnsi="宋体"/>
          <w:color w:val="auto"/>
          <w:kern w:val="0"/>
          <w:szCs w:val="21"/>
          <w:highlight w:val="none"/>
          <w:lang w:eastAsia="zh-CN"/>
        </w:rPr>
        <w:t>采购文件</w:t>
      </w:r>
      <w:r>
        <w:rPr>
          <w:rFonts w:ascii="宋体" w:hAnsi="宋体"/>
          <w:color w:val="auto"/>
          <w:kern w:val="0"/>
          <w:szCs w:val="21"/>
          <w:highlight w:val="none"/>
        </w:rPr>
        <w:t>进行必要的补充说明、澄清或修改。</w:t>
      </w:r>
    </w:p>
    <w:p w14:paraId="3109C9FE">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的澄清、修改、补充等内容均以补充公告的形式发布，且以在</w:t>
      </w:r>
      <w:r>
        <w:rPr>
          <w:rFonts w:hint="eastAsia" w:ascii="宋体" w:hAnsi="宋体"/>
          <w:color w:val="auto"/>
          <w:kern w:val="0"/>
          <w:szCs w:val="21"/>
          <w:highlight w:val="none"/>
        </w:rPr>
        <w:t>江苏政府采购网</w:t>
      </w:r>
      <w:r>
        <w:rPr>
          <w:rFonts w:ascii="宋体" w:hAnsi="宋体"/>
          <w:color w:val="auto"/>
          <w:kern w:val="0"/>
          <w:szCs w:val="21"/>
          <w:highlight w:val="none"/>
        </w:rPr>
        <w:t>发布的信息为准。</w:t>
      </w:r>
    </w:p>
    <w:p w14:paraId="0F92BB1C">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代理机构对</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的补充说明、澄清或修改，将构成</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的一部分，对投标供应商具有约束力。</w:t>
      </w:r>
    </w:p>
    <w:p w14:paraId="28EF206A">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4</w:t>
      </w:r>
      <w:r>
        <w:rPr>
          <w:rFonts w:hint="eastAsia" w:ascii="宋体" w:hAnsi="宋体"/>
          <w:color w:val="auto"/>
          <w:kern w:val="0"/>
          <w:szCs w:val="21"/>
          <w:highlight w:val="none"/>
        </w:rPr>
        <w:t>.</w:t>
      </w:r>
      <w:r>
        <w:rPr>
          <w:rFonts w:ascii="宋体" w:hAnsi="宋体"/>
          <w:color w:val="auto"/>
          <w:kern w:val="0"/>
          <w:szCs w:val="21"/>
          <w:highlight w:val="none"/>
        </w:rPr>
        <w:t>补充说明、澄清或修改的内容可能影响到</w:t>
      </w:r>
      <w:r>
        <w:rPr>
          <w:rFonts w:hint="eastAsia" w:ascii="宋体" w:hAnsi="宋体"/>
          <w:color w:val="auto"/>
          <w:kern w:val="0"/>
          <w:szCs w:val="21"/>
          <w:highlight w:val="none"/>
          <w:lang w:eastAsia="zh-CN"/>
        </w:rPr>
        <w:t>响应文件</w:t>
      </w:r>
      <w:r>
        <w:rPr>
          <w:rFonts w:ascii="宋体" w:hAnsi="宋体"/>
          <w:color w:val="auto"/>
          <w:kern w:val="0"/>
          <w:szCs w:val="21"/>
          <w:highlight w:val="none"/>
        </w:rPr>
        <w:t>编制的，代理机构将在提交</w:t>
      </w:r>
      <w:r>
        <w:rPr>
          <w:rFonts w:hint="eastAsia" w:ascii="宋体" w:hAnsi="宋体"/>
          <w:color w:val="auto"/>
          <w:kern w:val="0"/>
          <w:szCs w:val="21"/>
          <w:highlight w:val="none"/>
          <w:lang w:eastAsia="zh-CN"/>
        </w:rPr>
        <w:t>响应文件</w:t>
      </w:r>
      <w:r>
        <w:rPr>
          <w:rFonts w:ascii="宋体" w:hAnsi="宋体"/>
          <w:color w:val="auto"/>
          <w:kern w:val="0"/>
          <w:szCs w:val="21"/>
          <w:highlight w:val="none"/>
        </w:rPr>
        <w:t>截止之日15日前，发布补充说明、澄清或修改公告，不足15日的，应当顺延提交</w:t>
      </w:r>
      <w:r>
        <w:rPr>
          <w:rFonts w:hint="eastAsia" w:ascii="宋体" w:hAnsi="宋体"/>
          <w:color w:val="auto"/>
          <w:kern w:val="0"/>
          <w:szCs w:val="21"/>
          <w:highlight w:val="none"/>
          <w:lang w:eastAsia="zh-CN"/>
        </w:rPr>
        <w:t>响应文件</w:t>
      </w:r>
      <w:r>
        <w:rPr>
          <w:rFonts w:ascii="宋体" w:hAnsi="宋体"/>
          <w:color w:val="auto"/>
          <w:kern w:val="0"/>
          <w:szCs w:val="21"/>
          <w:highlight w:val="none"/>
        </w:rPr>
        <w:t>截止之日。</w:t>
      </w:r>
    </w:p>
    <w:p w14:paraId="719A6C9C">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w:t>
      </w:r>
      <w:r>
        <w:rPr>
          <w:rFonts w:ascii="宋体" w:hAnsi="宋体"/>
          <w:color w:val="auto"/>
          <w:kern w:val="0"/>
          <w:szCs w:val="21"/>
          <w:highlight w:val="none"/>
        </w:rPr>
        <w:t>除非代理机构以书面的形式对</w:t>
      </w:r>
      <w:r>
        <w:rPr>
          <w:rFonts w:hint="eastAsia" w:ascii="宋体" w:hAnsi="宋体"/>
          <w:color w:val="auto"/>
          <w:kern w:val="0"/>
          <w:szCs w:val="21"/>
          <w:highlight w:val="none"/>
          <w:lang w:eastAsia="zh-CN"/>
        </w:rPr>
        <w:t>采购文件</w:t>
      </w:r>
      <w:r>
        <w:rPr>
          <w:rFonts w:ascii="宋体" w:hAnsi="宋体"/>
          <w:color w:val="auto"/>
          <w:kern w:val="0"/>
          <w:szCs w:val="21"/>
          <w:highlight w:val="none"/>
        </w:rPr>
        <w:t>作出澄清、修改及补充，投标供应商对涉及</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的任何推论、理解和结论所造成的结果，均由投标供应商自负。</w:t>
      </w:r>
    </w:p>
    <w:p w14:paraId="5B40E908">
      <w:pPr>
        <w:spacing w:line="420" w:lineRule="exact"/>
        <w:ind w:firstLine="420" w:firstLineChars="200"/>
        <w:rPr>
          <w:rFonts w:hint="eastAsia" w:ascii="宋体" w:hAnsi="宋体"/>
          <w:color w:val="auto"/>
          <w:kern w:val="0"/>
          <w:szCs w:val="21"/>
          <w:highlight w:val="none"/>
        </w:rPr>
      </w:pPr>
      <w:r>
        <w:rPr>
          <w:rFonts w:ascii="宋体" w:hAnsi="宋体"/>
          <w:color w:val="auto"/>
          <w:kern w:val="0"/>
          <w:szCs w:val="21"/>
          <w:highlight w:val="none"/>
        </w:rPr>
        <w:t>6</w:t>
      </w:r>
      <w:r>
        <w:rPr>
          <w:rFonts w:hint="eastAsia" w:ascii="宋体" w:hAnsi="宋体"/>
          <w:color w:val="auto"/>
          <w:kern w:val="0"/>
          <w:szCs w:val="21"/>
          <w:highlight w:val="none"/>
        </w:rPr>
        <w:t>.</w:t>
      </w:r>
      <w:r>
        <w:rPr>
          <w:rFonts w:ascii="宋体" w:hAnsi="宋体"/>
          <w:color w:val="auto"/>
          <w:kern w:val="0"/>
          <w:szCs w:val="21"/>
          <w:highlight w:val="none"/>
        </w:rPr>
        <w:t>采购人视情组织答疑会。如有答疑且对</w:t>
      </w:r>
      <w:r>
        <w:rPr>
          <w:rFonts w:hint="eastAsia" w:ascii="宋体" w:hAnsi="宋体"/>
          <w:color w:val="auto"/>
          <w:kern w:val="0"/>
          <w:szCs w:val="21"/>
          <w:highlight w:val="none"/>
          <w:lang w:eastAsia="zh-CN"/>
        </w:rPr>
        <w:t>采购文件</w:t>
      </w:r>
      <w:r>
        <w:rPr>
          <w:rFonts w:ascii="宋体" w:hAnsi="宋体"/>
          <w:color w:val="auto"/>
          <w:kern w:val="0"/>
          <w:szCs w:val="21"/>
          <w:highlight w:val="none"/>
        </w:rPr>
        <w:t>内容有修改，代理机构将按照本须知有关规定，以补充通知（公告）的方式发出。</w:t>
      </w:r>
    </w:p>
    <w:p w14:paraId="1E47C1E2">
      <w:pPr>
        <w:spacing w:line="360" w:lineRule="auto"/>
        <w:ind w:firstLine="422" w:firstLineChars="200"/>
        <w:outlineLvl w:val="1"/>
        <w:rPr>
          <w:rFonts w:ascii="宋体" w:hAnsi="宋体"/>
          <w:b/>
          <w:color w:val="auto"/>
          <w:kern w:val="0"/>
          <w:szCs w:val="21"/>
          <w:highlight w:val="none"/>
        </w:rPr>
      </w:pPr>
      <w:r>
        <w:rPr>
          <w:rFonts w:hint="eastAsia" w:ascii="宋体" w:hAnsi="宋体" w:eastAsia="宋体" w:cs="宋体"/>
          <w:b/>
          <w:bCs/>
          <w:color w:val="auto"/>
          <w:spacing w:val="0"/>
          <w:sz w:val="21"/>
          <w:szCs w:val="21"/>
          <w:highlight w:val="none"/>
          <w:lang w:val="en-US" w:eastAsia="zh-CN" w:bidi="ar-SA"/>
        </w:rPr>
        <w:t>7.在投标响应截止日期前，采购单位对采购文件进行澄清或者修改的，通过“苏采云”系统发布澄清公告或者修改的内容。澄清或者修改的内容以所发布的本项目的“更正（澄清）公告”的形式通知所有获取采购文件的潜在供应商。发布本项目的“更正（澄清）公告”后采购代理机构已尽通知义务。敬请各潜在供应商关注本项目的“更正（澄清）公告”，并通过“苏采云”系统重新下载更正（澄清）后的采购文件（后缀名为“.kedt”），离线编制响应文件，否则，将自行承担相应的风险。</w:t>
      </w:r>
    </w:p>
    <w:p w14:paraId="27D9D157">
      <w:pPr>
        <w:spacing w:line="360" w:lineRule="auto"/>
        <w:ind w:firstLine="422" w:firstLineChars="200"/>
        <w:outlineLvl w:val="1"/>
        <w:rPr>
          <w:rFonts w:hint="eastAsia" w:ascii="宋体" w:hAnsi="宋体" w:eastAsia="宋体" w:cs="宋体"/>
          <w:b/>
          <w:color w:val="auto"/>
          <w:szCs w:val="21"/>
          <w:highlight w:val="none"/>
        </w:rPr>
      </w:pPr>
      <w:r>
        <w:rPr>
          <w:rFonts w:hint="eastAsia" w:ascii="宋体" w:hAnsi="宋体" w:eastAsia="宋体" w:cs="宋体"/>
          <w:b/>
          <w:color w:val="auto"/>
          <w:kern w:val="0"/>
          <w:szCs w:val="21"/>
          <w:highlight w:val="none"/>
        </w:rPr>
        <w:t>三、</w:t>
      </w:r>
      <w:r>
        <w:rPr>
          <w:rFonts w:hint="eastAsia" w:ascii="宋体" w:hAnsi="宋体" w:eastAsia="宋体" w:cs="宋体"/>
          <w:b/>
          <w:color w:val="auto"/>
          <w:szCs w:val="21"/>
          <w:highlight w:val="none"/>
          <w:lang w:eastAsia="zh-CN"/>
        </w:rPr>
        <w:t>响应文件</w:t>
      </w:r>
      <w:r>
        <w:rPr>
          <w:rFonts w:hint="eastAsia" w:ascii="宋体" w:hAnsi="宋体" w:eastAsia="宋体" w:cs="宋体"/>
          <w:b/>
          <w:color w:val="auto"/>
          <w:szCs w:val="21"/>
          <w:highlight w:val="none"/>
        </w:rPr>
        <w:t>的编写及装订</w:t>
      </w:r>
    </w:p>
    <w:p w14:paraId="5EDE836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Cs w:val="21"/>
          <w:highlight w:val="none"/>
        </w:rPr>
        <w:t>响应文件的语言及度量衡单位</w:t>
      </w:r>
    </w:p>
    <w:p w14:paraId="0D61A18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1.1</w:t>
      </w:r>
      <w:r>
        <w:rPr>
          <w:rFonts w:hint="eastAsia" w:ascii="宋体" w:hAnsi="宋体" w:eastAsia="宋体" w:cs="宋体"/>
          <w:color w:val="auto"/>
          <w:sz w:val="21"/>
          <w:szCs w:val="21"/>
          <w:highlight w:val="none"/>
        </w:rPr>
        <w:t>供应商提交的响应文件以及供应商与采购人就有关</w:t>
      </w:r>
      <w:r>
        <w:rPr>
          <w:rFonts w:hint="eastAsia" w:ascii="宋体" w:hAnsi="宋体" w:eastAsia="宋体" w:cs="宋体"/>
          <w:color w:val="auto"/>
          <w:sz w:val="21"/>
          <w:szCs w:val="21"/>
          <w:highlight w:val="none"/>
          <w:lang w:val="en-US" w:eastAsia="zh-CN"/>
        </w:rPr>
        <w:t>采购</w:t>
      </w:r>
      <w:r>
        <w:rPr>
          <w:rFonts w:hint="eastAsia" w:ascii="宋体" w:hAnsi="宋体" w:eastAsia="宋体" w:cs="宋体"/>
          <w:color w:val="auto"/>
          <w:sz w:val="21"/>
          <w:szCs w:val="21"/>
          <w:highlight w:val="none"/>
        </w:rPr>
        <w:t>的所有来往通知、函件和文件均应使用简体中文。</w:t>
      </w:r>
    </w:p>
    <w:p w14:paraId="0667B86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1.2除技术性能另有规定外，响应文件所使用的度量衡单位，均须采用国家法定计量单位。</w:t>
      </w:r>
    </w:p>
    <w:p w14:paraId="72B85CA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 w:val="21"/>
          <w:szCs w:val="21"/>
          <w:highlight w:val="none"/>
          <w:lang w:val="en-US" w:eastAsia="zh-CN"/>
        </w:rPr>
        <w:t>2.响应文件的构成</w:t>
      </w:r>
    </w:p>
    <w:p w14:paraId="14663C41">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Cs/>
          <w:color w:val="auto"/>
          <w:szCs w:val="21"/>
          <w:highlight w:val="none"/>
          <w:lang w:val="en-US" w:eastAsia="zh-CN"/>
        </w:rPr>
        <w:t>2.1</w:t>
      </w:r>
      <w:r>
        <w:rPr>
          <w:rFonts w:hint="eastAsia" w:ascii="宋体" w:hAnsi="宋体" w:eastAsia="宋体" w:cs="宋体"/>
          <w:color w:val="auto"/>
          <w:szCs w:val="21"/>
          <w:highlight w:val="none"/>
        </w:rPr>
        <w:t>供应商编写的响应文件应包括</w:t>
      </w:r>
      <w:r>
        <w:rPr>
          <w:rFonts w:hint="eastAsia" w:ascii="宋体" w:hAnsi="宋体" w:eastAsia="宋体" w:cs="宋体"/>
          <w:b/>
          <w:bCs/>
          <w:color w:val="auto"/>
          <w:sz w:val="21"/>
          <w:szCs w:val="21"/>
          <w:highlight w:val="none"/>
        </w:rPr>
        <w:t>资格审查文件</w:t>
      </w:r>
      <w:r>
        <w:rPr>
          <w:rFonts w:hint="eastAsia" w:ascii="宋体" w:hAnsi="宋体" w:eastAsia="宋体" w:cs="宋体"/>
          <w:color w:val="auto"/>
          <w:szCs w:val="21"/>
          <w:highlight w:val="none"/>
        </w:rPr>
        <w:t>、</w:t>
      </w:r>
      <w:r>
        <w:rPr>
          <w:rFonts w:hint="eastAsia" w:ascii="宋体" w:hAnsi="宋体" w:eastAsia="宋体" w:cs="宋体"/>
          <w:b/>
          <w:bCs/>
          <w:color w:val="auto"/>
          <w:sz w:val="21"/>
          <w:szCs w:val="21"/>
          <w:highlight w:val="none"/>
        </w:rPr>
        <w:t>技术标</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价格标</w:t>
      </w:r>
      <w:r>
        <w:rPr>
          <w:rFonts w:hint="eastAsia" w:ascii="宋体" w:hAnsi="宋体" w:eastAsia="宋体" w:cs="宋体"/>
          <w:color w:val="auto"/>
          <w:szCs w:val="21"/>
          <w:highlight w:val="none"/>
        </w:rPr>
        <w:t>文件。供应商按“第</w:t>
      </w:r>
      <w:r>
        <w:rPr>
          <w:rFonts w:hint="eastAsia" w:ascii="宋体" w:hAnsi="宋体" w:eastAsia="宋体" w:cs="宋体"/>
          <w:color w:val="auto"/>
          <w:szCs w:val="21"/>
          <w:highlight w:val="none"/>
          <w:lang w:val="en-US" w:eastAsia="zh-CN"/>
        </w:rPr>
        <w:t>七</w:t>
      </w:r>
      <w:r>
        <w:rPr>
          <w:rFonts w:hint="eastAsia" w:ascii="宋体" w:hAnsi="宋体" w:eastAsia="宋体" w:cs="宋体"/>
          <w:color w:val="auto"/>
          <w:szCs w:val="21"/>
          <w:highlight w:val="none"/>
        </w:rPr>
        <w:t>部分 响应文件组成”要求编写响应文件。</w:t>
      </w:r>
    </w:p>
    <w:p w14:paraId="2788382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3.响应有效期</w:t>
      </w:r>
    </w:p>
    <w:p w14:paraId="31AB42C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lang w:val="en-US" w:eastAsia="zh-CN"/>
        </w:rPr>
        <w:t>3.1</w:t>
      </w:r>
      <w:r>
        <w:rPr>
          <w:rFonts w:hint="eastAsia" w:ascii="宋体" w:hAnsi="宋体" w:eastAsia="宋体" w:cs="宋体"/>
          <w:bCs/>
          <w:color w:val="auto"/>
          <w:szCs w:val="21"/>
          <w:highlight w:val="none"/>
        </w:rPr>
        <w:t>响应有效期为采购人规定的响应文件</w:t>
      </w:r>
      <w:r>
        <w:rPr>
          <w:rFonts w:hint="eastAsia" w:ascii="宋体" w:hAnsi="宋体" w:eastAsia="宋体" w:cs="宋体"/>
          <w:color w:val="auto"/>
          <w:szCs w:val="21"/>
          <w:highlight w:val="none"/>
        </w:rPr>
        <w:t>提交</w:t>
      </w:r>
      <w:r>
        <w:rPr>
          <w:rFonts w:hint="eastAsia" w:ascii="宋体" w:hAnsi="宋体" w:eastAsia="宋体" w:cs="宋体"/>
          <w:bCs/>
          <w:color w:val="auto"/>
          <w:szCs w:val="21"/>
          <w:highlight w:val="none"/>
        </w:rPr>
        <w:t>截止时间后</w:t>
      </w:r>
      <w:r>
        <w:rPr>
          <w:rFonts w:hint="eastAsia" w:ascii="宋体" w:hAnsi="宋体" w:eastAsia="宋体" w:cs="宋体"/>
          <w:b/>
          <w:color w:val="auto"/>
          <w:szCs w:val="21"/>
          <w:highlight w:val="none"/>
          <w:u w:val="single"/>
          <w:lang w:val="en-US" w:eastAsia="zh-CN"/>
        </w:rPr>
        <w:t>六十</w:t>
      </w:r>
      <w:r>
        <w:rPr>
          <w:rFonts w:hint="eastAsia" w:ascii="宋体" w:hAnsi="宋体" w:eastAsia="宋体" w:cs="宋体"/>
          <w:b/>
          <w:color w:val="auto"/>
          <w:szCs w:val="21"/>
          <w:highlight w:val="none"/>
          <w:u w:val="single"/>
        </w:rPr>
        <w:t>（</w:t>
      </w:r>
      <w:r>
        <w:rPr>
          <w:rFonts w:hint="eastAsia" w:ascii="宋体" w:hAnsi="宋体" w:eastAsia="宋体" w:cs="宋体"/>
          <w:b/>
          <w:color w:val="auto"/>
          <w:szCs w:val="21"/>
          <w:highlight w:val="none"/>
          <w:u w:val="single"/>
          <w:lang w:val="en-US" w:eastAsia="zh-CN"/>
        </w:rPr>
        <w:t>60</w:t>
      </w:r>
      <w:r>
        <w:rPr>
          <w:rFonts w:hint="eastAsia" w:ascii="宋体" w:hAnsi="宋体" w:eastAsia="宋体" w:cs="宋体"/>
          <w:b/>
          <w:color w:val="auto"/>
          <w:szCs w:val="21"/>
          <w:highlight w:val="none"/>
          <w:u w:val="single"/>
        </w:rPr>
        <w:t>）天</w:t>
      </w:r>
      <w:r>
        <w:rPr>
          <w:rFonts w:hint="eastAsia" w:ascii="宋体" w:hAnsi="宋体" w:eastAsia="宋体" w:cs="宋体"/>
          <w:bCs/>
          <w:color w:val="auto"/>
          <w:szCs w:val="21"/>
          <w:highlight w:val="none"/>
        </w:rPr>
        <w:t>。响应有效期比规定短的将被视为非实质性响应而予以拒绝。</w:t>
      </w:r>
    </w:p>
    <w:p w14:paraId="300DA37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在特殊情况下，采购人于原投标有效期满之前，可向投标供应商提出延长投标有效期的要求。这种要求与答复均应采用书面形式。投标供应商可以拒绝采购人的这一要求而放弃投标。同意延长投标有效期的投标供应商既不能要求也不允许修改其响应文件。受投标有效期约束的所有权利与义务均延长至新的有效期。</w:t>
      </w:r>
    </w:p>
    <w:p w14:paraId="46C9964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lang w:val="en-US" w:eastAsia="zh-CN"/>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响应有效期的延长</w:t>
      </w:r>
    </w:p>
    <w:p w14:paraId="59AC90A2">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4.1在特殊情况下，采购人于原响应有效期满之前，可向投标供应商提出延长响应有效期的要求。这种要求与答复均应采用书面形式。供应商可以拒绝采购人的这一要求而放弃响应，同意延长响应有效期的供应商既不能要求也不允许修改其响应文件。受响应有效期约束的所有权利与义务均延长至新的有效期。</w:t>
      </w:r>
    </w:p>
    <w:p w14:paraId="0B5017F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rPr>
        <w:t>电子响应文件其他要求</w:t>
      </w:r>
    </w:p>
    <w:p w14:paraId="46545A4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5.1电子招标投标交易平台（即“苏采云”系统）相关要求是本采购文件的组成部分。</w:t>
      </w:r>
    </w:p>
    <w:p w14:paraId="5F30C6A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5.2供应商应对CA证书妥善保管，如被他人盗用投标，因此带来的结果均由供应商自行承担。</w:t>
      </w:r>
    </w:p>
    <w:p w14:paraId="4B207B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5.3供应商应当对采购文件提出的实质性要求和条件作出实质性响应，并在电子投标系统逐条应答。</w:t>
      </w:r>
    </w:p>
    <w:p w14:paraId="35BE71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5.4供应商应对要求提供的</w:t>
      </w:r>
      <w:r>
        <w:rPr>
          <w:rFonts w:hint="eastAsia" w:ascii="宋体" w:hAnsi="宋体" w:eastAsia="宋体" w:cs="宋体"/>
          <w:bCs/>
          <w:color w:val="auto"/>
          <w:szCs w:val="21"/>
          <w:highlight w:val="none"/>
          <w:lang w:val="en-US" w:eastAsia="zh-CN"/>
        </w:rPr>
        <w:t>资格审查文件</w:t>
      </w:r>
      <w:r>
        <w:rPr>
          <w:rFonts w:hint="eastAsia" w:ascii="宋体" w:hAnsi="宋体" w:eastAsia="宋体" w:cs="宋体"/>
          <w:bCs/>
          <w:color w:val="auto"/>
          <w:szCs w:val="21"/>
          <w:highlight w:val="none"/>
        </w:rPr>
        <w:t>（如资质证书、资格证书）、技术</w:t>
      </w:r>
      <w:r>
        <w:rPr>
          <w:rFonts w:hint="eastAsia" w:ascii="宋体" w:hAnsi="宋体" w:eastAsia="宋体" w:cs="宋体"/>
          <w:bCs/>
          <w:color w:val="auto"/>
          <w:szCs w:val="21"/>
          <w:highlight w:val="none"/>
          <w:lang w:val="en-US" w:eastAsia="zh-CN"/>
        </w:rPr>
        <w:t>标资料</w:t>
      </w:r>
      <w:r>
        <w:rPr>
          <w:rFonts w:hint="eastAsia" w:ascii="宋体" w:hAnsi="宋体" w:eastAsia="宋体" w:cs="宋体"/>
          <w:bCs/>
          <w:color w:val="auto"/>
          <w:szCs w:val="21"/>
          <w:highlight w:val="none"/>
        </w:rPr>
        <w:t>（</w:t>
      </w:r>
      <w:r>
        <w:rPr>
          <w:rFonts w:hint="eastAsia" w:ascii="宋体" w:hAnsi="宋体" w:eastAsia="宋体" w:cs="宋体"/>
          <w:bCs/>
          <w:color w:val="auto"/>
          <w:szCs w:val="21"/>
          <w:highlight w:val="none"/>
          <w:lang w:val="en-US" w:eastAsia="zh-CN"/>
        </w:rPr>
        <w:t>如业绩资料，方案要求</w:t>
      </w:r>
      <w:r>
        <w:rPr>
          <w:rFonts w:hint="eastAsia" w:ascii="宋体" w:hAnsi="宋体" w:eastAsia="宋体" w:cs="宋体"/>
          <w:bCs/>
          <w:color w:val="auto"/>
          <w:szCs w:val="21"/>
          <w:highlight w:val="none"/>
        </w:rPr>
        <w:t xml:space="preserve">等）扫描上传至投标系统。 </w:t>
      </w:r>
    </w:p>
    <w:p w14:paraId="3421EEE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6.供应商应当在采购文件要求提交响应文件的截止时间前，将响应文件提交至“苏采云”系统，逾期提交的响应文件，“苏采云”系统将自动拒收。各供应商应在规定时间内凭CA证书进行网上解密。</w:t>
      </w:r>
    </w:p>
    <w:p w14:paraId="156821DB">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default"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四、响应文件的提交</w:t>
      </w:r>
    </w:p>
    <w:p w14:paraId="4BAF484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1.响应文件的提交</w:t>
      </w:r>
    </w:p>
    <w:p w14:paraId="670E6FFB">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bookmarkStart w:id="7" w:name="_Toc16938542"/>
      <w:bookmarkStart w:id="8" w:name="_Toc20823298"/>
      <w:bookmarkStart w:id="9" w:name="_Toc513029226"/>
      <w:r>
        <w:rPr>
          <w:rFonts w:hint="eastAsia" w:ascii="宋体" w:hAnsi="宋体" w:cs="仿宋"/>
          <w:color w:val="auto"/>
          <w:szCs w:val="21"/>
          <w:highlight w:val="none"/>
          <w:lang w:val="en-US" w:eastAsia="zh-CN"/>
        </w:rPr>
        <w:t>1.1线上提交与接收地点：供应商应当通过“苏采云”系统提交数据电文形式的响应文件（即电子投标），“苏采云”系统自动接收。</w:t>
      </w:r>
    </w:p>
    <w:p w14:paraId="6F81A5B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说明：电子响应文件应由其法定代表人或被授权人在规定的网上投标时间内，凭CA证书登录“苏采云”系统在线编制响应文件（电子数据），并在投标截止时间之前上传响应文件。供应商应在达到开标时间后，使用CA数字证书解密各自响应文件。</w:t>
      </w:r>
    </w:p>
    <w:p w14:paraId="4D62D7A6">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2.响应文件截止日期</w:t>
      </w:r>
      <w:bookmarkEnd w:id="7"/>
      <w:bookmarkEnd w:id="8"/>
      <w:bookmarkEnd w:id="9"/>
    </w:p>
    <w:p w14:paraId="1168DB5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2.1 供应商上传电子响应文件的时间不得迟于采购公告中规定的响应文件提交截止时间。</w:t>
      </w:r>
    </w:p>
    <w:p w14:paraId="5C72E12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供应商应充分考虑到网络环境、网络带宽等风险因素，如因供应商自身原因造成的电子响应文件上传不成功由供应商自行承担全部责任。</w:t>
      </w:r>
    </w:p>
    <w:p w14:paraId="181071E3">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2.2 采购人或采购代理机构可以按照规定，通过修改采购文件酌情延长响应文件提交截止日期，在此情况下，供应商的所有权利和义务以及供应商受制的截止日期均应以延长后新的截止日期为准。</w:t>
      </w:r>
    </w:p>
    <w:p w14:paraId="56EAB76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3.响应文件的密封（加密）要求：</w:t>
      </w:r>
    </w:p>
    <w:p w14:paraId="440483FE">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3.1供应商应当按照采购文件和“苏采云”系统的要求编制并加密响应文件。本项目供应商须通过“苏采云”系统提供的政府采购客户端工具（使用“CA数字证书”）对其数据电文形式的响应文件加密。</w:t>
      </w:r>
    </w:p>
    <w:p w14:paraId="7391F880">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3.2供应商须通过“苏采云”系统提供的政府采购客户端工具（使用“CA数字证书”）加盖电子签章。</w:t>
      </w:r>
    </w:p>
    <w:p w14:paraId="604C41E4">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color w:val="auto"/>
          <w:szCs w:val="21"/>
          <w:highlight w:val="none"/>
          <w:lang w:val="en-US" w:eastAsia="zh-CN"/>
        </w:rPr>
      </w:pPr>
      <w:r>
        <w:rPr>
          <w:rFonts w:hint="eastAsia" w:ascii="宋体" w:hAnsi="宋体" w:cs="仿宋"/>
          <w:color w:val="auto"/>
          <w:szCs w:val="21"/>
          <w:highlight w:val="none"/>
          <w:lang w:val="en-US" w:eastAsia="zh-CN"/>
        </w:rPr>
        <w:t>说明：供应商应在用CA数字证书以及自备的能够登录“苏采云”系统的电脑，在达到开标时间后，使用CA数字证书解密各自响应文件。</w:t>
      </w:r>
    </w:p>
    <w:p w14:paraId="61D58DE2">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仿宋"/>
          <w:b w:val="0"/>
          <w:color w:val="auto"/>
          <w:spacing w:val="0"/>
          <w:sz w:val="21"/>
          <w:szCs w:val="21"/>
          <w:highlight w:val="none"/>
          <w:lang w:val="en-US" w:eastAsia="zh-CN" w:bidi="ar-SA"/>
        </w:rPr>
      </w:pPr>
      <w:r>
        <w:rPr>
          <w:rFonts w:hint="eastAsia" w:ascii="宋体" w:hAnsi="宋体" w:eastAsia="宋体" w:cs="仿宋"/>
          <w:b w:val="0"/>
          <w:color w:val="auto"/>
          <w:spacing w:val="0"/>
          <w:sz w:val="21"/>
          <w:szCs w:val="21"/>
          <w:highlight w:val="none"/>
          <w:lang w:val="en-US" w:eastAsia="zh-CN" w:bidi="ar-SA"/>
        </w:rPr>
        <w:t>3.3供应商未按规定加密的响应文件，“苏采云”系统将拒收并提示。</w:t>
      </w:r>
    </w:p>
    <w:p w14:paraId="3FBDDBE5">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 w:val="0"/>
          <w:color w:val="auto"/>
          <w:spacing w:val="0"/>
          <w:sz w:val="21"/>
          <w:szCs w:val="21"/>
          <w:highlight w:val="none"/>
          <w:lang w:val="en-US" w:eastAsia="zh-CN" w:bidi="ar-SA"/>
        </w:rPr>
        <w:t>4.</w:t>
      </w:r>
      <w:r>
        <w:rPr>
          <w:rFonts w:hint="eastAsia" w:ascii="宋体" w:hAnsi="宋体" w:eastAsia="宋体" w:cs="仿宋"/>
          <w:b w:val="0"/>
          <w:color w:val="auto"/>
          <w:spacing w:val="0"/>
          <w:sz w:val="21"/>
          <w:szCs w:val="21"/>
          <w:highlight w:val="none"/>
          <w:lang w:val="en-US" w:eastAsia="zh-CN" w:bidi="ar-SA"/>
        </w:rPr>
        <w:t>响应文件的拒收</w:t>
      </w:r>
    </w:p>
    <w:p w14:paraId="677F2F80">
      <w:pPr>
        <w:keepNext w:val="0"/>
        <w:keepLines w:val="0"/>
        <w:pageBreakBefore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4.1 采购人拒绝接收在其规定的响应文件提交截止时间后上传的任何响应文件。</w:t>
      </w:r>
    </w:p>
    <w:p w14:paraId="252D514F">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仿宋"/>
          <w:b w:val="0"/>
          <w:color w:val="auto"/>
          <w:spacing w:val="0"/>
          <w:sz w:val="21"/>
          <w:szCs w:val="21"/>
          <w:highlight w:val="none"/>
          <w:lang w:val="en-US" w:eastAsia="zh-CN" w:bidi="ar-SA"/>
        </w:rPr>
      </w:pPr>
      <w:r>
        <w:rPr>
          <w:rFonts w:hint="eastAsia" w:ascii="宋体" w:hAnsi="宋体" w:eastAsia="宋体" w:cs="仿宋"/>
          <w:b w:val="0"/>
          <w:color w:val="auto"/>
          <w:spacing w:val="0"/>
          <w:sz w:val="21"/>
          <w:szCs w:val="21"/>
          <w:highlight w:val="none"/>
          <w:lang w:val="en-US" w:eastAsia="zh-CN" w:bidi="ar-SA"/>
        </w:rPr>
        <w:t>5.响应文件的撤回和修改</w:t>
      </w:r>
    </w:p>
    <w:p w14:paraId="3F2F71F1">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5.1 响应文件的撤回</w:t>
      </w:r>
    </w:p>
    <w:p w14:paraId="4DEED4D6">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5.1.1 电子响应文件的撤回</w:t>
      </w:r>
    </w:p>
    <w:p w14:paraId="5612EE5E">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供应商可在响应文件提交截止时间前，撤回其电子响应文件，具体操作方法见“苏采云”系统供应商操作手册。</w:t>
      </w:r>
    </w:p>
    <w:p w14:paraId="401890FC">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5.1.2 供应商撤回电子响应文件，则认为其不再参与本项目</w:t>
      </w:r>
      <w:r>
        <w:rPr>
          <w:rFonts w:hint="eastAsia" w:ascii="宋体" w:hAnsi="宋体" w:eastAsia="宋体" w:cs="仿宋"/>
          <w:b w:val="0"/>
          <w:color w:val="auto"/>
          <w:spacing w:val="0"/>
          <w:sz w:val="21"/>
          <w:szCs w:val="21"/>
          <w:highlight w:val="none"/>
          <w:lang w:val="en-US" w:eastAsia="zh-CN" w:bidi="ar-SA"/>
        </w:rPr>
        <w:t>采购</w:t>
      </w:r>
      <w:r>
        <w:rPr>
          <w:rFonts w:hint="default" w:ascii="宋体" w:hAnsi="宋体" w:eastAsia="宋体" w:cs="仿宋"/>
          <w:b w:val="0"/>
          <w:color w:val="auto"/>
          <w:spacing w:val="0"/>
          <w:sz w:val="21"/>
          <w:szCs w:val="21"/>
          <w:highlight w:val="none"/>
          <w:lang w:val="en-US" w:eastAsia="zh-CN" w:bidi="ar-SA"/>
        </w:rPr>
        <w:t>活动。</w:t>
      </w:r>
    </w:p>
    <w:p w14:paraId="37541CE3">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5.2 响应文件的修改</w:t>
      </w:r>
    </w:p>
    <w:p w14:paraId="73E25C9B">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供应商可在响应文件提交截止时间前，对其电子响应文件进行修改。具体操作方法见“苏采云”系统供应商操作手册。</w:t>
      </w:r>
    </w:p>
    <w:p w14:paraId="27C919D8">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5.3 在响应文件提交截止时间之后，供应商不得对其电子响应文件作任何修改。</w:t>
      </w:r>
    </w:p>
    <w:p w14:paraId="3F553205">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5.4 在响应文件截止时间至响应文件中规定的响应有效期满之间的这段时间内，供应商不得撤回其响应文件。</w:t>
      </w:r>
      <w:bookmarkStart w:id="10" w:name="_Toc16938545"/>
      <w:bookmarkStart w:id="11" w:name="_Toc513029229"/>
      <w:bookmarkStart w:id="12" w:name="_Toc120614218"/>
      <w:bookmarkStart w:id="13" w:name="_Toc20823301"/>
    </w:p>
    <w:p w14:paraId="4E899D6C">
      <w:pPr>
        <w:keepNext w:val="0"/>
        <w:keepLines w:val="0"/>
        <w:pageBreakBefore w:val="0"/>
        <w:widowControl w:val="0"/>
        <w:kinsoku/>
        <w:wordWrap/>
        <w:overflowPunct/>
        <w:topLinePunct w:val="0"/>
        <w:autoSpaceDE/>
        <w:autoSpaceDN/>
        <w:bidi w:val="0"/>
        <w:adjustRightInd/>
        <w:snapToGrid/>
        <w:spacing w:line="360" w:lineRule="auto"/>
        <w:ind w:firstLine="422" w:firstLineChars="200"/>
        <w:textAlignment w:val="auto"/>
        <w:outlineLvl w:val="1"/>
        <w:rPr>
          <w:rFonts w:hint="eastAsia" w:ascii="宋体" w:hAnsi="宋体" w:eastAsia="宋体" w:cs="宋体"/>
          <w:b/>
          <w:color w:val="auto"/>
          <w:sz w:val="21"/>
          <w:szCs w:val="21"/>
          <w:highlight w:val="none"/>
          <w:lang w:val="en-US" w:eastAsia="zh-CN"/>
        </w:rPr>
      </w:pPr>
      <w:r>
        <w:rPr>
          <w:rFonts w:hint="eastAsia" w:ascii="宋体" w:hAnsi="宋体" w:eastAsia="宋体" w:cs="宋体"/>
          <w:b/>
          <w:color w:val="auto"/>
          <w:sz w:val="21"/>
          <w:szCs w:val="21"/>
          <w:highlight w:val="none"/>
          <w:lang w:val="en-US" w:eastAsia="zh-CN"/>
        </w:rPr>
        <w:t>五、投标报价</w:t>
      </w:r>
    </w:p>
    <w:p w14:paraId="2BA0FCD5">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本项目不接受任何有选择的报价。</w:t>
      </w:r>
    </w:p>
    <w:p w14:paraId="54EFFF7F">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投标报价均以人民币为报价的币种。</w:t>
      </w:r>
    </w:p>
    <w:p w14:paraId="54A069FD">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报价表必须加盖投标供应商公章且必须经法定代表人或被授权人签字或盖章。报价表中的大写金额与小写金额、总价金额与按单价汇总金额，若有差异，将执行《政府采购货物和服务招标投标管理办法》第59条的规定。</w:t>
      </w:r>
    </w:p>
    <w:p w14:paraId="0820F9BA">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4.投标供应商应结合本企业的技术水平、管理水平和工程规模等实际情况，</w:t>
      </w:r>
      <w:r>
        <w:rPr>
          <w:rFonts w:ascii="宋体" w:hAnsi="宋体"/>
          <w:color w:val="auto"/>
          <w:szCs w:val="21"/>
          <w:highlight w:val="none"/>
        </w:rPr>
        <w:t>自报</w:t>
      </w:r>
      <w:r>
        <w:rPr>
          <w:rFonts w:hint="eastAsia" w:ascii="宋体" w:hAnsi="宋体"/>
          <w:color w:val="auto"/>
          <w:szCs w:val="21"/>
          <w:highlight w:val="none"/>
        </w:rPr>
        <w:t>投标</w:t>
      </w:r>
      <w:r>
        <w:rPr>
          <w:rFonts w:hint="eastAsia" w:ascii="宋体" w:hAnsi="宋体"/>
          <w:color w:val="auto"/>
          <w:szCs w:val="21"/>
          <w:highlight w:val="none"/>
          <w:lang w:val="en-US" w:eastAsia="zh-CN"/>
        </w:rPr>
        <w:t>优惠率</w:t>
      </w:r>
      <w:r>
        <w:rPr>
          <w:rFonts w:hint="eastAsia" w:ascii="宋体" w:hAnsi="宋体"/>
          <w:color w:val="auto"/>
          <w:szCs w:val="21"/>
          <w:highlight w:val="none"/>
        </w:rPr>
        <w:t>，报价时需充分考虑工程实施范围内外的单位、个人和其它可能出现的阻挠施工、以及在合同履行过程中可能发生风险的全部因素。中标后，投标供应商不得以任何原由提出超出合同约定条款以外的相关费用。结算的工程量按实际完成的工程量确定，最终以第三方</w:t>
      </w:r>
      <w:r>
        <w:rPr>
          <w:rFonts w:ascii="宋体" w:hAnsi="宋体"/>
          <w:color w:val="auto"/>
          <w:szCs w:val="21"/>
          <w:highlight w:val="none"/>
        </w:rPr>
        <w:t>审计机构</w:t>
      </w:r>
      <w:r>
        <w:rPr>
          <w:rFonts w:hint="eastAsia" w:ascii="宋体" w:hAnsi="宋体"/>
          <w:color w:val="auto"/>
          <w:szCs w:val="21"/>
          <w:highlight w:val="none"/>
        </w:rPr>
        <w:t>出具的最终审计结果为准。</w:t>
      </w:r>
    </w:p>
    <w:p w14:paraId="6CEB709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w:t>
      </w:r>
      <w:r>
        <w:rPr>
          <w:rFonts w:ascii="宋体" w:hAnsi="宋体"/>
          <w:color w:val="auto"/>
          <w:szCs w:val="21"/>
          <w:highlight w:val="none"/>
        </w:rPr>
        <w:t>投标供应商应对招标人提供的已标价的工程量清单进行认真细致的复核。这种复核包括对招标人提供的工程量清单中的子目名称、子目特征描述、计量单位、全费用综合单价的准确性进行检查和复核，特别是对全费用综合单价重新计算和校核。如果投标供应商经过检查和复核以后，认为招标人提供的已标价的工程量清单存在差异，则投标供应商应将按投标供应商须知要求提交疑义，招标人将根据实际情况决定是否补充和(或)修改文件。投标供应商未在规定时间内提出疑义的，则表明投标供应商对招标人提供的已标价的工程量清单无异议，予以认可，中标后不得再对此提供任何异议</w:t>
      </w:r>
      <w:r>
        <w:rPr>
          <w:rFonts w:hint="eastAsia" w:ascii="宋体" w:hAnsi="宋体"/>
          <w:color w:val="auto"/>
          <w:szCs w:val="21"/>
          <w:highlight w:val="none"/>
        </w:rPr>
        <w:t>。</w:t>
      </w:r>
    </w:p>
    <w:p w14:paraId="2E8883BB">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投标供应商应详细阅读</w:t>
      </w:r>
      <w:r>
        <w:rPr>
          <w:rFonts w:hint="eastAsia" w:ascii="宋体" w:hAnsi="宋体"/>
          <w:color w:val="auto"/>
          <w:szCs w:val="21"/>
          <w:highlight w:val="none"/>
          <w:lang w:eastAsia="zh-CN"/>
        </w:rPr>
        <w:t>采购文件</w:t>
      </w:r>
      <w:r>
        <w:rPr>
          <w:rFonts w:ascii="宋体" w:hAnsi="宋体"/>
          <w:color w:val="auto"/>
          <w:szCs w:val="21"/>
          <w:highlight w:val="none"/>
        </w:rPr>
        <w:t>的全部内容，根据采购项目需求，准确制定相关工作方案等，必须对本</w:t>
      </w:r>
      <w:r>
        <w:rPr>
          <w:rFonts w:hint="eastAsia" w:ascii="宋体" w:hAnsi="宋体"/>
          <w:color w:val="auto"/>
          <w:szCs w:val="21"/>
          <w:highlight w:val="none"/>
        </w:rPr>
        <w:t>招标</w:t>
      </w:r>
      <w:r>
        <w:rPr>
          <w:rFonts w:ascii="宋体" w:hAnsi="宋体"/>
          <w:color w:val="auto"/>
          <w:szCs w:val="21"/>
          <w:highlight w:val="none"/>
        </w:rPr>
        <w:t>项目全部进行报价，如有漏项，视同对本项目的优惠。不按</w:t>
      </w:r>
      <w:r>
        <w:rPr>
          <w:rFonts w:hint="eastAsia" w:ascii="宋体" w:hAnsi="宋体"/>
          <w:color w:val="auto"/>
          <w:szCs w:val="21"/>
          <w:highlight w:val="none"/>
          <w:lang w:eastAsia="zh-CN"/>
        </w:rPr>
        <w:t>采购文件</w:t>
      </w:r>
      <w:r>
        <w:rPr>
          <w:rFonts w:ascii="宋体" w:hAnsi="宋体"/>
          <w:color w:val="auto"/>
          <w:szCs w:val="21"/>
          <w:highlight w:val="none"/>
        </w:rPr>
        <w:t>的要求提供</w:t>
      </w:r>
      <w:r>
        <w:rPr>
          <w:rFonts w:hint="eastAsia" w:ascii="宋体" w:hAnsi="宋体"/>
          <w:color w:val="auto"/>
          <w:szCs w:val="21"/>
          <w:highlight w:val="none"/>
        </w:rPr>
        <w:t>投标响应</w:t>
      </w:r>
      <w:r>
        <w:rPr>
          <w:rFonts w:ascii="宋体" w:hAnsi="宋体"/>
          <w:color w:val="auto"/>
          <w:szCs w:val="21"/>
          <w:highlight w:val="none"/>
        </w:rPr>
        <w:t>文件，导致报价无效，按无效投标处理。</w:t>
      </w:r>
    </w:p>
    <w:p w14:paraId="22E17A0B">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7.投标供应商在投标报价时应综合考虑以下因素，中标后不得对采购单位提出额外增加费用的要求： </w:t>
      </w:r>
    </w:p>
    <w:p w14:paraId="6980CF17">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1）本工程施工期间涉及环保、消防、城市卫生、市政、居委会、派出所等相关部门收取的费用，以及夜间文明施工、保护周边地下管线和架空线的安全的费用等，由投标供应商在投标报价中自行综合考虑，竣工结算时一律不作调整。 </w:t>
      </w:r>
    </w:p>
    <w:p w14:paraId="01F701AC">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2）中标人应独立、有效地做好该工程周边的有关群众工作，并充分考虑工程实施范围内外的单位、个人和其他可能出现阻挠施工的情况，若发生的机械台班停置费、二次机械进退场费、人员窝工、处理周边群众纠纷等费用和损失，由投标供应商在投标报价中自行综合考虑，竣工结算时一律不作调整。 </w:t>
      </w:r>
    </w:p>
    <w:p w14:paraId="5F7A7AB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（3）因施工场地狭小、周边现状设施保护等发生的一切费用由投标供应商在投标报价中自行综合考虑，竣工结算时一律不作调整。 </w:t>
      </w:r>
    </w:p>
    <w:p w14:paraId="2195663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（4）赶工费、按质论价费、二次搬运费、特殊条件下施工增加费、冬雨季施工增加费、夜间施工增加费、社会车辆行人干扰费由投标供应商在投标报价中自行综合考虑，竣工结算时一律不作调整。</w:t>
      </w:r>
    </w:p>
    <w:p w14:paraId="78A93738">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（5）大型机械进退场费已包含于全费用综合单价中，施工过程中的大型机械进退场一般情况下不予计量，请投标供应商报价时综合考虑。 </w:t>
      </w:r>
    </w:p>
    <w:p w14:paraId="19ECEE2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 xml:space="preserve">（6）施工中需要清障、挪车、办理交通封闭登报公示等所发生的费用由投标供应商在投标报价中自行综合考虑，结算时不予计量。 </w:t>
      </w:r>
    </w:p>
    <w:p w14:paraId="1E29D8C2">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8.本工程存在点多、面广、突发性强、分布不均、单次任务维修工程量差异大等特点（例如零星更换井盖、局部路面坑塘维修等），请投标供应商考虑本工程特点，认真阅读工程量清单项目特征描述，慎重考虑报价；接到任务后现场踏勘不另行计费，请投标供应商报价时综合考虑。</w:t>
      </w:r>
    </w:p>
    <w:p w14:paraId="7665978C">
      <w:pPr>
        <w:snapToGrid w:val="0"/>
        <w:spacing w:line="360" w:lineRule="auto"/>
        <w:ind w:firstLine="422" w:firstLineChars="200"/>
        <w:outlineLvl w:val="1"/>
        <w:rPr>
          <w:rFonts w:hint="eastAsia" w:ascii="宋体" w:hAnsi="宋体"/>
          <w:b/>
          <w:color w:val="auto"/>
          <w:szCs w:val="21"/>
          <w:highlight w:val="none"/>
        </w:rPr>
      </w:pPr>
      <w:r>
        <w:rPr>
          <w:rFonts w:hint="eastAsia" w:ascii="宋体" w:hAnsi="宋体"/>
          <w:b/>
          <w:color w:val="auto"/>
          <w:szCs w:val="21"/>
          <w:highlight w:val="none"/>
          <w:lang w:val="en-US" w:eastAsia="zh-CN"/>
        </w:rPr>
        <w:t>六</w:t>
      </w:r>
      <w:r>
        <w:rPr>
          <w:rFonts w:hint="eastAsia" w:ascii="宋体" w:hAnsi="宋体"/>
          <w:b/>
          <w:color w:val="auto"/>
          <w:szCs w:val="21"/>
          <w:highlight w:val="none"/>
        </w:rPr>
        <w:t>、投标项目涉及到的现场勘察</w:t>
      </w:r>
    </w:p>
    <w:p w14:paraId="0CE57FF1">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w:t>
      </w:r>
      <w:r>
        <w:rPr>
          <w:rFonts w:hint="eastAsia" w:ascii="宋体" w:hAnsi="宋体"/>
          <w:color w:val="auto"/>
          <w:szCs w:val="21"/>
          <w:highlight w:val="none"/>
          <w:lang w:eastAsia="zh-CN"/>
        </w:rPr>
        <w:t>采购文件</w:t>
      </w:r>
      <w:r>
        <w:rPr>
          <w:rFonts w:hint="eastAsia" w:ascii="宋体" w:hAnsi="宋体"/>
          <w:color w:val="auto"/>
          <w:szCs w:val="21"/>
          <w:highlight w:val="none"/>
        </w:rPr>
        <w:t>所提供的项目相关数据仅做参考，根据自身需要，投标供应商可在</w:t>
      </w:r>
      <w:r>
        <w:rPr>
          <w:rFonts w:hint="eastAsia" w:ascii="宋体" w:hAnsi="宋体"/>
          <w:color w:val="auto"/>
          <w:szCs w:val="21"/>
          <w:highlight w:val="none"/>
          <w:lang w:eastAsia="zh-CN"/>
        </w:rPr>
        <w:t>响应文件</w:t>
      </w:r>
      <w:r>
        <w:rPr>
          <w:rFonts w:hint="eastAsia" w:ascii="宋体" w:hAnsi="宋体"/>
          <w:color w:val="auto"/>
          <w:szCs w:val="21"/>
          <w:highlight w:val="none"/>
        </w:rPr>
        <w:t>递交之日前对有关现场和周围环境进行勘察，以获取编制</w:t>
      </w:r>
      <w:r>
        <w:rPr>
          <w:rFonts w:hint="eastAsia" w:ascii="宋体" w:hAnsi="宋体"/>
          <w:color w:val="auto"/>
          <w:szCs w:val="21"/>
          <w:highlight w:val="none"/>
          <w:lang w:eastAsia="zh-CN"/>
        </w:rPr>
        <w:t>响应文件</w:t>
      </w:r>
      <w:r>
        <w:rPr>
          <w:rFonts w:hint="eastAsia" w:ascii="宋体" w:hAnsi="宋体"/>
          <w:color w:val="auto"/>
          <w:szCs w:val="21"/>
          <w:highlight w:val="none"/>
        </w:rPr>
        <w:t>和签署合同所需的信息。勘察现场所发生的费用由投标供应商自己承担。</w:t>
      </w:r>
    </w:p>
    <w:p w14:paraId="20199F49">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2.采购人向投标供应商提供的有关现场的资料和数据，是采购人现有的并认为能使投标供应商可利用的资料。采购人对投标供应商由此而做出的推论、理解和结论概不负责。</w:t>
      </w:r>
    </w:p>
    <w:p w14:paraId="38CCF70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3.经采购人允许，投标供应商可为勘察目的进入采购人的项目现场，但投标供应商不得因此使采购人承担有关的责任和蒙受损失。投标供应商应承担勘察现场的责任和风险。</w:t>
      </w:r>
    </w:p>
    <w:p w14:paraId="7A48D884">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投标供应商应认真踏勘现场。在现场勘察时，熟悉养护现场、现场周围等情况，以获得一切可能影响其投标的直接资料。投标供应商中标后，不得以不完全了解现场情况为理由而向采购人提出任何索赔的要求，对此采购人不承担任何责任并将不作任何答复与考虑。</w:t>
      </w:r>
    </w:p>
    <w:bookmarkEnd w:id="10"/>
    <w:bookmarkEnd w:id="11"/>
    <w:bookmarkEnd w:id="12"/>
    <w:bookmarkEnd w:id="13"/>
    <w:p w14:paraId="0E8B149B">
      <w:pPr>
        <w:spacing w:line="360" w:lineRule="auto"/>
        <w:ind w:firstLine="422"/>
        <w:rPr>
          <w:rFonts w:hint="eastAsia" w:ascii="宋体" w:hAnsi="宋体" w:cs="仿宋"/>
          <w:b/>
          <w:bCs/>
          <w:color w:val="auto"/>
          <w:szCs w:val="21"/>
          <w:highlight w:val="none"/>
        </w:rPr>
      </w:pPr>
      <w:r>
        <w:rPr>
          <w:rFonts w:hint="eastAsia" w:ascii="宋体" w:hAnsi="宋体" w:cs="仿宋"/>
          <w:b/>
          <w:bCs/>
          <w:color w:val="auto"/>
          <w:szCs w:val="21"/>
          <w:highlight w:val="none"/>
          <w:lang w:val="en-US" w:eastAsia="zh-CN"/>
        </w:rPr>
        <w:t>七、开标</w:t>
      </w:r>
      <w:r>
        <w:rPr>
          <w:rFonts w:hint="eastAsia" w:ascii="宋体" w:hAnsi="宋体" w:cs="仿宋"/>
          <w:b/>
          <w:bCs/>
          <w:color w:val="auto"/>
          <w:szCs w:val="21"/>
          <w:highlight w:val="none"/>
        </w:rPr>
        <w:t>与评审</w:t>
      </w:r>
    </w:p>
    <w:p w14:paraId="5B62E774">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eastAsia="宋体" w:cs="仿宋"/>
          <w:b w:val="0"/>
          <w:color w:val="auto"/>
          <w:spacing w:val="0"/>
          <w:sz w:val="21"/>
          <w:szCs w:val="21"/>
          <w:highlight w:val="none"/>
          <w:lang w:val="en-US" w:eastAsia="zh-CN" w:bidi="ar-SA"/>
        </w:rPr>
      </w:pPr>
      <w:r>
        <w:rPr>
          <w:rFonts w:hint="eastAsia" w:ascii="宋体" w:hAnsi="宋体" w:eastAsia="宋体" w:cs="仿宋"/>
          <w:b w:val="0"/>
          <w:color w:val="auto"/>
          <w:spacing w:val="0"/>
          <w:sz w:val="21"/>
          <w:szCs w:val="21"/>
          <w:highlight w:val="none"/>
          <w:lang w:val="en-US" w:eastAsia="zh-CN" w:bidi="ar-SA"/>
        </w:rPr>
        <w:t>1.开标仪式</w:t>
      </w:r>
    </w:p>
    <w:p w14:paraId="0E82A319">
      <w:pPr>
        <w:pStyle w:val="42"/>
        <w:keepNext w:val="0"/>
        <w:keepLines w:val="0"/>
        <w:pageBreakBefore w:val="0"/>
        <w:kinsoku/>
        <w:wordWrap/>
        <w:overflowPunct/>
        <w:topLinePunct w:val="0"/>
        <w:autoSpaceDE/>
        <w:autoSpaceDN/>
        <w:bidi w:val="0"/>
        <w:adjustRightInd/>
        <w:snapToGrid/>
        <w:spacing w:line="360" w:lineRule="auto"/>
        <w:ind w:left="0" w:leftChars="0" w:firstLine="420" w:firstLineChars="200"/>
        <w:textAlignment w:val="auto"/>
        <w:rPr>
          <w:rFonts w:hint="default" w:ascii="宋体" w:hAnsi="宋体" w:eastAsia="宋体" w:cs="仿宋"/>
          <w:b w:val="0"/>
          <w:color w:val="auto"/>
          <w:spacing w:val="0"/>
          <w:sz w:val="21"/>
          <w:szCs w:val="21"/>
          <w:highlight w:val="none"/>
          <w:lang w:val="en-US" w:eastAsia="zh-CN" w:bidi="ar-SA"/>
        </w:rPr>
      </w:pPr>
      <w:r>
        <w:rPr>
          <w:rFonts w:hint="default" w:ascii="宋体" w:hAnsi="宋体" w:eastAsia="宋体" w:cs="仿宋"/>
          <w:b w:val="0"/>
          <w:color w:val="auto"/>
          <w:spacing w:val="0"/>
          <w:sz w:val="21"/>
          <w:szCs w:val="21"/>
          <w:highlight w:val="none"/>
          <w:lang w:val="en-US" w:eastAsia="zh-CN" w:bidi="ar-SA"/>
        </w:rPr>
        <w:t>1.1采购代理机构将在</w:t>
      </w:r>
      <w:r>
        <w:rPr>
          <w:rFonts w:hint="eastAsia" w:ascii="宋体" w:hAnsi="宋体" w:eastAsia="宋体" w:cs="仿宋"/>
          <w:b w:val="0"/>
          <w:color w:val="auto"/>
          <w:spacing w:val="0"/>
          <w:sz w:val="21"/>
          <w:szCs w:val="21"/>
          <w:highlight w:val="none"/>
          <w:lang w:val="en-US" w:eastAsia="zh-CN" w:bidi="ar-SA"/>
        </w:rPr>
        <w:t>采购</w:t>
      </w:r>
      <w:r>
        <w:rPr>
          <w:rFonts w:hint="default" w:ascii="宋体" w:hAnsi="宋体" w:eastAsia="宋体" w:cs="仿宋"/>
          <w:b w:val="0"/>
          <w:color w:val="auto"/>
          <w:spacing w:val="0"/>
          <w:sz w:val="21"/>
          <w:szCs w:val="21"/>
          <w:highlight w:val="none"/>
          <w:lang w:val="en-US" w:eastAsia="zh-CN" w:bidi="ar-SA"/>
        </w:rPr>
        <w:t>公告中规定的时间和地点组织</w:t>
      </w:r>
      <w:r>
        <w:rPr>
          <w:rFonts w:hint="eastAsia" w:ascii="宋体" w:hAnsi="宋体" w:eastAsia="宋体" w:cs="仿宋"/>
          <w:b w:val="0"/>
          <w:color w:val="auto"/>
          <w:spacing w:val="0"/>
          <w:sz w:val="21"/>
          <w:szCs w:val="21"/>
          <w:highlight w:val="none"/>
          <w:lang w:val="en-US" w:eastAsia="zh-CN" w:bidi="ar-SA"/>
        </w:rPr>
        <w:t>开标</w:t>
      </w:r>
      <w:r>
        <w:rPr>
          <w:rFonts w:hint="default" w:ascii="宋体" w:hAnsi="宋体" w:eastAsia="宋体" w:cs="仿宋"/>
          <w:b w:val="0"/>
          <w:color w:val="auto"/>
          <w:spacing w:val="0"/>
          <w:sz w:val="21"/>
          <w:szCs w:val="21"/>
          <w:highlight w:val="none"/>
          <w:lang w:val="en-US" w:eastAsia="zh-CN" w:bidi="ar-SA"/>
        </w:rPr>
        <w:t>开始仪式。</w:t>
      </w:r>
    </w:p>
    <w:p w14:paraId="0F81C65C">
      <w:pPr>
        <w:spacing w:line="360" w:lineRule="auto"/>
        <w:ind w:firstLine="422"/>
        <w:rPr>
          <w:rFonts w:hint="eastAsia" w:ascii="宋体" w:hAnsi="宋体" w:cs="仿宋"/>
          <w:b/>
          <w:bCs/>
          <w:color w:val="auto"/>
          <w:szCs w:val="21"/>
          <w:highlight w:val="none"/>
          <w:u w:val="single"/>
        </w:rPr>
      </w:pPr>
      <w:r>
        <w:rPr>
          <w:rFonts w:hint="eastAsia" w:ascii="宋体" w:hAnsi="宋体" w:cs="仿宋"/>
          <w:b/>
          <w:bCs/>
          <w:color w:val="auto"/>
          <w:szCs w:val="21"/>
          <w:highlight w:val="none"/>
          <w:u w:val="single"/>
        </w:rPr>
        <w:t>开标当天各供应商及时登录不见面开标大厅，响应文件提交截止时间后，采购代理机构将在系统内公布供应商名单，然后通过开标会议区发出响应文件解密的指令，供应商按规定时间自行实施远程解密，供应商解密限定在开标后30分钟之内完成。因供应商网络与电源不稳定、未按操作手册要求配置软硬件、解密锁发生故障或用错、故意不在要求时限内完成解密等自身原因，导致响应文件在规定时间内未能解密、解密失败或解密超时，视为供应商撤销其响应文件，系统内响应文件将被退回；因采购人（或采购代理机构）原因或网上招投标平台发生故障，导致无法按时完成响应文件解密或开、评标工作无法进行的，可根据实际情况相应延迟解密时间或调整开、评标时间。</w:t>
      </w:r>
    </w:p>
    <w:p w14:paraId="64583757">
      <w:pPr>
        <w:spacing w:line="360" w:lineRule="auto"/>
        <w:ind w:firstLine="420"/>
        <w:rPr>
          <w:rFonts w:hint="eastAsia" w:ascii="宋体" w:hAnsi="宋体" w:cs="仿宋"/>
          <w:color w:val="auto"/>
          <w:szCs w:val="21"/>
          <w:highlight w:val="none"/>
        </w:rPr>
      </w:pPr>
      <w:r>
        <w:rPr>
          <w:rFonts w:hint="eastAsia" w:ascii="宋体" w:hAnsi="宋体" w:cs="仿宋"/>
          <w:bCs/>
          <w:color w:val="auto"/>
          <w:szCs w:val="21"/>
          <w:highlight w:val="none"/>
        </w:rPr>
        <w:t xml:space="preserve">1.2 </w:t>
      </w:r>
      <w:r>
        <w:rPr>
          <w:rFonts w:hint="eastAsia" w:ascii="宋体" w:hAnsi="宋体" w:cs="仿宋"/>
          <w:bCs/>
          <w:color w:val="auto"/>
          <w:szCs w:val="21"/>
          <w:highlight w:val="none"/>
          <w:lang w:val="en-US" w:eastAsia="zh-CN"/>
        </w:rPr>
        <w:t>采购</w:t>
      </w:r>
      <w:r>
        <w:rPr>
          <w:rFonts w:hint="eastAsia" w:ascii="宋体" w:hAnsi="宋体" w:cs="仿宋"/>
          <w:bCs/>
          <w:color w:val="auto"/>
          <w:szCs w:val="21"/>
          <w:highlight w:val="none"/>
        </w:rPr>
        <w:t>活动的文件解密工作由采购人或采购代理机构组织</w:t>
      </w:r>
      <w:r>
        <w:rPr>
          <w:rFonts w:hint="eastAsia" w:ascii="宋体" w:hAnsi="宋体" w:cs="仿宋"/>
          <w:color w:val="auto"/>
          <w:szCs w:val="21"/>
          <w:highlight w:val="none"/>
        </w:rPr>
        <w:t>。</w:t>
      </w:r>
    </w:p>
    <w:p w14:paraId="1571707C">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1.3</w:t>
      </w:r>
      <w:r>
        <w:rPr>
          <w:rFonts w:hint="eastAsia" w:ascii="宋体" w:hAnsi="宋体" w:cs="仿宋"/>
          <w:bCs/>
          <w:color w:val="auto"/>
          <w:szCs w:val="21"/>
          <w:highlight w:val="none"/>
          <w:lang w:eastAsia="zh-CN"/>
        </w:rPr>
        <w:t>投标供应商</w:t>
      </w:r>
      <w:r>
        <w:rPr>
          <w:rFonts w:hint="eastAsia" w:ascii="宋体" w:hAnsi="宋体" w:cs="仿宋"/>
          <w:bCs/>
          <w:color w:val="auto"/>
          <w:szCs w:val="21"/>
          <w:highlight w:val="none"/>
        </w:rPr>
        <w:t>在开标过程中涉及到的</w:t>
      </w:r>
      <w:r>
        <w:rPr>
          <w:rFonts w:hint="eastAsia" w:ascii="宋体" w:hAnsi="宋体" w:cs="仿宋"/>
          <w:bCs/>
          <w:color w:val="auto"/>
          <w:szCs w:val="21"/>
          <w:highlight w:val="none"/>
          <w:lang w:eastAsia="zh-CN"/>
        </w:rPr>
        <w:t>响应文件</w:t>
      </w:r>
      <w:r>
        <w:rPr>
          <w:rFonts w:hint="eastAsia" w:ascii="宋体" w:hAnsi="宋体" w:cs="仿宋"/>
          <w:bCs/>
          <w:color w:val="auto"/>
          <w:szCs w:val="21"/>
          <w:highlight w:val="none"/>
        </w:rPr>
        <w:t>解密、开标结果确认等工作，应按照“苏采云”系统供应商操作手册规定执行。</w:t>
      </w:r>
    </w:p>
    <w:p w14:paraId="15644391">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w:t>
      </w:r>
      <w:r>
        <w:rPr>
          <w:rFonts w:hint="eastAsia" w:ascii="宋体" w:hAnsi="宋体" w:cs="仿宋"/>
          <w:bCs/>
          <w:color w:val="auto"/>
          <w:szCs w:val="21"/>
          <w:highlight w:val="none"/>
          <w:lang w:eastAsia="zh-CN"/>
        </w:rPr>
        <w:t>投标供应商</w:t>
      </w:r>
      <w:r>
        <w:rPr>
          <w:rFonts w:hint="eastAsia" w:ascii="宋体" w:hAnsi="宋体" w:cs="仿宋"/>
          <w:bCs/>
          <w:color w:val="auto"/>
          <w:szCs w:val="21"/>
          <w:highlight w:val="none"/>
        </w:rPr>
        <w:t>如果对开标过程和开标记录有疑义，应当根据“苏采云”系统供应商操作手册规定提出，如苏采云系统中《开标记录表》宣布后5分钟内未提出的，视同认可开标结果。</w:t>
      </w:r>
    </w:p>
    <w:p w14:paraId="32461667">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仿宋"/>
          <w:b w:val="0"/>
          <w:color w:val="auto"/>
          <w:spacing w:val="0"/>
          <w:sz w:val="21"/>
          <w:szCs w:val="21"/>
          <w:highlight w:val="none"/>
          <w:lang w:val="en-US" w:eastAsia="zh-CN" w:bidi="ar-SA"/>
        </w:rPr>
      </w:pPr>
      <w:r>
        <w:rPr>
          <w:rFonts w:hint="eastAsia" w:ascii="宋体" w:hAnsi="宋体" w:eastAsia="宋体" w:cs="仿宋"/>
          <w:b w:val="0"/>
          <w:color w:val="auto"/>
          <w:spacing w:val="0"/>
          <w:sz w:val="21"/>
          <w:szCs w:val="21"/>
          <w:highlight w:val="none"/>
          <w:lang w:val="en-US" w:eastAsia="zh-CN" w:bidi="ar-SA"/>
        </w:rPr>
        <w:t>2.评标委员会</w:t>
      </w:r>
    </w:p>
    <w:p w14:paraId="090B1FC9">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仿宋"/>
          <w:b w:val="0"/>
          <w:color w:val="auto"/>
          <w:spacing w:val="0"/>
          <w:sz w:val="21"/>
          <w:szCs w:val="21"/>
          <w:highlight w:val="none"/>
          <w:lang w:val="en-US" w:eastAsia="zh-CN" w:bidi="ar-SA"/>
        </w:rPr>
      </w:pPr>
      <w:r>
        <w:rPr>
          <w:rFonts w:hint="eastAsia" w:ascii="宋体" w:hAnsi="宋体" w:eastAsia="宋体" w:cs="仿宋"/>
          <w:b w:val="0"/>
          <w:color w:val="auto"/>
          <w:spacing w:val="0"/>
          <w:sz w:val="21"/>
          <w:szCs w:val="21"/>
          <w:highlight w:val="none"/>
          <w:lang w:val="en-US" w:eastAsia="zh-CN" w:bidi="ar-SA"/>
        </w:rPr>
        <w:t>2.1开标后，采购代理机构将立即组织评标委员会（以下简称评委会）进行评审。</w:t>
      </w:r>
    </w:p>
    <w:p w14:paraId="0C2A5191">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仿宋"/>
          <w:b w:val="0"/>
          <w:color w:val="auto"/>
          <w:spacing w:val="0"/>
          <w:sz w:val="21"/>
          <w:szCs w:val="21"/>
          <w:highlight w:val="none"/>
          <w:lang w:val="en-US" w:eastAsia="zh-CN" w:bidi="ar-SA"/>
        </w:rPr>
      </w:pPr>
      <w:r>
        <w:rPr>
          <w:rFonts w:hint="eastAsia" w:ascii="宋体" w:hAnsi="宋体" w:eastAsia="宋体" w:cs="仿宋"/>
          <w:b w:val="0"/>
          <w:color w:val="auto"/>
          <w:spacing w:val="0"/>
          <w:sz w:val="21"/>
          <w:szCs w:val="21"/>
          <w:highlight w:val="none"/>
          <w:lang w:val="en-US" w:eastAsia="zh-CN" w:bidi="ar-SA"/>
        </w:rPr>
        <w:t>2.2评委会由采购人代表和有关技术、经济等方面的专家组成，且人员构成符合政府采购有关规定。</w:t>
      </w:r>
    </w:p>
    <w:p w14:paraId="36604F7C">
      <w:pPr>
        <w:pStyle w:val="1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2.3评标委员会独立工作，负责评审所有响应文件并确定中标候选人。</w:t>
      </w:r>
    </w:p>
    <w:p w14:paraId="6BA72380">
      <w:pPr>
        <w:pStyle w:val="111"/>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3.评审过程的保密与公正</w:t>
      </w:r>
    </w:p>
    <w:p w14:paraId="073D6E4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3.1评标委员会、</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人或</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代理机构、相关监督人员等与评审工作有关的人员，对评审情况以及在评审过程中获悉的国家秘密、商业秘密负有保密责任。</w:t>
      </w:r>
    </w:p>
    <w:p w14:paraId="12F9C2C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3.2在评审过程中，投标</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不得以任何行为影响评审过程，否则其</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将被作为无效</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w:t>
      </w:r>
    </w:p>
    <w:p w14:paraId="6676A6B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3.3评标委员会成员应当按照客观、公正、审慎的原则，根据</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文件规定的评审程序、评审方法和评审标准进行独立评审。未实质性响应</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文件的</w:t>
      </w:r>
      <w:r>
        <w:rPr>
          <w:rFonts w:hint="eastAsia" w:ascii="宋体" w:hAnsi="宋体" w:eastAsia="宋体" w:cs="宋体"/>
          <w:color w:val="auto"/>
          <w:highlight w:val="none"/>
          <w:lang w:val="en-US" w:eastAsia="zh-CN"/>
        </w:rPr>
        <w:t>响应</w:t>
      </w:r>
      <w:r>
        <w:rPr>
          <w:rFonts w:hint="eastAsia" w:ascii="宋体" w:hAnsi="宋体" w:eastAsia="宋体" w:cs="宋体"/>
          <w:color w:val="auto"/>
          <w:highlight w:val="none"/>
        </w:rPr>
        <w:t>文件按无效投标处理，评标委员会应当告知提交</w:t>
      </w:r>
      <w:r>
        <w:rPr>
          <w:rFonts w:hint="eastAsia" w:ascii="宋体" w:hAnsi="宋体" w:eastAsia="宋体" w:cs="宋体"/>
          <w:color w:val="auto"/>
          <w:highlight w:val="none"/>
          <w:lang w:eastAsia="zh-CN"/>
        </w:rPr>
        <w:t>响应文件</w:t>
      </w:r>
      <w:r>
        <w:rPr>
          <w:rFonts w:hint="eastAsia" w:ascii="宋体" w:hAnsi="宋体" w:eastAsia="宋体" w:cs="宋体"/>
          <w:color w:val="auto"/>
          <w:highlight w:val="none"/>
        </w:rPr>
        <w:t>的投标</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w:t>
      </w:r>
    </w:p>
    <w:p w14:paraId="6E1B53F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3.4凡是与审查、澄清、评价和比较投标的有关资料以及授标建议等，</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人、评标委员会、</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代理机构均不得向投标</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或与评标无关的其他人员透露。</w:t>
      </w:r>
    </w:p>
    <w:p w14:paraId="6867554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3.5在评审期间，</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代理机构将设专门人员与</w:t>
      </w:r>
      <w:r>
        <w:rPr>
          <w:rFonts w:hint="eastAsia" w:ascii="宋体" w:hAnsi="宋体" w:eastAsia="宋体" w:cs="宋体"/>
          <w:color w:val="auto"/>
          <w:highlight w:val="none"/>
          <w:lang w:eastAsia="zh-CN"/>
        </w:rPr>
        <w:t>投标供应商</w:t>
      </w:r>
      <w:r>
        <w:rPr>
          <w:rFonts w:hint="eastAsia" w:ascii="宋体" w:hAnsi="宋体" w:eastAsia="宋体" w:cs="宋体"/>
          <w:color w:val="auto"/>
          <w:highlight w:val="none"/>
        </w:rPr>
        <w:t>联系。</w:t>
      </w:r>
    </w:p>
    <w:p w14:paraId="3F5EAF5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3.6</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人、</w:t>
      </w:r>
      <w:r>
        <w:rPr>
          <w:rFonts w:hint="eastAsia" w:ascii="宋体" w:hAnsi="宋体" w:eastAsia="宋体" w:cs="宋体"/>
          <w:color w:val="auto"/>
          <w:highlight w:val="none"/>
          <w:lang w:val="en-US" w:eastAsia="zh-CN"/>
        </w:rPr>
        <w:t>采购</w:t>
      </w:r>
      <w:r>
        <w:rPr>
          <w:rFonts w:hint="eastAsia" w:ascii="宋体" w:hAnsi="宋体" w:eastAsia="宋体" w:cs="宋体"/>
          <w:color w:val="auto"/>
          <w:highlight w:val="none"/>
        </w:rPr>
        <w:t>代理机构和评标委员会不向未中标的</w:t>
      </w:r>
      <w:r>
        <w:rPr>
          <w:rFonts w:hint="eastAsia" w:ascii="宋体" w:hAnsi="宋体" w:eastAsia="宋体" w:cs="宋体"/>
          <w:color w:val="auto"/>
          <w:highlight w:val="none"/>
          <w:lang w:eastAsia="zh-CN"/>
        </w:rPr>
        <w:t>投标供应商</w:t>
      </w:r>
      <w:r>
        <w:rPr>
          <w:rFonts w:hint="eastAsia" w:ascii="宋体" w:hAnsi="宋体" w:eastAsia="宋体" w:cs="宋体"/>
          <w:color w:val="auto"/>
          <w:highlight w:val="none"/>
        </w:rPr>
        <w:t>解释未中标原因，也不公布评审过程中的相关细节。</w:t>
      </w:r>
    </w:p>
    <w:p w14:paraId="275E395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highlight w:val="none"/>
        </w:rPr>
        <w:t>3.7采用综合评分法的项目，未中标的投标</w:t>
      </w:r>
      <w:r>
        <w:rPr>
          <w:rFonts w:hint="eastAsia" w:ascii="宋体" w:hAnsi="宋体" w:eastAsia="宋体" w:cs="宋体"/>
          <w:color w:val="auto"/>
          <w:highlight w:val="none"/>
          <w:lang w:val="en-US" w:eastAsia="zh-CN"/>
        </w:rPr>
        <w:t>供应商</w:t>
      </w:r>
      <w:r>
        <w:rPr>
          <w:rFonts w:hint="eastAsia" w:ascii="宋体" w:hAnsi="宋体" w:eastAsia="宋体" w:cs="宋体"/>
          <w:color w:val="auto"/>
          <w:highlight w:val="none"/>
        </w:rPr>
        <w:t>可于</w:t>
      </w:r>
      <w:r>
        <w:rPr>
          <w:rFonts w:hint="eastAsia" w:ascii="宋体" w:hAnsi="宋体" w:eastAsia="宋体" w:cs="宋体"/>
          <w:color w:val="auto"/>
          <w:highlight w:val="none"/>
          <w:lang w:val="en-US" w:eastAsia="zh-CN"/>
        </w:rPr>
        <w:t>成交</w:t>
      </w:r>
      <w:r>
        <w:rPr>
          <w:rFonts w:hint="eastAsia" w:ascii="宋体" w:hAnsi="宋体" w:eastAsia="宋体" w:cs="宋体"/>
          <w:color w:val="auto"/>
          <w:highlight w:val="none"/>
        </w:rPr>
        <w:t>结果公告期限届满之日起通过苏采云系统查看自己的评审得分及排序情况。</w:t>
      </w:r>
    </w:p>
    <w:p w14:paraId="3574E020">
      <w:pPr>
        <w:pStyle w:val="111"/>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4.评审过程的澄清</w:t>
      </w:r>
    </w:p>
    <w:p w14:paraId="1C84588F">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4.1项目评审期间，评标委员会有权要求</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对</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中含义不明确、同类问题表述不一致或者有明显文字和计算错误的内容等作出必要的澄清、说明或者更正。</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的澄清、说明或者更正不得超出</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的范围或者改变</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的实质性内容。评标委员会并非对每个</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都作澄清要求。</w:t>
      </w:r>
    </w:p>
    <w:p w14:paraId="29EDB798">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4.2需要投标</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进行澄清、说明和更正的，评标委员会将通过苏采云系统向投标</w:t>
      </w:r>
      <w:r>
        <w:rPr>
          <w:rFonts w:hint="eastAsia" w:ascii="宋体" w:hAnsi="宋体" w:eastAsia="宋体" w:cs="宋体"/>
          <w:color w:val="auto"/>
          <w:sz w:val="21"/>
          <w:szCs w:val="21"/>
          <w:highlight w:val="none"/>
          <w:lang w:val="en-US" w:eastAsia="zh-CN"/>
        </w:rPr>
        <w:t>供应商</w:t>
      </w:r>
      <w:r>
        <w:rPr>
          <w:rFonts w:hint="eastAsia" w:ascii="宋体" w:hAnsi="宋体" w:eastAsia="宋体" w:cs="宋体"/>
          <w:color w:val="auto"/>
          <w:sz w:val="21"/>
          <w:szCs w:val="21"/>
          <w:highlight w:val="none"/>
        </w:rPr>
        <w:t>发布“澄清要求函”，接到“澄清要求函”的</w:t>
      </w:r>
      <w:r>
        <w:rPr>
          <w:rFonts w:hint="eastAsia" w:ascii="宋体" w:hAnsi="宋体" w:eastAsia="宋体" w:cs="宋体"/>
          <w:color w:val="auto"/>
          <w:sz w:val="21"/>
          <w:szCs w:val="21"/>
          <w:highlight w:val="none"/>
          <w:lang w:eastAsia="zh-CN"/>
        </w:rPr>
        <w:t>投标供应商</w:t>
      </w:r>
      <w:r>
        <w:rPr>
          <w:rFonts w:hint="eastAsia" w:ascii="宋体" w:hAnsi="宋体" w:eastAsia="宋体" w:cs="宋体"/>
          <w:color w:val="auto"/>
          <w:sz w:val="21"/>
          <w:szCs w:val="21"/>
          <w:highlight w:val="none"/>
        </w:rPr>
        <w:t>应当按照要求在苏采云系统中提交“澄清响应函”并加盖CA电子公章。澄清、说明和更正的内容作为</w:t>
      </w:r>
      <w:r>
        <w:rPr>
          <w:rFonts w:hint="eastAsia" w:ascii="宋体" w:hAnsi="宋体" w:eastAsia="宋体" w:cs="宋体"/>
          <w:color w:val="auto"/>
          <w:sz w:val="21"/>
          <w:szCs w:val="21"/>
          <w:highlight w:val="none"/>
          <w:lang w:eastAsia="zh-CN"/>
        </w:rPr>
        <w:t>响应文件</w:t>
      </w:r>
      <w:r>
        <w:rPr>
          <w:rFonts w:hint="eastAsia" w:ascii="宋体" w:hAnsi="宋体" w:eastAsia="宋体" w:cs="宋体"/>
          <w:color w:val="auto"/>
          <w:sz w:val="21"/>
          <w:szCs w:val="21"/>
          <w:highlight w:val="none"/>
        </w:rPr>
        <w:t>的补充部分，具体操作方式见《操作手册》。</w:t>
      </w:r>
    </w:p>
    <w:p w14:paraId="468B6FDF">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4.3接到评标委员会澄清、说明和更正要求的投标供应商如未按规定做出澄清、说明和更正，其风险由投标供应商自行承担。</w:t>
      </w:r>
    </w:p>
    <w:p w14:paraId="43B080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5.对响应文件的初审</w:t>
      </w:r>
    </w:p>
    <w:p w14:paraId="51428F3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5.1响应文件初审分为资格性审查和符合性审查。</w:t>
      </w:r>
    </w:p>
    <w:p w14:paraId="05203C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5.1.1资格性审查：依据法律法规和</w:t>
      </w:r>
      <w:r>
        <w:rPr>
          <w:rFonts w:hint="eastAsia" w:ascii="宋体" w:hAnsi="宋体" w:cs="仿宋"/>
          <w:bCs/>
          <w:color w:val="auto"/>
          <w:szCs w:val="21"/>
          <w:highlight w:val="none"/>
          <w:lang w:val="en-US" w:eastAsia="zh-CN"/>
        </w:rPr>
        <w:t>采购</w:t>
      </w:r>
      <w:r>
        <w:rPr>
          <w:rFonts w:hint="eastAsia" w:ascii="宋体" w:hAnsi="宋体" w:cs="仿宋"/>
          <w:bCs/>
          <w:color w:val="auto"/>
          <w:szCs w:val="21"/>
          <w:highlight w:val="none"/>
        </w:rPr>
        <w:t>文件的规定，由采购人对响应文件中的资格审查证明材料进行审查，资格审查的结论，采购人以书面形式向</w:t>
      </w:r>
      <w:r>
        <w:rPr>
          <w:rFonts w:hint="eastAsia" w:ascii="宋体" w:hAnsi="宋体" w:cs="仿宋"/>
          <w:bCs/>
          <w:color w:val="auto"/>
          <w:szCs w:val="21"/>
          <w:highlight w:val="none"/>
          <w:lang w:val="en-US" w:eastAsia="zh-CN"/>
        </w:rPr>
        <w:t>评委会</w:t>
      </w:r>
      <w:r>
        <w:rPr>
          <w:rFonts w:hint="eastAsia" w:ascii="宋体" w:hAnsi="宋体" w:cs="仿宋"/>
          <w:bCs/>
          <w:color w:val="auto"/>
          <w:szCs w:val="21"/>
          <w:highlight w:val="none"/>
        </w:rPr>
        <w:t>进行反馈。</w:t>
      </w:r>
    </w:p>
    <w:p w14:paraId="34EB6E7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接受联合体的项目，两个以上的自然人、法人或者其他组织组成一个联合体，以一个供应商的身份共同参加政府采购活动的,联合体成员中任何一方存在不良信用记录的，视同联合体存在不良应用记录。</w:t>
      </w:r>
    </w:p>
    <w:p w14:paraId="6DEEC0A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5.1.2符合性审查：依据</w:t>
      </w:r>
      <w:r>
        <w:rPr>
          <w:rFonts w:hint="eastAsia" w:ascii="宋体" w:hAnsi="宋体" w:cs="仿宋"/>
          <w:bCs/>
          <w:color w:val="auto"/>
          <w:szCs w:val="21"/>
          <w:highlight w:val="none"/>
          <w:lang w:val="en-US" w:eastAsia="zh-CN"/>
        </w:rPr>
        <w:t>采购</w:t>
      </w:r>
      <w:r>
        <w:rPr>
          <w:rFonts w:hint="eastAsia" w:ascii="宋体" w:hAnsi="宋体" w:cs="仿宋"/>
          <w:bCs/>
          <w:color w:val="auto"/>
          <w:szCs w:val="21"/>
          <w:highlight w:val="none"/>
        </w:rPr>
        <w:t>文件的规定，由</w:t>
      </w:r>
      <w:r>
        <w:rPr>
          <w:rFonts w:hint="eastAsia" w:ascii="宋体" w:hAnsi="宋体" w:cs="仿宋"/>
          <w:bCs/>
          <w:color w:val="auto"/>
          <w:szCs w:val="21"/>
          <w:highlight w:val="none"/>
          <w:lang w:eastAsia="zh-CN"/>
        </w:rPr>
        <w:t>评委会</w:t>
      </w:r>
      <w:r>
        <w:rPr>
          <w:rFonts w:hint="eastAsia" w:ascii="宋体" w:hAnsi="宋体" w:cs="仿宋"/>
          <w:bCs/>
          <w:color w:val="auto"/>
          <w:szCs w:val="21"/>
          <w:highlight w:val="none"/>
        </w:rPr>
        <w:t>从响应文件的有效性、完整性和对</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的响应程度进行审查，以确定是否对</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的实质性要求作出响应。</w:t>
      </w:r>
    </w:p>
    <w:p w14:paraId="2870FC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5.1.3未通过资格审查或符合性审查的供应商，采购人或采购代理机构将告知未通过资格审查或符合性审查的原因，评审结束后，采购人或采购代理机构将不再告知未通过资格审查或符合性审查的原因。</w:t>
      </w:r>
    </w:p>
    <w:p w14:paraId="36902244">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5.2在正式</w:t>
      </w:r>
      <w:r>
        <w:rPr>
          <w:rFonts w:hint="eastAsia" w:ascii="宋体" w:hAnsi="宋体" w:cs="仿宋"/>
          <w:bCs/>
          <w:color w:val="auto"/>
          <w:szCs w:val="21"/>
          <w:highlight w:val="none"/>
          <w:lang w:val="en-US" w:eastAsia="zh-CN"/>
        </w:rPr>
        <w:t>评标</w:t>
      </w:r>
      <w:r>
        <w:rPr>
          <w:rFonts w:hint="eastAsia" w:ascii="宋体" w:hAnsi="宋体" w:cs="仿宋"/>
          <w:bCs/>
          <w:color w:val="auto"/>
          <w:szCs w:val="21"/>
          <w:highlight w:val="none"/>
        </w:rPr>
        <w:t>之前，</w:t>
      </w:r>
      <w:r>
        <w:rPr>
          <w:rFonts w:hint="eastAsia" w:ascii="宋体" w:hAnsi="宋体" w:cs="仿宋"/>
          <w:bCs/>
          <w:color w:val="auto"/>
          <w:szCs w:val="21"/>
          <w:highlight w:val="none"/>
          <w:lang w:eastAsia="zh-CN"/>
        </w:rPr>
        <w:t>评委会</w:t>
      </w:r>
      <w:r>
        <w:rPr>
          <w:rFonts w:hint="eastAsia" w:ascii="宋体" w:hAnsi="宋体" w:cs="仿宋"/>
          <w:bCs/>
          <w:color w:val="auto"/>
          <w:szCs w:val="21"/>
          <w:highlight w:val="none"/>
        </w:rPr>
        <w:t>将首先审查每份响应文件是否实质性响应了</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的要求。实质性响应的响应文件应该是与</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要求的全部条款、条件和规格相符，没有重大负偏离或保留。</w:t>
      </w:r>
    </w:p>
    <w:p w14:paraId="4AA0B1FC">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所谓重大负偏离或保留是指与</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规定的实质性要求存在负偏离，或者在实质上与</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不一致，而且限制了合同中买方和见证方的权利或供应商的义务，纠正这些偏离或保留将会对其他实质性响应要求的供应商的竞争地位产生不公正的影响。重大偏离由</w:t>
      </w:r>
      <w:r>
        <w:rPr>
          <w:rFonts w:hint="eastAsia" w:ascii="宋体" w:hAnsi="宋体" w:cs="仿宋"/>
          <w:bCs/>
          <w:color w:val="auto"/>
          <w:szCs w:val="21"/>
          <w:highlight w:val="none"/>
          <w:lang w:eastAsia="zh-CN"/>
        </w:rPr>
        <w:t>评委会</w:t>
      </w:r>
      <w:r>
        <w:rPr>
          <w:rFonts w:hint="eastAsia" w:ascii="宋体" w:hAnsi="宋体" w:cs="仿宋"/>
          <w:bCs/>
          <w:color w:val="auto"/>
          <w:szCs w:val="21"/>
          <w:highlight w:val="none"/>
        </w:rPr>
        <w:t>按照少数服从多数的原则认定。</w:t>
      </w:r>
      <w:r>
        <w:rPr>
          <w:rFonts w:hint="eastAsia" w:ascii="宋体" w:hAnsi="宋体" w:cs="仿宋"/>
          <w:bCs/>
          <w:color w:val="auto"/>
          <w:szCs w:val="21"/>
          <w:highlight w:val="none"/>
          <w:lang w:eastAsia="zh-CN"/>
        </w:rPr>
        <w:t>评委会</w:t>
      </w:r>
      <w:r>
        <w:rPr>
          <w:rFonts w:hint="eastAsia" w:ascii="宋体" w:hAnsi="宋体" w:cs="仿宋"/>
          <w:bCs/>
          <w:color w:val="auto"/>
          <w:szCs w:val="21"/>
          <w:highlight w:val="none"/>
        </w:rPr>
        <w:t>决定响应文件的响应性只根据响应文件本身的内容，而不寻求外部的证据。</w:t>
      </w:r>
    </w:p>
    <w:p w14:paraId="40C7A6DD">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5.3如果响应文件实质上没有响应</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的要求，</w:t>
      </w:r>
      <w:r>
        <w:rPr>
          <w:rFonts w:hint="eastAsia" w:ascii="宋体" w:hAnsi="宋体" w:cs="仿宋"/>
          <w:bCs/>
          <w:color w:val="auto"/>
          <w:szCs w:val="21"/>
          <w:highlight w:val="none"/>
          <w:lang w:eastAsia="zh-CN"/>
        </w:rPr>
        <w:t>评委会</w:t>
      </w:r>
      <w:r>
        <w:rPr>
          <w:rFonts w:hint="eastAsia" w:ascii="宋体" w:hAnsi="宋体" w:cs="仿宋"/>
          <w:bCs/>
          <w:color w:val="auto"/>
          <w:szCs w:val="21"/>
          <w:highlight w:val="none"/>
        </w:rPr>
        <w:t>将予以拒绝，供应商不得通过修改或撤销不合要求的偏离或保留而使其响应文件成为实质性响应的文件。</w:t>
      </w:r>
    </w:p>
    <w:p w14:paraId="47418B4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color w:val="auto"/>
          <w:szCs w:val="21"/>
          <w:highlight w:val="none"/>
        </w:rPr>
        <w:t>5.4</w:t>
      </w:r>
      <w:r>
        <w:rPr>
          <w:rFonts w:hint="eastAsia" w:ascii="宋体" w:hAnsi="宋体" w:cs="仿宋"/>
          <w:bCs/>
          <w:color w:val="auto"/>
          <w:szCs w:val="21"/>
          <w:highlight w:val="none"/>
          <w:lang w:eastAsia="zh-CN"/>
        </w:rPr>
        <w:t>评委会</w:t>
      </w:r>
      <w:r>
        <w:rPr>
          <w:rFonts w:hint="eastAsia" w:ascii="宋体" w:hAnsi="宋体" w:cs="仿宋"/>
          <w:bCs/>
          <w:color w:val="auto"/>
          <w:szCs w:val="21"/>
          <w:highlight w:val="none"/>
        </w:rPr>
        <w:t>将对确定为实质性响应的文件进行进一步审核，看其是否有计算上或累加上的算术错误，修正错误的原则如下：</w:t>
      </w:r>
    </w:p>
    <w:p w14:paraId="05F5DCF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（1）响应文件中</w:t>
      </w:r>
      <w:r>
        <w:rPr>
          <w:rFonts w:hint="eastAsia" w:ascii="宋体" w:hAnsi="宋体" w:cs="仿宋"/>
          <w:color w:val="auto"/>
          <w:szCs w:val="21"/>
          <w:highlight w:val="none"/>
          <w:lang w:val="en-US" w:eastAsia="zh-CN"/>
        </w:rPr>
        <w:t>投标响应</w:t>
      </w:r>
      <w:r>
        <w:rPr>
          <w:rFonts w:hint="eastAsia" w:ascii="宋体" w:hAnsi="宋体" w:cs="仿宋"/>
          <w:color w:val="auto"/>
          <w:szCs w:val="21"/>
          <w:highlight w:val="none"/>
        </w:rPr>
        <w:t>报价总表</w:t>
      </w:r>
      <w:r>
        <w:rPr>
          <w:rFonts w:hint="eastAsia" w:ascii="宋体" w:hAnsi="宋体" w:cs="仿宋"/>
          <w:bCs/>
          <w:color w:val="auto"/>
          <w:szCs w:val="21"/>
          <w:highlight w:val="none"/>
        </w:rPr>
        <w:t>内容与响应文件中相应内容不一致的，以</w:t>
      </w:r>
      <w:r>
        <w:rPr>
          <w:rFonts w:hint="eastAsia" w:ascii="宋体" w:hAnsi="宋体" w:cs="仿宋"/>
          <w:color w:val="auto"/>
          <w:szCs w:val="21"/>
          <w:highlight w:val="none"/>
          <w:lang w:val="en-US" w:eastAsia="zh-CN"/>
        </w:rPr>
        <w:t>投标响应</w:t>
      </w:r>
      <w:r>
        <w:rPr>
          <w:rFonts w:hint="eastAsia" w:ascii="宋体" w:hAnsi="宋体" w:cs="仿宋"/>
          <w:color w:val="auto"/>
          <w:szCs w:val="21"/>
          <w:highlight w:val="none"/>
        </w:rPr>
        <w:t>报价总表</w:t>
      </w:r>
      <w:r>
        <w:rPr>
          <w:rFonts w:hint="eastAsia" w:ascii="宋体" w:hAnsi="宋体" w:cs="仿宋"/>
          <w:bCs/>
          <w:color w:val="auto"/>
          <w:szCs w:val="21"/>
          <w:highlight w:val="none"/>
        </w:rPr>
        <w:t>为准。</w:t>
      </w:r>
    </w:p>
    <w:p w14:paraId="2DADCA9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（2）大写金额和小写金额不一致的，以大写金额为准。</w:t>
      </w:r>
    </w:p>
    <w:p w14:paraId="17A58F2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（3）单价金额小数点或者百分比有明显错位的，以</w:t>
      </w:r>
      <w:r>
        <w:rPr>
          <w:rFonts w:hint="eastAsia" w:ascii="宋体" w:hAnsi="宋体" w:cs="仿宋"/>
          <w:color w:val="auto"/>
          <w:szCs w:val="21"/>
          <w:highlight w:val="none"/>
          <w:lang w:val="en-US" w:eastAsia="zh-CN"/>
        </w:rPr>
        <w:t>投标响应</w:t>
      </w:r>
      <w:r>
        <w:rPr>
          <w:rFonts w:hint="eastAsia" w:ascii="宋体" w:hAnsi="宋体" w:cs="仿宋"/>
          <w:color w:val="auto"/>
          <w:szCs w:val="21"/>
          <w:highlight w:val="none"/>
        </w:rPr>
        <w:t>报价总表</w:t>
      </w:r>
      <w:r>
        <w:rPr>
          <w:rFonts w:hint="eastAsia" w:ascii="宋体" w:hAnsi="宋体" w:cs="仿宋"/>
          <w:bCs/>
          <w:color w:val="auto"/>
          <w:szCs w:val="21"/>
          <w:highlight w:val="none"/>
        </w:rPr>
        <w:t>的总价为准，并修改单价。</w:t>
      </w:r>
    </w:p>
    <w:p w14:paraId="37425BE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（4）总价金额与按单价汇总金额不一致的，以单价金额计算结果为准。</w:t>
      </w:r>
    </w:p>
    <w:p w14:paraId="6CA061D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同时出现两种以上错误的，按照前款规定的顺序修正。</w:t>
      </w:r>
    </w:p>
    <w:p w14:paraId="20633A48">
      <w:pPr>
        <w:keepNext w:val="0"/>
        <w:keepLines w:val="0"/>
        <w:pageBreakBefore w:val="0"/>
        <w:widowControl w:val="0"/>
        <w:tabs>
          <w:tab w:val="left" w:pos="900"/>
        </w:tabs>
        <w:kinsoku/>
        <w:wordWrap/>
        <w:overflowPunct/>
        <w:topLinePunct w:val="0"/>
        <w:autoSpaceDE/>
        <w:autoSpaceDN/>
        <w:bidi w:val="0"/>
        <w:adjustRightInd/>
        <w:snapToGrid/>
        <w:spacing w:line="360" w:lineRule="auto"/>
        <w:ind w:firstLine="420" w:firstLineChars="200"/>
        <w:textAlignment w:val="auto"/>
        <w:rPr>
          <w:rFonts w:hint="eastAsia" w:ascii="宋体" w:hAnsi="宋体" w:cs="仿宋"/>
          <w:bCs/>
          <w:color w:val="auto"/>
          <w:szCs w:val="21"/>
          <w:highlight w:val="none"/>
        </w:rPr>
      </w:pPr>
      <w:r>
        <w:rPr>
          <w:rFonts w:hint="eastAsia" w:ascii="宋体" w:hAnsi="宋体" w:cs="仿宋"/>
          <w:bCs/>
          <w:color w:val="auto"/>
          <w:szCs w:val="21"/>
          <w:highlight w:val="none"/>
        </w:rPr>
        <w:t>5.5</w:t>
      </w:r>
      <w:r>
        <w:rPr>
          <w:rFonts w:hint="eastAsia" w:ascii="宋体" w:hAnsi="宋体" w:cs="仿宋"/>
          <w:bCs/>
          <w:color w:val="auto"/>
          <w:szCs w:val="21"/>
          <w:highlight w:val="none"/>
          <w:lang w:val="en-US" w:eastAsia="zh-CN"/>
        </w:rPr>
        <w:t>评委会</w:t>
      </w:r>
      <w:r>
        <w:rPr>
          <w:rFonts w:hint="eastAsia" w:ascii="宋体" w:hAnsi="宋体" w:cs="仿宋"/>
          <w:bCs/>
          <w:color w:val="auto"/>
          <w:szCs w:val="21"/>
          <w:highlight w:val="none"/>
        </w:rPr>
        <w:t>将按上述修正错误的方法调整响应文件中的报价，通过“苏采云系统”开标大厅告知供应商，调整后的价格应对供应商具有约束力。如果供应商不接受修正后的价格，则其响应文件将被拒绝。</w:t>
      </w:r>
    </w:p>
    <w:p w14:paraId="1456418C">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5.6评委会将允许修正响应文件中不构成重大偏离的、微小的、非正规的、不一致的或不规则的地方，但这些修改不能影响任何供应商相应的名次排列。</w:t>
      </w:r>
    </w:p>
    <w:p w14:paraId="72B8C8B6">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5.7采用最低评标价法的采购项目，提供相同品牌产品的不同投标供应商参加同一合同项下投标的，以其中通过资格审查、符合性审查且报价最低的参加评标；报价相同的，由评标委员会按照采购文件规定的方式（采购文件未规定的通过随机抽取的方式）确定一个参加评标的投标供应商，其他投标无效。</w:t>
      </w:r>
    </w:p>
    <w:p w14:paraId="2058B17F">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5.8使用综合评分法的采购项目，提供相同品牌产品且通过资格审查、符合性审查的不同投标供应商参加同一合同项下投标的，按一家投标供应商计算，评审后得分最高的同品牌投标供应商获得中标人推荐资格；评审得分相同的，由评标委员会根据采购文件规定的方式（采购文件未规定的采取随机抽取的方式）确定一个中标候选人，其他同品牌投标供应商不作为中标候选人。</w:t>
      </w:r>
    </w:p>
    <w:p w14:paraId="781EE6D5">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非单一产品采购项目，采购文件中将载明其中的核心产品。多家投标供应商提供的核心产品品牌相同的，按前两款规定处理。</w:t>
      </w:r>
    </w:p>
    <w:p w14:paraId="1D69AE11">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5.9 供应商在评审全过程中应保持通讯畅通，并安排专人与采购人或采购代理机构及评委会联</w:t>
      </w:r>
    </w:p>
    <w:p w14:paraId="2359AF9A">
      <w:pPr>
        <w:pStyle w:val="42"/>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 xml:space="preserve">6.无效投标条款和废标条款  </w:t>
      </w:r>
    </w:p>
    <w:p w14:paraId="5D10BE11">
      <w:pPr>
        <w:spacing w:line="360" w:lineRule="auto"/>
        <w:ind w:firstLine="484"/>
        <w:rPr>
          <w:rFonts w:hint="eastAsia" w:ascii="宋体" w:hAnsi="宋体" w:cs="仿宋"/>
          <w:bCs/>
          <w:color w:val="auto"/>
          <w:szCs w:val="21"/>
          <w:highlight w:val="none"/>
        </w:rPr>
      </w:pPr>
      <w:r>
        <w:rPr>
          <w:rFonts w:hint="eastAsia" w:ascii="宋体" w:hAnsi="宋体" w:cs="宋体"/>
          <w:color w:val="auto"/>
          <w:sz w:val="21"/>
          <w:szCs w:val="21"/>
          <w:highlight w:val="none"/>
          <w:lang w:val="en-US" w:eastAsia="zh-CN"/>
        </w:rPr>
        <w:t>（一）</w:t>
      </w:r>
      <w:r>
        <w:rPr>
          <w:rFonts w:hint="eastAsia" w:ascii="宋体" w:hAnsi="宋体" w:cs="仿宋"/>
          <w:bCs/>
          <w:color w:val="auto"/>
          <w:szCs w:val="21"/>
          <w:highlight w:val="none"/>
        </w:rPr>
        <w:t>出现下列情形之一的，作无效响应处理。</w:t>
      </w:r>
    </w:p>
    <w:p w14:paraId="5FC9A7EC">
      <w:pPr>
        <w:spacing w:line="360"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1.响应文件未按</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要求</w:t>
      </w:r>
      <w:r>
        <w:rPr>
          <w:rFonts w:hint="eastAsia" w:ascii="宋体" w:hAnsi="宋体" w:cs="宋体"/>
          <w:color w:val="auto"/>
          <w:sz w:val="21"/>
          <w:szCs w:val="21"/>
          <w:highlight w:val="none"/>
          <w:lang w:val="en-US" w:eastAsia="zh-CN"/>
        </w:rPr>
        <w:t>加盖电子签章的</w:t>
      </w:r>
      <w:r>
        <w:rPr>
          <w:rFonts w:hint="eastAsia" w:ascii="宋体" w:hAnsi="宋体" w:eastAsia="宋体" w:cs="宋体"/>
          <w:color w:val="auto"/>
          <w:sz w:val="21"/>
          <w:szCs w:val="21"/>
          <w:highlight w:val="none"/>
        </w:rPr>
        <w:t>；</w:t>
      </w:r>
    </w:p>
    <w:p w14:paraId="00649922">
      <w:pPr>
        <w:spacing w:line="360"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r>
        <w:rPr>
          <w:rFonts w:hint="eastAsia" w:ascii="宋体" w:hAnsi="宋体" w:cs="仿宋"/>
          <w:bCs/>
          <w:color w:val="auto"/>
          <w:szCs w:val="21"/>
          <w:highlight w:val="none"/>
        </w:rPr>
        <w:t>同一供应商提交两个（含两个）以上不同的响应报价的</w:t>
      </w:r>
      <w:r>
        <w:rPr>
          <w:rFonts w:hint="eastAsia" w:ascii="宋体" w:hAnsi="宋体" w:eastAsia="宋体" w:cs="宋体"/>
          <w:color w:val="auto"/>
          <w:sz w:val="21"/>
          <w:szCs w:val="21"/>
          <w:highlight w:val="none"/>
        </w:rPr>
        <w:t>；</w:t>
      </w:r>
    </w:p>
    <w:p w14:paraId="4DB4A6C1">
      <w:pPr>
        <w:spacing w:line="360"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3.不具备</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规定的资格要求的；</w:t>
      </w:r>
    </w:p>
    <w:p w14:paraId="4BC9DBF4">
      <w:pPr>
        <w:spacing w:line="360"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r>
        <w:rPr>
          <w:rFonts w:hint="eastAsia" w:ascii="宋体" w:hAnsi="宋体" w:eastAsia="宋体" w:cs="宋体"/>
          <w:color w:val="auto"/>
          <w:sz w:val="21"/>
          <w:szCs w:val="21"/>
          <w:highlight w:val="none"/>
          <w:lang w:bidi="ar"/>
        </w:rPr>
        <w:t>应急预案响应时间未承诺1个小时内到现场的；</w:t>
      </w:r>
    </w:p>
    <w:p w14:paraId="69DD45C4">
      <w:pPr>
        <w:spacing w:line="360" w:lineRule="auto"/>
        <w:ind w:firstLine="484"/>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5.不响应付款方式的；</w:t>
      </w:r>
    </w:p>
    <w:p w14:paraId="33DE81A6">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6.</w:t>
      </w:r>
      <w:r>
        <w:rPr>
          <w:rFonts w:hint="eastAsia" w:ascii="宋体" w:hAnsi="宋体" w:cs="仿宋"/>
          <w:bCs/>
          <w:color w:val="auto"/>
          <w:szCs w:val="21"/>
          <w:highlight w:val="none"/>
        </w:rPr>
        <w:t>供应商在系统规定的时间内未成功解密电子响应文件的。</w:t>
      </w:r>
    </w:p>
    <w:p w14:paraId="45585EFB">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7.</w:t>
      </w:r>
      <w:r>
        <w:rPr>
          <w:rFonts w:hint="eastAsia" w:ascii="宋体" w:hAnsi="宋体" w:cs="仿宋"/>
          <w:bCs/>
          <w:color w:val="auto"/>
          <w:szCs w:val="21"/>
          <w:highlight w:val="none"/>
        </w:rPr>
        <w:t>未完整上传响应文件电子文档的,或上传的文件打不开的。</w:t>
      </w:r>
    </w:p>
    <w:p w14:paraId="3B50C836">
      <w:pPr>
        <w:spacing w:line="360" w:lineRule="auto"/>
        <w:ind w:firstLine="484"/>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报价</w:t>
      </w:r>
      <w:r>
        <w:rPr>
          <w:rFonts w:hint="eastAsia" w:ascii="宋体" w:hAnsi="宋体" w:eastAsia="宋体" w:cs="宋体"/>
          <w:color w:val="auto"/>
          <w:sz w:val="21"/>
          <w:szCs w:val="21"/>
          <w:highlight w:val="none"/>
          <w:lang w:val="en-US" w:eastAsia="zh-CN"/>
        </w:rPr>
        <w:t>低于</w:t>
      </w:r>
      <w:r>
        <w:rPr>
          <w:rFonts w:hint="eastAsia" w:ascii="宋体" w:hAnsi="宋体" w:eastAsia="宋体" w:cs="宋体"/>
          <w:color w:val="auto"/>
          <w:sz w:val="21"/>
          <w:szCs w:val="21"/>
          <w:highlight w:val="none"/>
        </w:rPr>
        <w:t>或等于</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中规定的预算金额（</w:t>
      </w:r>
      <w:r>
        <w:rPr>
          <w:rFonts w:hint="eastAsia" w:ascii="宋体" w:hAnsi="宋体" w:eastAsia="宋体" w:cs="宋体"/>
          <w:color w:val="auto"/>
          <w:sz w:val="21"/>
          <w:szCs w:val="21"/>
          <w:highlight w:val="none"/>
          <w:lang w:val="en-US" w:eastAsia="zh-CN"/>
        </w:rPr>
        <w:t>招标控制价</w:t>
      </w:r>
      <w:r>
        <w:rPr>
          <w:rFonts w:hint="eastAsia" w:ascii="宋体" w:hAnsi="宋体" w:eastAsia="宋体" w:cs="宋体"/>
          <w:color w:val="auto"/>
          <w:sz w:val="21"/>
          <w:szCs w:val="21"/>
          <w:highlight w:val="none"/>
        </w:rPr>
        <w:t>）的；</w:t>
      </w:r>
    </w:p>
    <w:p w14:paraId="4A03A676">
      <w:pPr>
        <w:spacing w:line="360" w:lineRule="auto"/>
        <w:ind w:firstLine="484"/>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w:t>
      </w:r>
      <w:r>
        <w:rPr>
          <w:rFonts w:hint="eastAsia" w:ascii="宋体" w:hAnsi="宋体" w:cs="仿宋"/>
          <w:bCs/>
          <w:color w:val="auto"/>
          <w:szCs w:val="21"/>
          <w:highlight w:val="none"/>
        </w:rPr>
        <w:t>未通过符合性检查的</w:t>
      </w:r>
      <w:r>
        <w:rPr>
          <w:rFonts w:hint="eastAsia" w:ascii="宋体" w:hAnsi="宋体" w:eastAsia="宋体" w:cs="宋体"/>
          <w:color w:val="auto"/>
          <w:sz w:val="21"/>
          <w:szCs w:val="21"/>
          <w:highlight w:val="none"/>
        </w:rPr>
        <w:t>；</w:t>
      </w:r>
    </w:p>
    <w:p w14:paraId="796484B4">
      <w:pPr>
        <w:spacing w:line="360" w:lineRule="auto"/>
        <w:ind w:firstLine="484"/>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.投标报价不符合</w:t>
      </w:r>
      <w:r>
        <w:rPr>
          <w:rFonts w:hint="eastAsia" w:ascii="宋体" w:hAnsi="宋体" w:eastAsia="宋体" w:cs="宋体"/>
          <w:color w:val="auto"/>
          <w:sz w:val="21"/>
          <w:szCs w:val="21"/>
          <w:highlight w:val="none"/>
          <w:lang w:eastAsia="zh-CN"/>
        </w:rPr>
        <w:t>采购文件</w:t>
      </w:r>
      <w:r>
        <w:rPr>
          <w:rFonts w:hint="eastAsia" w:ascii="宋体" w:hAnsi="宋体" w:eastAsia="宋体" w:cs="宋体"/>
          <w:color w:val="auto"/>
          <w:sz w:val="21"/>
          <w:szCs w:val="21"/>
          <w:highlight w:val="none"/>
        </w:rPr>
        <w:t>要求的；</w:t>
      </w:r>
    </w:p>
    <w:p w14:paraId="0F5234AE">
      <w:pPr>
        <w:spacing w:line="360" w:lineRule="auto"/>
        <w:ind w:firstLine="484"/>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rPr>
        <w:t>.</w:t>
      </w:r>
      <w:r>
        <w:rPr>
          <w:rFonts w:hint="eastAsia"/>
          <w:color w:val="auto"/>
          <w:highlight w:val="none"/>
        </w:rPr>
        <w:t>不符合</w:t>
      </w:r>
      <w:r>
        <w:rPr>
          <w:rFonts w:hint="eastAsia"/>
          <w:color w:val="auto"/>
          <w:highlight w:val="none"/>
          <w:lang w:val="en-US" w:eastAsia="zh-CN"/>
        </w:rPr>
        <w:t>采购</w:t>
      </w:r>
      <w:r>
        <w:rPr>
          <w:rFonts w:hint="eastAsia"/>
          <w:color w:val="auto"/>
          <w:highlight w:val="none"/>
        </w:rPr>
        <w:t>文件中规定的其他实质性要求和条件的</w:t>
      </w:r>
      <w:r>
        <w:rPr>
          <w:rFonts w:hint="eastAsia" w:ascii="宋体" w:hAnsi="宋体" w:eastAsia="宋体" w:cs="宋体"/>
          <w:color w:val="auto"/>
          <w:sz w:val="21"/>
          <w:szCs w:val="21"/>
          <w:highlight w:val="none"/>
        </w:rPr>
        <w:t>；</w:t>
      </w:r>
    </w:p>
    <w:p w14:paraId="649013D4">
      <w:pPr>
        <w:keepNext w:val="0"/>
        <w:keepLines w:val="0"/>
        <w:pageBreakBefore w:val="0"/>
        <w:kinsoku/>
        <w:wordWrap/>
        <w:overflowPunct/>
        <w:topLinePunct w:val="0"/>
        <w:autoSpaceDE/>
        <w:autoSpaceDN/>
        <w:bidi w:val="0"/>
        <w:adjustRightInd/>
        <w:snapToGrid/>
        <w:spacing w:line="360" w:lineRule="auto"/>
        <w:ind w:firstLine="484"/>
        <w:textAlignment w:val="auto"/>
        <w:rPr>
          <w:rFonts w:hint="eastAsia" w:ascii="宋体" w:hAnsi="宋体" w:cs="仿宋"/>
          <w:bCs/>
          <w:color w:val="auto"/>
          <w:szCs w:val="21"/>
          <w:highlight w:val="none"/>
        </w:rPr>
      </w:pP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w:t>
      </w:r>
      <w:r>
        <w:rPr>
          <w:rFonts w:hint="eastAsia" w:ascii="宋体" w:hAnsi="宋体" w:cs="仿宋"/>
          <w:bCs/>
          <w:color w:val="auto"/>
          <w:szCs w:val="21"/>
          <w:highlight w:val="none"/>
        </w:rPr>
        <w:t>供应商被 “信用中国”网站（www.creditchina.gov.cn）列入失信被执行人或重大税收违法案件当事人名单或政府采购严重失信行为记录名单。或查询“信用中国”网站后发现供应商存在其他不符合《中华人民共和国政府采购法》第二十二条规定条件的信用记录。</w:t>
      </w:r>
    </w:p>
    <w:p w14:paraId="05610CCA">
      <w:pPr>
        <w:keepNext w:val="0"/>
        <w:keepLines w:val="0"/>
        <w:pageBreakBefore w:val="0"/>
        <w:kinsoku/>
        <w:wordWrap/>
        <w:overflowPunct/>
        <w:topLinePunct w:val="0"/>
        <w:autoSpaceDE/>
        <w:autoSpaceDN/>
        <w:bidi w:val="0"/>
        <w:adjustRightInd/>
        <w:snapToGrid/>
        <w:spacing w:line="360" w:lineRule="auto"/>
        <w:ind w:firstLine="484"/>
        <w:textAlignment w:val="auto"/>
        <w:rPr>
          <w:rFonts w:hint="eastAsia" w:ascii="宋体" w:hAnsi="宋体" w:eastAsia="宋体" w:cs="宋体"/>
          <w:b w:val="0"/>
          <w:color w:val="auto"/>
          <w:spacing w:val="0"/>
          <w:sz w:val="21"/>
          <w:szCs w:val="21"/>
          <w:highlight w:val="none"/>
          <w:lang w:val="en-US" w:eastAsia="zh-CN" w:bidi="ar-SA"/>
        </w:rPr>
      </w:pPr>
      <w:r>
        <w:rPr>
          <w:rFonts w:hint="eastAsia" w:ascii="宋体" w:hAnsi="宋体" w:eastAsia="宋体" w:cs="宋体"/>
          <w:b w:val="0"/>
          <w:color w:val="auto"/>
          <w:spacing w:val="0"/>
          <w:sz w:val="21"/>
          <w:szCs w:val="21"/>
          <w:highlight w:val="none"/>
          <w:lang w:val="en-US" w:eastAsia="zh-CN" w:bidi="ar-SA"/>
        </w:rPr>
        <w:t>13.响应文件含有采购人不能接受的附加条件的</w:t>
      </w:r>
    </w:p>
    <w:p w14:paraId="40B4D16E">
      <w:pPr>
        <w:keepNext w:val="0"/>
        <w:keepLines w:val="0"/>
        <w:pageBreakBefore w:val="0"/>
        <w:kinsoku/>
        <w:wordWrap/>
        <w:overflowPunct/>
        <w:topLinePunct w:val="0"/>
        <w:autoSpaceDE/>
        <w:autoSpaceDN/>
        <w:bidi w:val="0"/>
        <w:adjustRightInd/>
        <w:snapToGrid/>
        <w:spacing w:line="360" w:lineRule="auto"/>
        <w:ind w:firstLine="484"/>
        <w:textAlignment w:val="auto"/>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14.</w:t>
      </w:r>
      <w:r>
        <w:rPr>
          <w:rFonts w:hint="eastAsia" w:ascii="宋体" w:hAnsi="宋体" w:cs="仿宋"/>
          <w:bCs/>
          <w:color w:val="auto"/>
          <w:szCs w:val="21"/>
          <w:highlight w:val="none"/>
        </w:rPr>
        <w:t>本项目采购产品被财政部、国家发改委、生态环境部等列入“节能产品品目清单”、“环境标志产品品目清单”强制采购范围，而供应商所投标产品不在强制采购范围内的（所投产品如属于政府强制采购节能产品品目清单范围内，响应文件中必须提供国家确定的认证机构出具的、处于有效期之内的该节能产品认证证书图片）。</w:t>
      </w:r>
    </w:p>
    <w:p w14:paraId="4B4AC5BA">
      <w:pPr>
        <w:keepNext w:val="0"/>
        <w:keepLines w:val="0"/>
        <w:pageBreakBefore w:val="0"/>
        <w:kinsoku/>
        <w:wordWrap/>
        <w:overflowPunct/>
        <w:topLinePunct w:val="0"/>
        <w:autoSpaceDE/>
        <w:autoSpaceDN/>
        <w:bidi w:val="0"/>
        <w:adjustRightInd/>
        <w:snapToGrid/>
        <w:spacing w:line="360" w:lineRule="auto"/>
        <w:ind w:firstLine="484"/>
        <w:textAlignment w:val="auto"/>
        <w:rPr>
          <w:rFonts w:hint="eastAsia" w:ascii="宋体" w:hAnsi="宋体" w:cs="仿宋"/>
          <w:b w:val="0"/>
          <w:bCs/>
          <w:color w:val="auto"/>
          <w:spacing w:val="0"/>
          <w:sz w:val="21"/>
          <w:szCs w:val="21"/>
          <w:highlight w:val="none"/>
          <w:lang w:val="en-US" w:eastAsia="zh-CN" w:bidi="ar-SA"/>
        </w:rPr>
      </w:pPr>
      <w:r>
        <w:rPr>
          <w:rFonts w:hint="eastAsia" w:ascii="宋体" w:hAnsi="宋体" w:cs="仿宋"/>
          <w:b w:val="0"/>
          <w:bCs/>
          <w:color w:val="auto"/>
          <w:spacing w:val="0"/>
          <w:sz w:val="21"/>
          <w:szCs w:val="21"/>
          <w:highlight w:val="none"/>
          <w:lang w:val="en-US" w:eastAsia="zh-CN" w:bidi="ar-SA"/>
        </w:rPr>
        <w:t>15.投标供应商</w:t>
      </w:r>
      <w:r>
        <w:rPr>
          <w:rFonts w:hint="eastAsia" w:ascii="宋体" w:hAnsi="宋体" w:eastAsia="宋体" w:cs="仿宋"/>
          <w:b w:val="0"/>
          <w:bCs/>
          <w:color w:val="auto"/>
          <w:spacing w:val="0"/>
          <w:sz w:val="21"/>
          <w:szCs w:val="21"/>
          <w:highlight w:val="none"/>
          <w:lang w:val="en-US" w:eastAsia="zh-CN" w:bidi="ar-SA"/>
        </w:rPr>
        <w:t>的商务技术部分得分相差悬殊，评标委员会认为得分畸低者没有实质性响应</w:t>
      </w:r>
      <w:r>
        <w:rPr>
          <w:rFonts w:hint="eastAsia" w:ascii="宋体" w:hAnsi="宋体" w:cs="仿宋"/>
          <w:b w:val="0"/>
          <w:bCs/>
          <w:color w:val="auto"/>
          <w:spacing w:val="0"/>
          <w:sz w:val="21"/>
          <w:szCs w:val="21"/>
          <w:highlight w:val="none"/>
          <w:lang w:val="en-US" w:eastAsia="zh-CN" w:bidi="ar-SA"/>
        </w:rPr>
        <w:t>的；</w:t>
      </w:r>
    </w:p>
    <w:p w14:paraId="33049C04">
      <w:pPr>
        <w:keepNext w:val="0"/>
        <w:keepLines w:val="0"/>
        <w:pageBreakBefore w:val="0"/>
        <w:kinsoku/>
        <w:wordWrap/>
        <w:overflowPunct/>
        <w:topLinePunct w:val="0"/>
        <w:autoSpaceDE/>
        <w:autoSpaceDN/>
        <w:bidi w:val="0"/>
        <w:adjustRightInd/>
        <w:snapToGrid/>
        <w:spacing w:line="360" w:lineRule="auto"/>
        <w:ind w:firstLine="484"/>
        <w:textAlignment w:val="auto"/>
        <w:rPr>
          <w:rFonts w:hint="eastAsia"/>
          <w:color w:val="auto"/>
          <w:highlight w:val="none"/>
        </w:rPr>
      </w:pPr>
      <w:r>
        <w:rPr>
          <w:rFonts w:hint="eastAsia" w:ascii="宋体" w:hAnsi="宋体" w:cs="仿宋"/>
          <w:b w:val="0"/>
          <w:bCs/>
          <w:color w:val="auto"/>
          <w:spacing w:val="0"/>
          <w:sz w:val="21"/>
          <w:szCs w:val="21"/>
          <w:highlight w:val="none"/>
          <w:lang w:val="en-US" w:eastAsia="zh-CN" w:bidi="ar-SA"/>
        </w:rPr>
        <w:t>16</w:t>
      </w:r>
      <w:r>
        <w:rPr>
          <w:rFonts w:hint="eastAsia"/>
          <w:color w:val="auto"/>
          <w:highlight w:val="none"/>
          <w:lang w:val="en-US" w:eastAsia="zh-CN"/>
        </w:rPr>
        <w:t>.</w:t>
      </w:r>
      <w:r>
        <w:rPr>
          <w:rFonts w:hint="eastAsia"/>
          <w:color w:val="auto"/>
          <w:highlight w:val="none"/>
        </w:rPr>
        <w:t>其他法律、法规及本</w:t>
      </w:r>
      <w:r>
        <w:rPr>
          <w:rFonts w:hint="eastAsia"/>
          <w:color w:val="auto"/>
          <w:highlight w:val="none"/>
          <w:lang w:eastAsia="zh-CN"/>
        </w:rPr>
        <w:t>采购文件</w:t>
      </w:r>
      <w:r>
        <w:rPr>
          <w:rFonts w:hint="eastAsia"/>
          <w:color w:val="auto"/>
          <w:highlight w:val="none"/>
        </w:rPr>
        <w:t>规定的属无效投标的情形。</w:t>
      </w:r>
    </w:p>
    <w:p w14:paraId="6209CF57">
      <w:pPr>
        <w:spacing w:line="360" w:lineRule="auto"/>
        <w:ind w:firstLine="484"/>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（二）出现下列情形之一的，作废标处理</w:t>
      </w:r>
    </w:p>
    <w:p w14:paraId="114BE047">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1.</w:t>
      </w:r>
      <w:r>
        <w:rPr>
          <w:rFonts w:hint="eastAsia" w:ascii="宋体" w:hAnsi="宋体" w:cs="仿宋"/>
          <w:bCs/>
          <w:color w:val="auto"/>
          <w:szCs w:val="21"/>
          <w:highlight w:val="none"/>
        </w:rPr>
        <w:t>出现影响采购公正的违法违规行为的；</w:t>
      </w:r>
    </w:p>
    <w:p w14:paraId="13A53938">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2.</w:t>
      </w:r>
      <w:r>
        <w:rPr>
          <w:rFonts w:hint="eastAsia" w:ascii="宋体" w:hAnsi="宋体" w:cs="仿宋"/>
          <w:bCs/>
          <w:color w:val="auto"/>
          <w:szCs w:val="21"/>
          <w:highlight w:val="none"/>
        </w:rPr>
        <w:t>因重大变故，采购任务取消的。</w:t>
      </w:r>
    </w:p>
    <w:p w14:paraId="103CFE1B">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3.评委会</w:t>
      </w:r>
      <w:r>
        <w:rPr>
          <w:rFonts w:hint="eastAsia" w:ascii="宋体" w:hAnsi="宋体" w:cs="仿宋"/>
          <w:bCs/>
          <w:color w:val="auto"/>
          <w:szCs w:val="21"/>
          <w:highlight w:val="none"/>
        </w:rPr>
        <w:t>认定</w:t>
      </w:r>
      <w:r>
        <w:rPr>
          <w:rFonts w:hint="eastAsia" w:ascii="宋体" w:hAnsi="宋体" w:cs="仿宋"/>
          <w:bCs/>
          <w:color w:val="auto"/>
          <w:szCs w:val="21"/>
          <w:highlight w:val="none"/>
          <w:lang w:val="en-US" w:eastAsia="zh-CN"/>
        </w:rPr>
        <w:t>采购</w:t>
      </w:r>
      <w:r>
        <w:rPr>
          <w:rFonts w:hint="eastAsia" w:ascii="宋体" w:hAnsi="宋体" w:cs="仿宋"/>
          <w:bCs/>
          <w:color w:val="auto"/>
          <w:szCs w:val="21"/>
          <w:highlight w:val="none"/>
        </w:rPr>
        <w:t>文件存在歧义、重大缺陷导致评审工作无法进行。</w:t>
      </w:r>
    </w:p>
    <w:p w14:paraId="6032E188">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4.</w:t>
      </w:r>
      <w:r>
        <w:rPr>
          <w:rFonts w:hint="eastAsia" w:ascii="宋体" w:hAnsi="宋体" w:cs="仿宋"/>
          <w:bCs/>
          <w:color w:val="auto"/>
          <w:szCs w:val="21"/>
          <w:highlight w:val="none"/>
        </w:rPr>
        <w:t>因系统故障原因造成</w:t>
      </w:r>
      <w:r>
        <w:rPr>
          <w:rFonts w:hint="eastAsia" w:ascii="宋体" w:hAnsi="宋体" w:cs="仿宋"/>
          <w:bCs/>
          <w:color w:val="auto"/>
          <w:szCs w:val="21"/>
          <w:highlight w:val="none"/>
          <w:lang w:val="en-US" w:eastAsia="zh-CN"/>
        </w:rPr>
        <w:t>开标</w:t>
      </w:r>
      <w:r>
        <w:rPr>
          <w:rFonts w:hint="eastAsia" w:ascii="宋体" w:hAnsi="宋体" w:cs="仿宋"/>
          <w:bCs/>
          <w:color w:val="auto"/>
          <w:szCs w:val="21"/>
          <w:highlight w:val="none"/>
        </w:rPr>
        <w:t>无法继续进行的。</w:t>
      </w:r>
    </w:p>
    <w:p w14:paraId="445CDF4A">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5.</w:t>
      </w:r>
      <w:r>
        <w:rPr>
          <w:rFonts w:hint="eastAsia" w:ascii="宋体" w:hAnsi="宋体" w:cs="仿宋"/>
          <w:bCs/>
          <w:color w:val="auto"/>
          <w:szCs w:val="21"/>
          <w:highlight w:val="none"/>
        </w:rPr>
        <w:t>响应</w:t>
      </w:r>
      <w:r>
        <w:rPr>
          <w:rFonts w:hint="eastAsia" w:ascii="宋体" w:hAnsi="宋体" w:cs="仿宋"/>
          <w:color w:val="auto"/>
          <w:szCs w:val="21"/>
          <w:highlight w:val="none"/>
        </w:rPr>
        <w:t>文件提交</w:t>
      </w:r>
      <w:r>
        <w:rPr>
          <w:rFonts w:hint="eastAsia" w:ascii="宋体" w:hAnsi="宋体" w:cs="仿宋"/>
          <w:bCs/>
          <w:color w:val="auto"/>
          <w:szCs w:val="21"/>
          <w:highlight w:val="none"/>
        </w:rPr>
        <w:t>截止时间结束后参加</w:t>
      </w:r>
      <w:r>
        <w:rPr>
          <w:rFonts w:hint="eastAsia" w:ascii="宋体" w:hAnsi="宋体" w:cs="仿宋"/>
          <w:bCs/>
          <w:color w:val="auto"/>
          <w:szCs w:val="21"/>
          <w:highlight w:val="none"/>
          <w:lang w:val="en-US" w:eastAsia="zh-CN"/>
        </w:rPr>
        <w:t>投标</w:t>
      </w:r>
      <w:r>
        <w:rPr>
          <w:rFonts w:hint="eastAsia" w:ascii="宋体" w:hAnsi="宋体" w:cs="仿宋"/>
          <w:bCs/>
          <w:color w:val="auto"/>
          <w:szCs w:val="21"/>
          <w:highlight w:val="none"/>
        </w:rPr>
        <w:t>的供应商不足</w:t>
      </w:r>
      <w:r>
        <w:rPr>
          <w:rFonts w:hint="eastAsia" w:ascii="宋体" w:hAnsi="宋体" w:cs="仿宋"/>
          <w:bCs/>
          <w:color w:val="auto"/>
          <w:szCs w:val="21"/>
          <w:highlight w:val="none"/>
          <w:lang w:val="en-US" w:eastAsia="zh-CN"/>
        </w:rPr>
        <w:t>3</w:t>
      </w:r>
      <w:r>
        <w:rPr>
          <w:rFonts w:hint="eastAsia" w:ascii="宋体" w:hAnsi="宋体" w:cs="仿宋"/>
          <w:bCs/>
          <w:color w:val="auto"/>
          <w:szCs w:val="21"/>
          <w:highlight w:val="none"/>
        </w:rPr>
        <w:t>家的：</w:t>
      </w:r>
    </w:p>
    <w:p w14:paraId="7A0867C4">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6.</w:t>
      </w:r>
      <w:r>
        <w:rPr>
          <w:rFonts w:hint="eastAsia" w:ascii="宋体" w:hAnsi="宋体" w:cs="仿宋"/>
          <w:bCs/>
          <w:color w:val="auto"/>
          <w:szCs w:val="21"/>
          <w:highlight w:val="none"/>
        </w:rPr>
        <w:t>如出现在苏采云系统规定时间内成功解密电子响应文件的供应商不足</w:t>
      </w:r>
      <w:r>
        <w:rPr>
          <w:rFonts w:hint="eastAsia" w:ascii="宋体" w:hAnsi="宋体" w:cs="仿宋"/>
          <w:bCs/>
          <w:color w:val="auto"/>
          <w:szCs w:val="21"/>
          <w:highlight w:val="none"/>
          <w:lang w:val="en-US" w:eastAsia="zh-CN"/>
        </w:rPr>
        <w:t>3</w:t>
      </w:r>
      <w:r>
        <w:rPr>
          <w:rFonts w:hint="eastAsia" w:ascii="宋体" w:hAnsi="宋体" w:cs="仿宋"/>
          <w:bCs/>
          <w:color w:val="auto"/>
          <w:szCs w:val="21"/>
          <w:highlight w:val="none"/>
        </w:rPr>
        <w:t>家</w:t>
      </w:r>
      <w:r>
        <w:rPr>
          <w:rFonts w:hint="eastAsia"/>
          <w:color w:val="auto"/>
          <w:highlight w:val="none"/>
        </w:rPr>
        <w:t>或者在评标期间对</w:t>
      </w:r>
      <w:r>
        <w:rPr>
          <w:rFonts w:hint="eastAsia"/>
          <w:color w:val="auto"/>
          <w:highlight w:val="none"/>
          <w:lang w:eastAsia="zh-CN"/>
        </w:rPr>
        <w:t>采购文件</w:t>
      </w:r>
      <w:r>
        <w:rPr>
          <w:rFonts w:hint="eastAsia"/>
          <w:color w:val="auto"/>
          <w:highlight w:val="none"/>
        </w:rPr>
        <w:t>做出实质响应的供应商不足</w:t>
      </w:r>
      <w:r>
        <w:rPr>
          <w:rFonts w:hint="eastAsia"/>
          <w:color w:val="auto"/>
          <w:highlight w:val="none"/>
          <w:lang w:val="en-US" w:eastAsia="zh-CN"/>
        </w:rPr>
        <w:t>3</w:t>
      </w:r>
      <w:r>
        <w:rPr>
          <w:rFonts w:hint="eastAsia"/>
          <w:color w:val="auto"/>
          <w:highlight w:val="none"/>
        </w:rPr>
        <w:t>家情况</w:t>
      </w:r>
      <w:r>
        <w:rPr>
          <w:rFonts w:hint="eastAsia" w:ascii="宋体" w:hAnsi="宋体" w:cs="仿宋"/>
          <w:bCs/>
          <w:color w:val="auto"/>
          <w:szCs w:val="21"/>
          <w:highlight w:val="none"/>
        </w:rPr>
        <w:t>，按政府采购相关规定执行。</w:t>
      </w:r>
    </w:p>
    <w:p w14:paraId="7B0923DC">
      <w:pPr>
        <w:spacing w:line="360" w:lineRule="auto"/>
        <w:ind w:firstLine="484"/>
        <w:rPr>
          <w:rFonts w:hint="eastAsia" w:ascii="宋体" w:hAnsi="宋体" w:cs="仿宋"/>
          <w:bCs/>
          <w:color w:val="auto"/>
          <w:szCs w:val="21"/>
          <w:highlight w:val="none"/>
          <w:lang w:val="en-US" w:eastAsia="zh-CN"/>
        </w:rPr>
      </w:pPr>
      <w:r>
        <w:rPr>
          <w:rFonts w:hint="eastAsia" w:ascii="宋体" w:hAnsi="宋体" w:cs="仿宋"/>
          <w:bCs/>
          <w:color w:val="auto"/>
          <w:szCs w:val="21"/>
          <w:highlight w:val="none"/>
          <w:lang w:val="en-US" w:eastAsia="zh-CN"/>
        </w:rPr>
        <w:t>7.响应文件线上格式要求</w:t>
      </w:r>
    </w:p>
    <w:p w14:paraId="7609C4ED">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7</w:t>
      </w:r>
      <w:r>
        <w:rPr>
          <w:rFonts w:hint="eastAsia" w:ascii="宋体" w:hAnsi="宋体" w:cs="仿宋"/>
          <w:bCs/>
          <w:color w:val="auto"/>
          <w:szCs w:val="21"/>
          <w:highlight w:val="none"/>
        </w:rPr>
        <w:t>.1供应商应当通过“苏采云”系统提交数据电文形式的响应文件（即电子投标）。</w:t>
      </w:r>
    </w:p>
    <w:p w14:paraId="74A29B2F">
      <w:pPr>
        <w:spacing w:line="360" w:lineRule="auto"/>
        <w:ind w:firstLine="484"/>
        <w:rPr>
          <w:rFonts w:hint="eastAsia" w:ascii="宋体" w:hAnsi="宋体" w:cs="仿宋"/>
          <w:bCs/>
          <w:color w:val="auto"/>
          <w:szCs w:val="21"/>
          <w:highlight w:val="none"/>
        </w:rPr>
      </w:pPr>
      <w:r>
        <w:rPr>
          <w:rFonts w:hint="eastAsia" w:ascii="宋体" w:hAnsi="宋体" w:cs="仿宋"/>
          <w:bCs/>
          <w:color w:val="auto"/>
          <w:szCs w:val="21"/>
          <w:highlight w:val="none"/>
          <w:lang w:val="en-US" w:eastAsia="zh-CN"/>
        </w:rPr>
        <w:t>7</w:t>
      </w:r>
      <w:r>
        <w:rPr>
          <w:rFonts w:hint="eastAsia" w:ascii="宋体" w:hAnsi="宋体" w:cs="仿宋"/>
          <w:bCs/>
          <w:color w:val="auto"/>
          <w:szCs w:val="21"/>
          <w:highlight w:val="none"/>
        </w:rPr>
        <w:t>.2通过“苏采云”系统提交政府采购客户端工具导出加密的响应文件（后缀名为zip）。响应文件不得超过150MB！</w:t>
      </w:r>
    </w:p>
    <w:p w14:paraId="6CF6E401">
      <w:pPr>
        <w:spacing w:line="360" w:lineRule="auto"/>
        <w:ind w:firstLine="484"/>
        <w:rPr>
          <w:rFonts w:hint="eastAsia" w:ascii="宋体" w:hAnsi="宋体" w:eastAsia="宋体" w:cs="宋体"/>
          <w:b w:val="0"/>
          <w:color w:val="auto"/>
          <w:spacing w:val="0"/>
          <w:sz w:val="21"/>
          <w:szCs w:val="21"/>
          <w:highlight w:val="none"/>
          <w:lang w:val="en-US" w:eastAsia="zh-CN" w:bidi="ar-SA"/>
        </w:rPr>
      </w:pPr>
      <w:r>
        <w:rPr>
          <w:rFonts w:hint="eastAsia" w:ascii="宋体" w:hAnsi="宋体" w:cs="仿宋"/>
          <w:bCs/>
          <w:color w:val="auto"/>
          <w:szCs w:val="21"/>
          <w:highlight w:val="none"/>
          <w:lang w:val="en-US" w:eastAsia="zh-CN"/>
        </w:rPr>
        <w:t>7</w:t>
      </w:r>
      <w:r>
        <w:rPr>
          <w:rFonts w:hint="eastAsia" w:ascii="宋体" w:hAnsi="宋体" w:cs="仿宋"/>
          <w:bCs/>
          <w:color w:val="auto"/>
          <w:szCs w:val="21"/>
          <w:highlight w:val="none"/>
        </w:rPr>
        <w:t>.3本项目采用线上投标，即供应商响应文件从政府采购客户端工具制作通过“苏采云”系统提交，未提供线上响应文件的，投标无效。</w:t>
      </w:r>
    </w:p>
    <w:p w14:paraId="0C2CAB8C">
      <w:pPr>
        <w:spacing w:line="360" w:lineRule="auto"/>
        <w:ind w:firstLine="422"/>
        <w:rPr>
          <w:rFonts w:hint="default" w:ascii="宋体" w:hAnsi="宋体" w:cs="仿宋"/>
          <w:b/>
          <w:bCs/>
          <w:color w:val="auto"/>
          <w:szCs w:val="21"/>
          <w:highlight w:val="none"/>
          <w:lang w:val="en-US" w:eastAsia="zh-CN"/>
        </w:rPr>
      </w:pPr>
      <w:r>
        <w:rPr>
          <w:rFonts w:hint="eastAsia" w:ascii="宋体" w:hAnsi="宋体" w:cs="仿宋"/>
          <w:b/>
          <w:bCs/>
          <w:color w:val="auto"/>
          <w:szCs w:val="21"/>
          <w:highlight w:val="none"/>
          <w:lang w:val="en-US" w:eastAsia="zh-CN"/>
        </w:rPr>
        <w:t>八、定标</w:t>
      </w:r>
    </w:p>
    <w:p w14:paraId="34EED735">
      <w:pPr>
        <w:spacing w:line="360" w:lineRule="auto"/>
        <w:ind w:firstLine="420"/>
        <w:rPr>
          <w:rFonts w:hint="eastAsia" w:ascii="宋体" w:hAnsi="宋体" w:cs="仿宋"/>
          <w:bCs/>
          <w:color w:val="auto"/>
          <w:szCs w:val="21"/>
          <w:highlight w:val="none"/>
        </w:rPr>
      </w:pPr>
      <w:bookmarkStart w:id="14" w:name="_Toc16938554"/>
      <w:bookmarkStart w:id="15" w:name="_Toc20823310"/>
      <w:r>
        <w:rPr>
          <w:rFonts w:hint="eastAsia" w:ascii="宋体" w:hAnsi="宋体" w:cs="仿宋"/>
          <w:bCs/>
          <w:color w:val="auto"/>
          <w:szCs w:val="21"/>
          <w:highlight w:val="none"/>
        </w:rPr>
        <w:t>1.确定</w:t>
      </w:r>
      <w:bookmarkEnd w:id="14"/>
      <w:bookmarkEnd w:id="15"/>
      <w:r>
        <w:rPr>
          <w:rFonts w:hint="eastAsia" w:ascii="宋体" w:hAnsi="宋体" w:cs="仿宋"/>
          <w:bCs/>
          <w:color w:val="auto"/>
          <w:szCs w:val="21"/>
          <w:highlight w:val="none"/>
        </w:rPr>
        <w:t>中标单位</w:t>
      </w:r>
    </w:p>
    <w:p w14:paraId="461782B0">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1.1</w:t>
      </w:r>
      <w:r>
        <w:rPr>
          <w:rFonts w:hint="eastAsia" w:ascii="宋体" w:hAnsi="宋体" w:cs="仿宋"/>
          <w:bCs/>
          <w:color w:val="auto"/>
          <w:szCs w:val="21"/>
          <w:highlight w:val="none"/>
          <w:lang w:val="en-US" w:eastAsia="zh-CN"/>
        </w:rPr>
        <w:t>成交</w:t>
      </w:r>
      <w:r>
        <w:rPr>
          <w:rFonts w:hint="eastAsia" w:ascii="宋体" w:hAnsi="宋体" w:cs="仿宋"/>
          <w:bCs/>
          <w:color w:val="auto"/>
          <w:szCs w:val="21"/>
          <w:highlight w:val="none"/>
        </w:rPr>
        <w:t>候选</w:t>
      </w:r>
      <w:r>
        <w:rPr>
          <w:rFonts w:hint="eastAsia" w:ascii="宋体" w:hAnsi="宋体" w:cs="仿宋"/>
          <w:bCs/>
          <w:color w:val="auto"/>
          <w:szCs w:val="21"/>
          <w:highlight w:val="none"/>
          <w:lang w:val="en-US" w:eastAsia="zh-CN"/>
        </w:rPr>
        <w:t>供应商</w:t>
      </w:r>
      <w:r>
        <w:rPr>
          <w:rFonts w:hint="eastAsia" w:ascii="宋体" w:hAnsi="宋体" w:cs="仿宋"/>
          <w:bCs/>
          <w:color w:val="auto"/>
          <w:szCs w:val="21"/>
          <w:highlight w:val="none"/>
        </w:rPr>
        <w:t>的选取原则和数量见</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第四部分规定。</w:t>
      </w:r>
    </w:p>
    <w:p w14:paraId="3322A899">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1.2</w:t>
      </w:r>
      <w:r>
        <w:rPr>
          <w:rFonts w:hint="eastAsia" w:ascii="宋体" w:hAnsi="宋体" w:cs="仿宋"/>
          <w:bCs/>
          <w:color w:val="auto"/>
          <w:szCs w:val="21"/>
          <w:highlight w:val="none"/>
          <w:lang w:eastAsia="zh-CN"/>
        </w:rPr>
        <w:t>采购人</w:t>
      </w:r>
      <w:r>
        <w:rPr>
          <w:rFonts w:hint="eastAsia" w:ascii="宋体" w:hAnsi="宋体" w:cs="仿宋"/>
          <w:bCs/>
          <w:color w:val="auto"/>
          <w:szCs w:val="21"/>
          <w:highlight w:val="none"/>
        </w:rPr>
        <w:t>授权评委会在</w:t>
      </w:r>
      <w:r>
        <w:rPr>
          <w:rFonts w:hint="eastAsia" w:ascii="宋体" w:hAnsi="宋体" w:cs="仿宋"/>
          <w:bCs/>
          <w:color w:val="auto"/>
          <w:szCs w:val="21"/>
          <w:highlight w:val="none"/>
          <w:lang w:val="en-US" w:eastAsia="zh-CN"/>
        </w:rPr>
        <w:t>成交</w:t>
      </w:r>
      <w:r>
        <w:rPr>
          <w:rFonts w:hint="eastAsia" w:ascii="宋体" w:hAnsi="宋体" w:cs="仿宋"/>
          <w:bCs/>
          <w:color w:val="auto"/>
          <w:szCs w:val="21"/>
          <w:highlight w:val="none"/>
        </w:rPr>
        <w:t>候选</w:t>
      </w:r>
      <w:r>
        <w:rPr>
          <w:rFonts w:hint="eastAsia" w:ascii="宋体" w:hAnsi="宋体" w:cs="仿宋"/>
          <w:bCs/>
          <w:color w:val="auto"/>
          <w:szCs w:val="21"/>
          <w:highlight w:val="none"/>
          <w:lang w:val="en-US" w:eastAsia="zh-CN"/>
        </w:rPr>
        <w:t>供应商</w:t>
      </w:r>
      <w:r>
        <w:rPr>
          <w:rFonts w:hint="eastAsia" w:ascii="宋体" w:hAnsi="宋体" w:cs="仿宋"/>
          <w:bCs/>
          <w:color w:val="auto"/>
          <w:szCs w:val="21"/>
          <w:highlight w:val="none"/>
        </w:rPr>
        <w:t>中直接确定</w:t>
      </w:r>
      <w:r>
        <w:rPr>
          <w:rFonts w:hint="eastAsia" w:ascii="宋体" w:hAnsi="宋体" w:cs="仿宋"/>
          <w:bCs/>
          <w:color w:val="auto"/>
          <w:szCs w:val="21"/>
          <w:highlight w:val="none"/>
          <w:lang w:val="en-US" w:eastAsia="zh-CN"/>
        </w:rPr>
        <w:t>成交供应商</w:t>
      </w:r>
      <w:r>
        <w:rPr>
          <w:rFonts w:hint="eastAsia" w:ascii="宋体" w:hAnsi="宋体" w:cs="仿宋"/>
          <w:bCs/>
          <w:color w:val="auto"/>
          <w:szCs w:val="21"/>
          <w:highlight w:val="none"/>
        </w:rPr>
        <w:t>。</w:t>
      </w:r>
    </w:p>
    <w:p w14:paraId="69BB2780">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1.3代理机构将在“江苏省政府采购网”发布中标公告，公告期限为1个工作日。</w:t>
      </w:r>
    </w:p>
    <w:p w14:paraId="3734B7AB">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1.4若有充分证据证明，中标人出现下列情况之一的，一经查实，将被取消中标资格：</w:t>
      </w:r>
    </w:p>
    <w:p w14:paraId="754B1B38">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1.4.1提供虚假材料谋取中标的。</w:t>
      </w:r>
    </w:p>
    <w:p w14:paraId="153356FD">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1.4.2</w:t>
      </w:r>
      <w:r>
        <w:rPr>
          <w:rFonts w:hint="eastAsia" w:ascii="宋体" w:hAnsi="宋体" w:cs="仿宋"/>
          <w:color w:val="auto"/>
          <w:szCs w:val="21"/>
          <w:highlight w:val="none"/>
        </w:rPr>
        <w:t>向采购人行贿或者评审专家提供其他不正当利益的</w:t>
      </w:r>
      <w:r>
        <w:rPr>
          <w:rFonts w:hint="eastAsia" w:ascii="宋体" w:hAnsi="宋体" w:cs="仿宋"/>
          <w:bCs/>
          <w:color w:val="auto"/>
          <w:szCs w:val="21"/>
          <w:highlight w:val="none"/>
        </w:rPr>
        <w:t>。</w:t>
      </w:r>
    </w:p>
    <w:p w14:paraId="37916C46">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1.4.3恶意竞争，投标总报价明显低于其自身合理成本且又无法提供证明的。</w:t>
      </w:r>
    </w:p>
    <w:p w14:paraId="5B0C7A2C">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1.4.4属于本文件规定的无效条件，但在评标过程中又未被评委会发现的。</w:t>
      </w:r>
    </w:p>
    <w:p w14:paraId="622560A9">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1.4.5与</w:t>
      </w:r>
      <w:r>
        <w:rPr>
          <w:rFonts w:hint="eastAsia" w:ascii="宋体" w:hAnsi="宋体" w:cs="仿宋"/>
          <w:bCs/>
          <w:color w:val="auto"/>
          <w:szCs w:val="21"/>
          <w:highlight w:val="none"/>
          <w:lang w:eastAsia="zh-CN"/>
        </w:rPr>
        <w:t>采购人</w:t>
      </w:r>
      <w:r>
        <w:rPr>
          <w:rFonts w:hint="eastAsia" w:ascii="宋体" w:hAnsi="宋体" w:cs="仿宋"/>
          <w:bCs/>
          <w:color w:val="auto"/>
          <w:szCs w:val="21"/>
          <w:highlight w:val="none"/>
        </w:rPr>
        <w:t>或者其他供应商恶意串通的。</w:t>
      </w:r>
    </w:p>
    <w:p w14:paraId="09333E46">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1.4.6采取不正当手段诋毁、排挤其他供应商的。</w:t>
      </w:r>
    </w:p>
    <w:p w14:paraId="2D173550">
      <w:pPr>
        <w:spacing w:line="360" w:lineRule="auto"/>
        <w:ind w:firstLine="420"/>
        <w:rPr>
          <w:rFonts w:hint="eastAsia" w:ascii="宋体" w:hAnsi="宋体" w:cs="仿宋"/>
          <w:bCs/>
          <w:color w:val="auto"/>
          <w:szCs w:val="21"/>
          <w:highlight w:val="none"/>
          <w:lang w:val="en-US" w:eastAsia="zh-CN"/>
        </w:rPr>
      </w:pPr>
      <w:r>
        <w:rPr>
          <w:rFonts w:hint="eastAsia" w:ascii="宋体" w:hAnsi="宋体" w:cs="仿宋"/>
          <w:bCs/>
          <w:color w:val="auto"/>
          <w:szCs w:val="21"/>
          <w:highlight w:val="none"/>
          <w:lang w:val="en-US" w:eastAsia="zh-CN"/>
        </w:rPr>
        <w:t>1.4.7各标段中标候选人第一名，在开标结束后3个工作日内未提交技术标内所有相关业绩、证书、发票、驾驶证等原件至招标人处进行复核相关原件至招标人处进行复核的。</w:t>
      </w:r>
    </w:p>
    <w:p w14:paraId="3C343E42">
      <w:pPr>
        <w:spacing w:line="360" w:lineRule="auto"/>
        <w:ind w:firstLine="420"/>
        <w:rPr>
          <w:rFonts w:hint="default" w:ascii="宋体" w:hAnsi="宋体" w:cs="仿宋"/>
          <w:bCs/>
          <w:color w:val="auto"/>
          <w:szCs w:val="21"/>
          <w:highlight w:val="none"/>
          <w:lang w:val="en-US" w:eastAsia="zh-CN"/>
        </w:rPr>
      </w:pPr>
      <w:r>
        <w:rPr>
          <w:rFonts w:hint="eastAsia" w:ascii="宋体" w:hAnsi="宋体" w:cs="仿宋"/>
          <w:bCs/>
          <w:color w:val="auto"/>
          <w:szCs w:val="21"/>
          <w:highlight w:val="none"/>
          <w:lang w:val="en-US" w:eastAsia="zh-CN"/>
        </w:rPr>
        <w:t>1.4.8中标后，招标人将在3个工作日内对技术标内提供的车辆等设备进行随机抽查，如抽查不符合投标文件要求，视作放弃中标。</w:t>
      </w:r>
    </w:p>
    <w:p w14:paraId="4181BD22">
      <w:pPr>
        <w:spacing w:line="360" w:lineRule="auto"/>
        <w:ind w:firstLine="420"/>
        <w:rPr>
          <w:rFonts w:hint="eastAsia" w:ascii="宋体" w:hAnsi="宋体" w:cs="仿宋"/>
          <w:bCs/>
          <w:color w:val="auto"/>
          <w:szCs w:val="21"/>
          <w:highlight w:val="none"/>
        </w:rPr>
      </w:pPr>
      <w:bookmarkStart w:id="16" w:name="_Toc200451960"/>
      <w:r>
        <w:rPr>
          <w:rFonts w:hint="eastAsia" w:ascii="宋体" w:hAnsi="宋体" w:cs="仿宋"/>
          <w:bCs/>
          <w:color w:val="auto"/>
          <w:szCs w:val="21"/>
          <w:highlight w:val="none"/>
        </w:rPr>
        <w:t>1.5.有下列情形之一的，视为</w:t>
      </w:r>
      <w:r>
        <w:rPr>
          <w:rFonts w:hint="eastAsia" w:ascii="宋体" w:hAnsi="宋体" w:cs="仿宋"/>
          <w:bCs/>
          <w:color w:val="auto"/>
          <w:szCs w:val="21"/>
          <w:highlight w:val="none"/>
          <w:lang w:eastAsia="zh-CN"/>
        </w:rPr>
        <w:t>投标供应商</w:t>
      </w:r>
      <w:r>
        <w:rPr>
          <w:rFonts w:hint="eastAsia" w:ascii="宋体" w:hAnsi="宋体" w:cs="仿宋"/>
          <w:bCs/>
          <w:color w:val="auto"/>
          <w:szCs w:val="21"/>
          <w:highlight w:val="none"/>
        </w:rPr>
        <w:t>串通投标，</w:t>
      </w:r>
      <w:r>
        <w:rPr>
          <w:rFonts w:hint="eastAsia" w:ascii="宋体" w:hAnsi="宋体" w:cs="仿宋"/>
          <w:bCs/>
          <w:color w:val="auto"/>
          <w:szCs w:val="21"/>
          <w:highlight w:val="none"/>
          <w:lang w:val="en-US" w:eastAsia="zh-CN"/>
        </w:rPr>
        <w:t>响应</w:t>
      </w:r>
      <w:r>
        <w:rPr>
          <w:rFonts w:hint="eastAsia" w:ascii="宋体" w:hAnsi="宋体" w:cs="仿宋"/>
          <w:bCs/>
          <w:color w:val="auto"/>
          <w:szCs w:val="21"/>
          <w:highlight w:val="none"/>
        </w:rPr>
        <w:t>无效：</w:t>
      </w:r>
    </w:p>
    <w:p w14:paraId="255564DA">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1.5.1</w:t>
      </w:r>
      <w:r>
        <w:rPr>
          <w:rFonts w:hint="eastAsia" w:ascii="宋体" w:hAnsi="宋体" w:cs="仿宋"/>
          <w:color w:val="auto"/>
          <w:szCs w:val="21"/>
          <w:highlight w:val="none"/>
        </w:rPr>
        <w:t>不同供应商的响应文件由同一单位或者个人编制</w:t>
      </w:r>
      <w:r>
        <w:rPr>
          <w:rFonts w:hint="eastAsia" w:ascii="宋体" w:hAnsi="宋体" w:cs="仿宋"/>
          <w:bCs/>
          <w:color w:val="auto"/>
          <w:szCs w:val="21"/>
          <w:highlight w:val="none"/>
        </w:rPr>
        <w:t>；</w:t>
      </w:r>
    </w:p>
    <w:p w14:paraId="75DE6654">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1.5.2</w:t>
      </w:r>
      <w:r>
        <w:rPr>
          <w:rFonts w:hint="eastAsia" w:ascii="宋体" w:hAnsi="宋体" w:cs="仿宋"/>
          <w:color w:val="auto"/>
          <w:szCs w:val="21"/>
          <w:highlight w:val="none"/>
        </w:rPr>
        <w:t>不同供应商委托同一单位或者个人办理</w:t>
      </w:r>
      <w:r>
        <w:rPr>
          <w:rFonts w:hint="eastAsia" w:ascii="宋体" w:hAnsi="宋体" w:cs="仿宋"/>
          <w:color w:val="auto"/>
          <w:szCs w:val="21"/>
          <w:highlight w:val="none"/>
          <w:lang w:val="en-US" w:eastAsia="zh-CN"/>
        </w:rPr>
        <w:t>投标</w:t>
      </w:r>
      <w:r>
        <w:rPr>
          <w:rFonts w:hint="eastAsia" w:ascii="宋体" w:hAnsi="宋体" w:cs="仿宋"/>
          <w:color w:val="auto"/>
          <w:szCs w:val="21"/>
          <w:highlight w:val="none"/>
        </w:rPr>
        <w:t>事宜</w:t>
      </w:r>
      <w:r>
        <w:rPr>
          <w:rFonts w:hint="eastAsia" w:ascii="宋体" w:hAnsi="宋体" w:cs="仿宋"/>
          <w:bCs/>
          <w:color w:val="auto"/>
          <w:szCs w:val="21"/>
          <w:highlight w:val="none"/>
        </w:rPr>
        <w:t>；</w:t>
      </w:r>
    </w:p>
    <w:p w14:paraId="301EBDFC">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1.5.3</w:t>
      </w:r>
      <w:r>
        <w:rPr>
          <w:rFonts w:hint="eastAsia" w:ascii="宋体" w:hAnsi="宋体" w:cs="仿宋"/>
          <w:color w:val="auto"/>
          <w:szCs w:val="21"/>
          <w:highlight w:val="none"/>
        </w:rPr>
        <w:t>不同供应商的响应文件载明的项目管理成员或者联系人员为同一人</w:t>
      </w:r>
      <w:r>
        <w:rPr>
          <w:rFonts w:hint="eastAsia" w:ascii="宋体" w:hAnsi="宋体" w:cs="仿宋"/>
          <w:bCs/>
          <w:color w:val="auto"/>
          <w:szCs w:val="21"/>
          <w:highlight w:val="none"/>
        </w:rPr>
        <w:t>；</w:t>
      </w:r>
    </w:p>
    <w:p w14:paraId="722F4310">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1.5.4</w:t>
      </w:r>
      <w:r>
        <w:rPr>
          <w:rFonts w:hint="eastAsia" w:ascii="宋体" w:hAnsi="宋体" w:cs="仿宋"/>
          <w:color w:val="auto"/>
          <w:szCs w:val="21"/>
          <w:highlight w:val="none"/>
        </w:rPr>
        <w:t>不同供应商的响应文件异常一致或者响应报价呈规律性差异</w:t>
      </w:r>
      <w:r>
        <w:rPr>
          <w:rFonts w:hint="eastAsia" w:ascii="宋体" w:hAnsi="宋体" w:cs="仿宋"/>
          <w:bCs/>
          <w:color w:val="auto"/>
          <w:szCs w:val="21"/>
          <w:highlight w:val="none"/>
        </w:rPr>
        <w:t>；</w:t>
      </w:r>
    </w:p>
    <w:p w14:paraId="71EA40D0">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2.质疑处理</w:t>
      </w:r>
      <w:bookmarkEnd w:id="16"/>
    </w:p>
    <w:p w14:paraId="6EE1626A">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2.1提出质疑的供应商应当是参与所质疑项目采购活动的供应商。潜在供应商依法获取其可质疑的采购文件的，可以对采购文件提出质疑。</w:t>
      </w:r>
    </w:p>
    <w:p w14:paraId="00052790">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2.2供应商认为采购文件、采购过程和采购结果使自己的权益受到损害的，可以在知道或应知其权益受到损害之日起七个工作日内，以书面形式向代理机构或</w:t>
      </w:r>
      <w:r>
        <w:rPr>
          <w:rFonts w:hint="eastAsia" w:ascii="宋体" w:hAnsi="宋体" w:cs="仿宋"/>
          <w:bCs/>
          <w:color w:val="auto"/>
          <w:szCs w:val="21"/>
          <w:highlight w:val="none"/>
          <w:lang w:eastAsia="zh-CN"/>
        </w:rPr>
        <w:t>采购人</w:t>
      </w:r>
      <w:r>
        <w:rPr>
          <w:rFonts w:hint="eastAsia" w:ascii="宋体" w:hAnsi="宋体" w:cs="仿宋"/>
          <w:bCs/>
          <w:color w:val="auto"/>
          <w:szCs w:val="21"/>
          <w:highlight w:val="none"/>
        </w:rPr>
        <w:t>提出质疑。上述应知其权益受到损害之日，是指：</w:t>
      </w:r>
    </w:p>
    <w:p w14:paraId="7A24158C">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2.2.1对可以质疑的采购文件提出质疑的，为收到采购文件之日或者采购文件公告期限届满之日；</w:t>
      </w:r>
    </w:p>
    <w:p w14:paraId="469128F2">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2.2.2对采购过程提出质疑的，为各采购程序环节结束之日；</w:t>
      </w:r>
    </w:p>
    <w:p w14:paraId="2C58CFF9">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2.2.3对中标或者成交结果提出质疑的，为中标或者成交结果公告期限届满之日。供应商应当在法定质疑期内一次性提出针对同一采购程序环节的质疑。</w:t>
      </w:r>
    </w:p>
    <w:p w14:paraId="5367AB37">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2.3质疑函必须按照本</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中《质疑函范本》要求的格式和内容进行填写。</w:t>
      </w:r>
    </w:p>
    <w:p w14:paraId="3EB20E2C">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2.4对采购方式、</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中项目需求、供应商资格条件、评标方法和评标标准、资格审查结果等应当由采购人答复的质疑，请向采购人提出，由采购人负责答复。供应商对其他事项的质疑，请向代理机构提出，由采购人或代理机构负责答复。供应商提起质疑采取书面形式，可以现场送达，也可以邮寄。采购人及代理机构质疑接收人及联系方式，见</w:t>
      </w:r>
      <w:r>
        <w:rPr>
          <w:rFonts w:hint="eastAsia" w:ascii="宋体" w:hAnsi="宋体" w:cs="仿宋"/>
          <w:bCs/>
          <w:color w:val="auto"/>
          <w:szCs w:val="21"/>
          <w:highlight w:val="none"/>
          <w:lang w:eastAsia="zh-CN"/>
        </w:rPr>
        <w:t>采购文件</w:t>
      </w:r>
      <w:r>
        <w:rPr>
          <w:rFonts w:hint="eastAsia" w:ascii="宋体" w:hAnsi="宋体" w:cs="仿宋"/>
          <w:bCs/>
          <w:color w:val="auto"/>
          <w:szCs w:val="21"/>
          <w:highlight w:val="none"/>
        </w:rPr>
        <w:t>第一部分。</w:t>
      </w:r>
    </w:p>
    <w:p w14:paraId="33391D91">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2.5以下情形的质疑不予受理</w:t>
      </w:r>
    </w:p>
    <w:p w14:paraId="567758AE">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2.5.1内容不符合《政府采购质疑和投诉办法》第十二条规定的质疑。</w:t>
      </w:r>
    </w:p>
    <w:p w14:paraId="73600A07">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2.5.2超出政府采购法定期限的质疑。</w:t>
      </w:r>
    </w:p>
    <w:p w14:paraId="15E1BB4C">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2.5.3未参加投标活动的供应商或在投标活动中自身权益未受到损害的供应商所提出的质疑。</w:t>
      </w:r>
    </w:p>
    <w:p w14:paraId="2D66ED40">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2.6供应商提出书面质疑必须有理、有据，不得捏造事实、提供虚假材料进行恶意质疑。否则，一经查实，代理机构有权依据政府采购的有关规定，报请政府采购监管部门对该供应商进行相应的行政处罚和记录该供应商的失信信息。</w:t>
      </w:r>
    </w:p>
    <w:p w14:paraId="59EDD3AE">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3.</w:t>
      </w:r>
      <w:r>
        <w:rPr>
          <w:rFonts w:hint="eastAsia" w:ascii="宋体" w:hAnsi="宋体" w:cs="仿宋"/>
          <w:bCs/>
          <w:color w:val="auto"/>
          <w:szCs w:val="21"/>
          <w:highlight w:val="none"/>
          <w:lang w:val="en-US" w:eastAsia="zh-CN"/>
        </w:rPr>
        <w:t>成交</w:t>
      </w:r>
      <w:r>
        <w:rPr>
          <w:rFonts w:hint="eastAsia" w:ascii="宋体" w:hAnsi="宋体" w:cs="仿宋"/>
          <w:bCs/>
          <w:color w:val="auto"/>
          <w:szCs w:val="21"/>
          <w:highlight w:val="none"/>
        </w:rPr>
        <w:t>通知书</w:t>
      </w:r>
    </w:p>
    <w:p w14:paraId="2AF7F365">
      <w:pPr>
        <w:spacing w:line="360" w:lineRule="auto"/>
        <w:ind w:firstLine="420"/>
        <w:rPr>
          <w:rFonts w:hint="eastAsia" w:ascii="宋体" w:hAnsi="宋体" w:cs="仿宋"/>
          <w:color w:val="auto"/>
          <w:szCs w:val="21"/>
          <w:highlight w:val="none"/>
        </w:rPr>
      </w:pPr>
      <w:r>
        <w:rPr>
          <w:rFonts w:hint="eastAsia" w:ascii="宋体" w:hAnsi="宋体" w:cs="仿宋"/>
          <w:color w:val="auto"/>
          <w:szCs w:val="21"/>
          <w:highlight w:val="none"/>
        </w:rPr>
        <w:t>3.l成交结果确定后，采购人将向成交供应商发出成交通知书。</w:t>
      </w:r>
    </w:p>
    <w:p w14:paraId="11267123">
      <w:pPr>
        <w:spacing w:line="360" w:lineRule="auto"/>
        <w:ind w:firstLine="420"/>
        <w:rPr>
          <w:rFonts w:hint="eastAsia" w:ascii="宋体" w:hAnsi="宋体" w:cs="仿宋" w:eastAsiaTheme="minorEastAsia"/>
          <w:color w:val="auto"/>
          <w:kern w:val="2"/>
          <w:sz w:val="21"/>
          <w:szCs w:val="21"/>
          <w:highlight w:val="none"/>
          <w:lang w:val="en-US" w:eastAsia="zh-CN" w:bidi="ar-SA"/>
        </w:rPr>
      </w:pPr>
      <w:r>
        <w:rPr>
          <w:rFonts w:hint="eastAsia" w:ascii="宋体" w:hAnsi="宋体" w:cs="仿宋"/>
          <w:color w:val="auto"/>
          <w:szCs w:val="21"/>
          <w:highlight w:val="none"/>
        </w:rPr>
        <w:t>3.2成交通知书将是合同的一个组成部分。对采购人和成交供应商均具有法律效力。成交通知书发出后，采购人改变成交结果的，或者成交供应商放弃</w:t>
      </w:r>
      <w:r>
        <w:rPr>
          <w:rFonts w:hint="eastAsia" w:ascii="宋体" w:hAnsi="宋体" w:cs="仿宋"/>
          <w:color w:val="auto"/>
          <w:szCs w:val="21"/>
          <w:highlight w:val="none"/>
          <w:lang w:val="en-US" w:eastAsia="zh-CN"/>
        </w:rPr>
        <w:t>采购</w:t>
      </w:r>
      <w:r>
        <w:rPr>
          <w:rFonts w:hint="eastAsia" w:ascii="宋体" w:hAnsi="宋体" w:cs="仿宋"/>
          <w:color w:val="auto"/>
          <w:szCs w:val="21"/>
          <w:highlight w:val="none"/>
        </w:rPr>
        <w:t>项目的，应当依法承担法律责任。</w:t>
      </w:r>
      <w:r>
        <w:rPr>
          <w:rFonts w:hint="eastAsia" w:ascii="宋体" w:hAnsi="宋体" w:cs="仿宋" w:eastAsiaTheme="minorEastAsia"/>
          <w:color w:val="auto"/>
          <w:kern w:val="2"/>
          <w:sz w:val="21"/>
          <w:szCs w:val="21"/>
          <w:highlight w:val="none"/>
          <w:lang w:val="en-US" w:eastAsia="zh-CN" w:bidi="ar-SA"/>
        </w:rPr>
        <w:t>特别说明：成交供应商在获取成交通知书前须提供4套加盖红章的系统内打印的纸质响应文件（含光盘2份）给采购代理机构。</w:t>
      </w:r>
    </w:p>
    <w:p w14:paraId="0F9B7F3C">
      <w:pPr>
        <w:spacing w:line="360" w:lineRule="auto"/>
        <w:ind w:firstLine="422"/>
        <w:rPr>
          <w:rFonts w:hint="eastAsia" w:ascii="宋体" w:hAnsi="宋体" w:cs="仿宋"/>
          <w:b/>
          <w:bCs/>
          <w:color w:val="auto"/>
          <w:szCs w:val="21"/>
          <w:highlight w:val="none"/>
          <w:lang w:val="en-US" w:eastAsia="zh-CN"/>
        </w:rPr>
      </w:pPr>
      <w:r>
        <w:rPr>
          <w:rFonts w:hint="eastAsia" w:ascii="宋体" w:hAnsi="宋体" w:cs="仿宋"/>
          <w:b/>
          <w:bCs/>
          <w:color w:val="auto"/>
          <w:szCs w:val="21"/>
          <w:highlight w:val="none"/>
          <w:lang w:val="en-US" w:eastAsia="zh-CN"/>
        </w:rPr>
        <w:t>九、授予合同</w:t>
      </w:r>
    </w:p>
    <w:p w14:paraId="0FC2BB8D">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1.签订合同</w:t>
      </w:r>
    </w:p>
    <w:p w14:paraId="1DD5891B">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1.l成交供应商应当在成交通知书发出之日起三十日内，按照招标文件确定的事项与采购人签订政府采购合同。</w:t>
      </w:r>
    </w:p>
    <w:p w14:paraId="114E6AA5">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签订合同时需做好提交各类声明函、承诺函、业绩证明、资质、职称证书等相应原件的核查准备；核查后发现虚假或违背承诺的，依照相关法律法规规定处理。</w:t>
      </w:r>
    </w:p>
    <w:p w14:paraId="6E761B29">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1.2</w:t>
      </w:r>
      <w:r>
        <w:rPr>
          <w:rFonts w:hint="eastAsia" w:ascii="宋体" w:hAnsi="宋体" w:cs="仿宋"/>
          <w:bCs/>
          <w:color w:val="auto"/>
          <w:szCs w:val="21"/>
          <w:highlight w:val="none"/>
          <w:lang w:val="en-US" w:eastAsia="zh-CN"/>
        </w:rPr>
        <w:t>采购</w:t>
      </w:r>
      <w:r>
        <w:rPr>
          <w:rFonts w:hint="eastAsia" w:ascii="宋体" w:hAnsi="宋体" w:cs="仿宋"/>
          <w:bCs/>
          <w:color w:val="auto"/>
          <w:szCs w:val="21"/>
          <w:highlight w:val="none"/>
        </w:rPr>
        <w:t>文件、成交供应商的响应文件及开标过程中有关澄清、承诺文件均应作为合同附件。</w:t>
      </w:r>
    </w:p>
    <w:p w14:paraId="069CD57A">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1.3签订合同后，成交供应商不得将货物及其他相关服务进行转包。未经采购人同意，成交供应商也不得采用分包的形式履行合同，否则采购人有权终止合同，成交供应商的履约保证金将不予退还。政府采购合同分包履行的，成交供应商就采购项目和分包项目向采购人负责，分包供应商就分包项目承担责任。转包或分包造成采购人损失的，成交供应商应承担相应赔偿责任。</w:t>
      </w:r>
    </w:p>
    <w:p w14:paraId="787A7897">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2.货物和服务的追加、减少和添购。</w:t>
      </w:r>
    </w:p>
    <w:p w14:paraId="4E43143E">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2.1政府采购合同履行中，采购人需追加与合同标的相同的货物和服务的，在不改变合同其他条款的前提下，可以与成交供应商协商签订补充合同，但所有补充合同的采购金额不超过原合同金额10%。</w:t>
      </w:r>
    </w:p>
    <w:p w14:paraId="45F2AB49">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2.2采购结束后，采购人若由于各种客观原因，必须对采购项目所牵涉的货物和服务进行适当的减少时，在双方协商一致的前提下，可以按照采购时的价格水平做相应的调减，并据此签订补充合同。</w:t>
      </w:r>
    </w:p>
    <w:p w14:paraId="1DAF49AD">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3.政府采购履约保证资金、合同信用融资扶持政策</w:t>
      </w:r>
    </w:p>
    <w:p w14:paraId="6F869B78">
      <w:pPr>
        <w:spacing w:line="360" w:lineRule="auto"/>
        <w:ind w:firstLine="420"/>
        <w:rPr>
          <w:rFonts w:hint="eastAsia" w:ascii="宋体" w:hAnsi="宋体" w:cs="仿宋"/>
          <w:bCs/>
          <w:color w:val="auto"/>
          <w:szCs w:val="21"/>
          <w:highlight w:val="none"/>
        </w:rPr>
      </w:pPr>
      <w:r>
        <w:rPr>
          <w:rFonts w:hint="eastAsia" w:ascii="宋体" w:hAnsi="宋体" w:cs="仿宋"/>
          <w:bCs/>
          <w:color w:val="auto"/>
          <w:szCs w:val="21"/>
          <w:highlight w:val="none"/>
        </w:rPr>
        <w:t>根据《关于深入开展南通市政府采购线上合同信用融资工作的通知》（通财购〔2022〕68号），对政府采购成交供应商提出“政采贷”融资申请的，采购人应当依法按时在“苏采云”系统中录入并公开政府采购合同信息，勾选“融资贷款”选项，并在合同签订、验收付款、账号维护等环节提供必要便利，持续降低参与政府采购的中小企业融资成本。成交供应商如需获得合同信用融资支持，可凭政府采购合同办理“政采贷”融资贷款，详情请见江苏省政府采购网-政采贷专栏。</w:t>
      </w:r>
    </w:p>
    <w:p w14:paraId="708307C1">
      <w:pPr>
        <w:numPr>
          <w:ilvl w:val="0"/>
          <w:numId w:val="2"/>
        </w:numPr>
        <w:spacing w:line="360" w:lineRule="auto"/>
        <w:ind w:firstLine="420"/>
        <w:rPr>
          <w:rFonts w:ascii="宋体" w:hAnsi="宋体"/>
          <w:b/>
          <w:color w:val="auto"/>
          <w:szCs w:val="21"/>
          <w:highlight w:val="none"/>
        </w:rPr>
      </w:pPr>
      <w:r>
        <w:rPr>
          <w:rFonts w:ascii="宋体" w:hAnsi="宋体"/>
          <w:b/>
          <w:color w:val="auto"/>
          <w:szCs w:val="21"/>
          <w:highlight w:val="none"/>
        </w:rPr>
        <w:t>履约保证金</w:t>
      </w:r>
    </w:p>
    <w:p w14:paraId="7D7D2E2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kern w:val="0"/>
          <w:szCs w:val="21"/>
          <w:highlight w:val="none"/>
        </w:rPr>
      </w:pPr>
      <w:r>
        <w:rPr>
          <w:rFonts w:hint="eastAsia" w:ascii="宋体" w:hAnsi="宋体"/>
          <w:color w:val="auto"/>
          <w:kern w:val="0"/>
          <w:szCs w:val="21"/>
          <w:highlight w:val="none"/>
          <w:lang w:val="en-US" w:eastAsia="zh-CN"/>
        </w:rPr>
        <w:t>1</w:t>
      </w:r>
      <w:r>
        <w:rPr>
          <w:rFonts w:hint="eastAsia" w:ascii="宋体" w:hAnsi="宋体"/>
          <w:color w:val="auto"/>
          <w:kern w:val="0"/>
          <w:szCs w:val="21"/>
          <w:highlight w:val="none"/>
        </w:rPr>
        <w:t>.中标单位的履约保证金须在中标通知书发出之日30日内汇入采购人账户，中标人凭中标通知书、履约保证金缴纳证明与采购人签订合同。超期则视为自动放弃中标资格。</w:t>
      </w:r>
    </w:p>
    <w:p w14:paraId="52F0EDE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kern w:val="0"/>
          <w:szCs w:val="21"/>
          <w:highlight w:val="none"/>
        </w:rPr>
      </w:pPr>
      <w:r>
        <w:rPr>
          <w:rFonts w:hint="eastAsia" w:ascii="宋体" w:hAnsi="宋体"/>
          <w:color w:val="auto"/>
          <w:kern w:val="0"/>
          <w:szCs w:val="21"/>
          <w:highlight w:val="none"/>
          <w:lang w:val="en-US" w:eastAsia="zh-CN"/>
        </w:rPr>
        <w:t>2</w:t>
      </w:r>
      <w:r>
        <w:rPr>
          <w:rFonts w:hint="eastAsia" w:ascii="宋体" w:hAnsi="宋体"/>
          <w:color w:val="auto"/>
          <w:kern w:val="0"/>
          <w:szCs w:val="21"/>
          <w:highlight w:val="none"/>
        </w:rPr>
        <w:t>.中标人</w:t>
      </w:r>
      <w:r>
        <w:rPr>
          <w:rFonts w:ascii="宋体" w:hAnsi="宋体"/>
          <w:color w:val="auto"/>
          <w:kern w:val="0"/>
          <w:szCs w:val="21"/>
          <w:highlight w:val="none"/>
        </w:rPr>
        <w:t>在按要求保质保量的完成该项目合同并通过验收后，采购人凭</w:t>
      </w:r>
      <w:r>
        <w:rPr>
          <w:rFonts w:hint="eastAsia" w:ascii="宋体" w:hAnsi="宋体"/>
          <w:color w:val="auto"/>
          <w:kern w:val="0"/>
          <w:szCs w:val="21"/>
          <w:highlight w:val="none"/>
        </w:rPr>
        <w:t>中标人</w:t>
      </w:r>
      <w:r>
        <w:rPr>
          <w:rFonts w:ascii="宋体" w:hAnsi="宋体"/>
          <w:color w:val="auto"/>
          <w:kern w:val="0"/>
          <w:szCs w:val="21"/>
          <w:highlight w:val="none"/>
        </w:rPr>
        <w:t>提交的申请，</w:t>
      </w:r>
      <w:r>
        <w:rPr>
          <w:rFonts w:ascii="宋体" w:hAnsi="宋体"/>
          <w:bCs/>
          <w:color w:val="auto"/>
          <w:kern w:val="0"/>
          <w:szCs w:val="21"/>
          <w:highlight w:val="none"/>
        </w:rPr>
        <w:t>扣除服务期内的罚款后一次性无息退还</w:t>
      </w:r>
      <w:r>
        <w:rPr>
          <w:rFonts w:hint="eastAsia" w:ascii="宋体" w:hAnsi="宋体"/>
          <w:bCs/>
          <w:color w:val="auto"/>
          <w:kern w:val="0"/>
          <w:szCs w:val="21"/>
          <w:highlight w:val="none"/>
        </w:rPr>
        <w:t>本</w:t>
      </w:r>
      <w:r>
        <w:rPr>
          <w:rFonts w:ascii="宋体" w:hAnsi="宋体"/>
          <w:bCs/>
          <w:color w:val="auto"/>
          <w:kern w:val="0"/>
          <w:szCs w:val="21"/>
          <w:highlight w:val="none"/>
        </w:rPr>
        <w:t>项目的履约保证金。</w:t>
      </w:r>
    </w:p>
    <w:p w14:paraId="181D34F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szCs w:val="21"/>
          <w:highlight w:val="none"/>
        </w:rPr>
      </w:pPr>
      <w:r>
        <w:rPr>
          <w:rFonts w:hint="eastAsia" w:ascii="宋体" w:hAnsi="宋体"/>
          <w:color w:val="auto"/>
          <w:kern w:val="0"/>
          <w:szCs w:val="21"/>
          <w:highlight w:val="none"/>
          <w:lang w:val="en-US" w:eastAsia="zh-CN"/>
        </w:rPr>
        <w:t>3</w:t>
      </w:r>
      <w:r>
        <w:rPr>
          <w:rFonts w:hint="eastAsia" w:ascii="宋体" w:hAnsi="宋体"/>
          <w:color w:val="auto"/>
          <w:kern w:val="0"/>
          <w:szCs w:val="21"/>
          <w:highlight w:val="none"/>
        </w:rPr>
        <w:t>.</w:t>
      </w:r>
      <w:r>
        <w:rPr>
          <w:rFonts w:ascii="宋体" w:hAnsi="宋体"/>
          <w:color w:val="auto"/>
          <w:kern w:val="0"/>
          <w:szCs w:val="21"/>
          <w:highlight w:val="none"/>
        </w:rPr>
        <w:t>由于</w:t>
      </w:r>
      <w:r>
        <w:rPr>
          <w:rFonts w:hint="eastAsia" w:ascii="宋体" w:hAnsi="宋体"/>
          <w:color w:val="auto"/>
          <w:kern w:val="0"/>
          <w:szCs w:val="21"/>
          <w:highlight w:val="none"/>
        </w:rPr>
        <w:t>中标人</w:t>
      </w:r>
      <w:r>
        <w:rPr>
          <w:rFonts w:ascii="宋体" w:hAnsi="宋体"/>
          <w:color w:val="auto"/>
          <w:kern w:val="0"/>
          <w:szCs w:val="21"/>
          <w:highlight w:val="none"/>
        </w:rPr>
        <w:t>原因，在签订合同后出现不按合同履行的情况，采购人有权将履约保证金作为违约金，全额不予退还，同时采购人亦有权终止合同，</w:t>
      </w:r>
      <w:r>
        <w:rPr>
          <w:rFonts w:hint="eastAsia" w:ascii="宋体" w:hAnsi="宋体"/>
          <w:color w:val="auto"/>
          <w:kern w:val="0"/>
          <w:szCs w:val="21"/>
          <w:highlight w:val="none"/>
        </w:rPr>
        <w:t>中标人</w:t>
      </w:r>
      <w:r>
        <w:rPr>
          <w:rFonts w:ascii="宋体" w:hAnsi="宋体"/>
          <w:color w:val="auto"/>
          <w:kern w:val="0"/>
          <w:szCs w:val="21"/>
          <w:highlight w:val="none"/>
        </w:rPr>
        <w:t>还须承担相应的法律赔偿责任。</w:t>
      </w:r>
    </w:p>
    <w:p w14:paraId="2831BBB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olor w:val="auto"/>
          <w:kern w:val="0"/>
          <w:szCs w:val="21"/>
          <w:highlight w:val="none"/>
          <w:lang w:val="en-US" w:eastAsia="zh-CN"/>
        </w:rPr>
      </w:pPr>
      <w:r>
        <w:rPr>
          <w:rFonts w:hint="eastAsia" w:ascii="宋体" w:hAnsi="宋体"/>
          <w:color w:val="auto"/>
          <w:kern w:val="0"/>
          <w:szCs w:val="21"/>
          <w:highlight w:val="none"/>
          <w:lang w:val="en-US" w:eastAsia="zh-CN"/>
        </w:rPr>
        <w:t>4.</w:t>
      </w:r>
      <w:r>
        <w:rPr>
          <w:rFonts w:hint="eastAsia" w:ascii="宋体" w:hAnsi="宋体"/>
          <w:color w:val="auto"/>
          <w:kern w:val="0"/>
          <w:szCs w:val="21"/>
          <w:highlight w:val="none"/>
          <w:lang w:val="zh-CN" w:eastAsia="zh-CN"/>
        </w:rPr>
        <w:t>中标供应商需在中标通知书签发之日起30日内缴纳履约保证金，超期</w:t>
      </w:r>
      <w:r>
        <w:rPr>
          <w:rFonts w:hint="eastAsia" w:ascii="宋体" w:hAnsi="宋体"/>
          <w:color w:val="auto"/>
          <w:kern w:val="0"/>
          <w:szCs w:val="21"/>
          <w:highlight w:val="none"/>
          <w:lang w:val="en-US" w:eastAsia="zh-CN"/>
        </w:rPr>
        <w:t>视为放弃中标</w:t>
      </w:r>
      <w:r>
        <w:rPr>
          <w:rFonts w:hint="eastAsia" w:ascii="宋体" w:hAnsi="宋体"/>
          <w:color w:val="auto"/>
          <w:kern w:val="0"/>
          <w:szCs w:val="21"/>
          <w:highlight w:val="none"/>
          <w:lang w:val="zh-CN" w:eastAsia="zh-CN"/>
        </w:rPr>
        <w:t>。</w:t>
      </w:r>
      <w:r>
        <w:rPr>
          <w:rFonts w:hint="eastAsia" w:ascii="宋体" w:hAnsi="宋体"/>
          <w:color w:val="auto"/>
          <w:kern w:val="0"/>
          <w:szCs w:val="21"/>
          <w:highlight w:val="none"/>
          <w:lang w:val="en-US" w:eastAsia="zh-CN"/>
        </w:rPr>
        <w:t>因原中标人放弃或被取消中标资格的，招标人可以按照评标委员会提出的名单排序依次递补，或重新招标。</w:t>
      </w:r>
    </w:p>
    <w:p w14:paraId="476007DD">
      <w:pPr>
        <w:pStyle w:val="42"/>
        <w:keepNext w:val="0"/>
        <w:keepLines w:val="0"/>
        <w:pageBreakBefore w:val="0"/>
        <w:widowControl/>
        <w:kinsoku/>
        <w:wordWrap/>
        <w:overflowPunct/>
        <w:topLinePunct w:val="0"/>
        <w:autoSpaceDE/>
        <w:autoSpaceDN/>
        <w:bidi w:val="0"/>
        <w:adjustRightInd/>
        <w:snapToGrid/>
        <w:ind w:firstLine="0"/>
        <w:jc w:val="left"/>
        <w:textAlignment w:val="auto"/>
        <w:rPr>
          <w:rFonts w:hint="eastAsia" w:ascii="宋体" w:hAnsi="宋体" w:eastAsiaTheme="minorEastAsia" w:cstheme="minorBidi"/>
          <w:b w:val="0"/>
          <w:color w:val="auto"/>
          <w:spacing w:val="0"/>
          <w:kern w:val="0"/>
          <w:sz w:val="21"/>
          <w:szCs w:val="21"/>
          <w:highlight w:val="none"/>
          <w:lang w:val="en-US" w:eastAsia="zh-CN" w:bidi="ar-SA"/>
        </w:rPr>
      </w:pPr>
      <w:r>
        <w:rPr>
          <w:rFonts w:hint="eastAsia" w:ascii="宋体" w:hAnsi="宋体" w:eastAsiaTheme="minorEastAsia" w:cstheme="minorBidi"/>
          <w:b w:val="0"/>
          <w:color w:val="auto"/>
          <w:spacing w:val="0"/>
          <w:kern w:val="0"/>
          <w:sz w:val="21"/>
          <w:szCs w:val="21"/>
          <w:highlight w:val="none"/>
          <w:lang w:val="en-US" w:eastAsia="zh-CN" w:bidi="ar-SA"/>
        </w:rPr>
        <w:t>履约保证金金额：各标段预算价*（1-中标下浮率）*8%</w:t>
      </w:r>
    </w:p>
    <w:p w14:paraId="2BBE5F8F">
      <w:pPr>
        <w:pStyle w:val="42"/>
        <w:keepNext w:val="0"/>
        <w:keepLines w:val="0"/>
        <w:pageBreakBefore w:val="0"/>
        <w:widowControl/>
        <w:kinsoku/>
        <w:wordWrap/>
        <w:overflowPunct/>
        <w:topLinePunct w:val="0"/>
        <w:autoSpaceDE/>
        <w:autoSpaceDN/>
        <w:bidi w:val="0"/>
        <w:adjustRightInd/>
        <w:snapToGrid/>
        <w:ind w:firstLine="0"/>
        <w:jc w:val="left"/>
        <w:textAlignment w:val="auto"/>
        <w:rPr>
          <w:rFonts w:hint="default" w:ascii="宋体" w:hAnsi="宋体" w:eastAsiaTheme="minorEastAsia" w:cstheme="minorBidi"/>
          <w:b w:val="0"/>
          <w:color w:val="auto"/>
          <w:spacing w:val="0"/>
          <w:kern w:val="0"/>
          <w:sz w:val="21"/>
          <w:szCs w:val="21"/>
          <w:highlight w:val="none"/>
          <w:lang w:val="en-US" w:eastAsia="zh-CN" w:bidi="ar-SA"/>
        </w:rPr>
      </w:pPr>
      <w:r>
        <w:rPr>
          <w:rFonts w:hint="default" w:ascii="宋体" w:hAnsi="宋体" w:eastAsiaTheme="minorEastAsia" w:cstheme="minorBidi"/>
          <w:b w:val="0"/>
          <w:color w:val="auto"/>
          <w:spacing w:val="0"/>
          <w:kern w:val="0"/>
          <w:sz w:val="21"/>
          <w:szCs w:val="21"/>
          <w:highlight w:val="none"/>
          <w:lang w:val="en-US" w:eastAsia="zh-CN" w:bidi="ar-SA"/>
        </w:rPr>
        <w:t>缴纳方式：银行转账或银行保函</w:t>
      </w:r>
      <w:r>
        <w:rPr>
          <w:rFonts w:hint="eastAsia" w:ascii="宋体" w:hAnsi="宋体" w:eastAsiaTheme="minorEastAsia" w:cstheme="minorBidi"/>
          <w:b w:val="0"/>
          <w:color w:val="auto"/>
          <w:spacing w:val="0"/>
          <w:kern w:val="0"/>
          <w:sz w:val="21"/>
          <w:szCs w:val="21"/>
          <w:highlight w:val="none"/>
          <w:lang w:val="en-US" w:eastAsia="zh-CN" w:bidi="ar-SA"/>
        </w:rPr>
        <w:t>（见索即付）</w:t>
      </w:r>
      <w:r>
        <w:rPr>
          <w:rFonts w:hint="default" w:ascii="宋体" w:hAnsi="宋体" w:eastAsiaTheme="minorEastAsia" w:cstheme="minorBidi"/>
          <w:b w:val="0"/>
          <w:color w:val="auto"/>
          <w:spacing w:val="0"/>
          <w:kern w:val="0"/>
          <w:sz w:val="21"/>
          <w:szCs w:val="21"/>
          <w:highlight w:val="none"/>
          <w:lang w:val="en-US" w:eastAsia="zh-CN" w:bidi="ar-SA"/>
        </w:rPr>
        <w:t>等。</w:t>
      </w:r>
    </w:p>
    <w:p w14:paraId="42B438A3">
      <w:pPr>
        <w:pStyle w:val="42"/>
        <w:keepNext w:val="0"/>
        <w:keepLines w:val="0"/>
        <w:pageBreakBefore w:val="0"/>
        <w:widowControl/>
        <w:kinsoku/>
        <w:wordWrap/>
        <w:overflowPunct/>
        <w:topLinePunct w:val="0"/>
        <w:autoSpaceDE/>
        <w:autoSpaceDN/>
        <w:bidi w:val="0"/>
        <w:adjustRightInd/>
        <w:snapToGrid/>
        <w:ind w:firstLine="0"/>
        <w:jc w:val="left"/>
        <w:textAlignment w:val="auto"/>
        <w:rPr>
          <w:rFonts w:hint="default" w:ascii="宋体" w:hAnsi="宋体" w:eastAsiaTheme="minorEastAsia" w:cstheme="minorBidi"/>
          <w:b w:val="0"/>
          <w:color w:val="auto"/>
          <w:spacing w:val="0"/>
          <w:kern w:val="0"/>
          <w:sz w:val="21"/>
          <w:szCs w:val="21"/>
          <w:highlight w:val="none"/>
          <w:lang w:val="en-US" w:eastAsia="zh-CN" w:bidi="ar-SA"/>
        </w:rPr>
      </w:pPr>
      <w:r>
        <w:rPr>
          <w:rFonts w:hint="default" w:ascii="宋体" w:hAnsi="宋体" w:eastAsiaTheme="minorEastAsia" w:cstheme="minorBidi"/>
          <w:b w:val="0"/>
          <w:color w:val="auto"/>
          <w:spacing w:val="0"/>
          <w:kern w:val="0"/>
          <w:sz w:val="21"/>
          <w:szCs w:val="21"/>
          <w:highlight w:val="none"/>
          <w:lang w:val="en-US" w:eastAsia="zh-CN" w:bidi="ar-SA"/>
        </w:rPr>
        <w:t>账号：107070010402888820730020000</w:t>
      </w:r>
    </w:p>
    <w:p w14:paraId="1FF44390">
      <w:pPr>
        <w:pStyle w:val="42"/>
        <w:keepNext w:val="0"/>
        <w:keepLines w:val="0"/>
        <w:pageBreakBefore w:val="0"/>
        <w:widowControl/>
        <w:kinsoku/>
        <w:wordWrap/>
        <w:overflowPunct/>
        <w:topLinePunct w:val="0"/>
        <w:autoSpaceDE/>
        <w:autoSpaceDN/>
        <w:bidi w:val="0"/>
        <w:adjustRightInd/>
        <w:snapToGrid/>
        <w:ind w:firstLine="0"/>
        <w:jc w:val="left"/>
        <w:textAlignment w:val="auto"/>
        <w:rPr>
          <w:rFonts w:hint="default" w:ascii="宋体" w:hAnsi="宋体" w:eastAsiaTheme="minorEastAsia" w:cstheme="minorBidi"/>
          <w:b w:val="0"/>
          <w:color w:val="auto"/>
          <w:spacing w:val="0"/>
          <w:kern w:val="0"/>
          <w:sz w:val="21"/>
          <w:szCs w:val="21"/>
          <w:highlight w:val="none"/>
          <w:lang w:val="en-US" w:eastAsia="zh-CN" w:bidi="ar-SA"/>
        </w:rPr>
      </w:pPr>
      <w:r>
        <w:rPr>
          <w:rFonts w:hint="default" w:ascii="宋体" w:hAnsi="宋体" w:eastAsiaTheme="minorEastAsia" w:cstheme="minorBidi"/>
          <w:b w:val="0"/>
          <w:color w:val="auto"/>
          <w:spacing w:val="0"/>
          <w:kern w:val="0"/>
          <w:sz w:val="21"/>
          <w:szCs w:val="21"/>
          <w:highlight w:val="none"/>
          <w:lang w:val="en-US" w:eastAsia="zh-CN" w:bidi="ar-SA"/>
        </w:rPr>
        <w:t>户名：南通市崇川区城市工程建设管理中心</w:t>
      </w:r>
    </w:p>
    <w:p w14:paraId="300CC1ED">
      <w:pPr>
        <w:pStyle w:val="42"/>
        <w:keepNext w:val="0"/>
        <w:keepLines w:val="0"/>
        <w:pageBreakBefore w:val="0"/>
        <w:widowControl/>
        <w:kinsoku/>
        <w:wordWrap/>
        <w:overflowPunct/>
        <w:topLinePunct w:val="0"/>
        <w:autoSpaceDE/>
        <w:autoSpaceDN/>
        <w:bidi w:val="0"/>
        <w:adjustRightInd/>
        <w:snapToGrid/>
        <w:ind w:firstLine="0"/>
        <w:jc w:val="left"/>
        <w:textAlignment w:val="auto"/>
        <w:rPr>
          <w:rFonts w:hint="default" w:ascii="宋体" w:hAnsi="宋体" w:eastAsiaTheme="minorEastAsia" w:cstheme="minorBidi"/>
          <w:b w:val="0"/>
          <w:color w:val="auto"/>
          <w:spacing w:val="0"/>
          <w:kern w:val="0"/>
          <w:sz w:val="21"/>
          <w:szCs w:val="21"/>
          <w:highlight w:val="none"/>
          <w:lang w:val="en-US" w:eastAsia="zh-CN" w:bidi="ar-SA"/>
        </w:rPr>
      </w:pPr>
      <w:r>
        <w:rPr>
          <w:rFonts w:hint="default" w:ascii="宋体" w:hAnsi="宋体" w:eastAsiaTheme="minorEastAsia" w:cstheme="minorBidi"/>
          <w:b w:val="0"/>
          <w:color w:val="auto"/>
          <w:spacing w:val="0"/>
          <w:kern w:val="0"/>
          <w:sz w:val="21"/>
          <w:szCs w:val="21"/>
          <w:highlight w:val="none"/>
          <w:lang w:val="en-US" w:eastAsia="zh-CN" w:bidi="ar-SA"/>
        </w:rPr>
        <w:t>开户行：中国农业银行南通分行营业部</w:t>
      </w:r>
    </w:p>
    <w:p w14:paraId="2182C335">
      <w:pPr>
        <w:pStyle w:val="42"/>
        <w:keepNext w:val="0"/>
        <w:keepLines w:val="0"/>
        <w:pageBreakBefore w:val="0"/>
        <w:widowControl/>
        <w:kinsoku/>
        <w:wordWrap/>
        <w:overflowPunct/>
        <w:topLinePunct w:val="0"/>
        <w:autoSpaceDE/>
        <w:autoSpaceDN/>
        <w:bidi w:val="0"/>
        <w:adjustRightInd/>
        <w:snapToGrid/>
        <w:ind w:firstLine="0"/>
        <w:jc w:val="left"/>
        <w:textAlignment w:val="auto"/>
        <w:rPr>
          <w:rFonts w:hint="default" w:ascii="宋体" w:hAnsi="宋体" w:eastAsiaTheme="minorEastAsia" w:cstheme="minorBidi"/>
          <w:b w:val="0"/>
          <w:color w:val="auto"/>
          <w:spacing w:val="0"/>
          <w:kern w:val="0"/>
          <w:sz w:val="21"/>
          <w:szCs w:val="21"/>
          <w:highlight w:val="none"/>
          <w:lang w:val="en-US" w:eastAsia="zh-CN" w:bidi="ar-SA"/>
        </w:rPr>
      </w:pPr>
      <w:r>
        <w:rPr>
          <w:rFonts w:hint="default" w:ascii="宋体" w:hAnsi="宋体" w:eastAsiaTheme="minorEastAsia" w:cstheme="minorBidi"/>
          <w:b w:val="0"/>
          <w:color w:val="auto"/>
          <w:spacing w:val="0"/>
          <w:kern w:val="0"/>
          <w:sz w:val="21"/>
          <w:szCs w:val="21"/>
          <w:highlight w:val="none"/>
          <w:lang w:val="en-US" w:eastAsia="zh-CN" w:bidi="ar-SA"/>
        </w:rPr>
        <w:t>投标人在收到中标通知书后，须在30天内向招标人足额提交履约保证金，逾期视作放弃中标。</w:t>
      </w:r>
    </w:p>
    <w:p w14:paraId="628F89A1">
      <w:pPr>
        <w:snapToGrid w:val="0"/>
        <w:spacing w:line="360" w:lineRule="auto"/>
        <w:ind w:firstLine="422" w:firstLineChars="200"/>
        <w:outlineLvl w:val="1"/>
        <w:rPr>
          <w:rFonts w:hint="eastAsia" w:ascii="宋体" w:hAnsi="宋体"/>
          <w:b/>
          <w:color w:val="auto"/>
          <w:szCs w:val="21"/>
          <w:highlight w:val="none"/>
        </w:rPr>
      </w:pPr>
      <w:r>
        <w:rPr>
          <w:rFonts w:hint="eastAsia" w:ascii="宋体" w:hAnsi="宋体"/>
          <w:b/>
          <w:color w:val="auto"/>
          <w:szCs w:val="21"/>
          <w:highlight w:val="none"/>
        </w:rPr>
        <w:t>十一</w:t>
      </w:r>
      <w:r>
        <w:rPr>
          <w:rFonts w:ascii="宋体" w:hAnsi="宋体"/>
          <w:b/>
          <w:color w:val="auto"/>
          <w:szCs w:val="21"/>
          <w:highlight w:val="none"/>
        </w:rPr>
        <w:t>、</w:t>
      </w:r>
      <w:r>
        <w:rPr>
          <w:rFonts w:hint="eastAsia" w:ascii="宋体" w:hAnsi="宋体"/>
          <w:b/>
          <w:color w:val="auto"/>
          <w:szCs w:val="21"/>
          <w:highlight w:val="none"/>
        </w:rPr>
        <w:t>有关</w:t>
      </w:r>
      <w:r>
        <w:rPr>
          <w:rFonts w:ascii="宋体" w:hAnsi="宋体"/>
          <w:b/>
          <w:color w:val="auto"/>
          <w:szCs w:val="21"/>
          <w:highlight w:val="none"/>
        </w:rPr>
        <w:t>费用</w:t>
      </w:r>
    </w:p>
    <w:p w14:paraId="224FBA73">
      <w:pPr>
        <w:snapToGrid w:val="0"/>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投标供应商应承担其编制</w:t>
      </w:r>
      <w:r>
        <w:rPr>
          <w:rFonts w:hint="eastAsia" w:ascii="宋体" w:hAnsi="宋体"/>
          <w:bCs/>
          <w:color w:val="auto"/>
          <w:szCs w:val="21"/>
          <w:highlight w:val="none"/>
          <w:lang w:eastAsia="zh-CN"/>
        </w:rPr>
        <w:t>响应文件</w:t>
      </w:r>
      <w:r>
        <w:rPr>
          <w:rFonts w:hint="eastAsia" w:ascii="宋体" w:hAnsi="宋体"/>
          <w:bCs/>
          <w:color w:val="auto"/>
          <w:szCs w:val="21"/>
          <w:highlight w:val="none"/>
        </w:rPr>
        <w:t>以及递交</w:t>
      </w:r>
      <w:r>
        <w:rPr>
          <w:rFonts w:hint="eastAsia" w:ascii="宋体" w:hAnsi="宋体"/>
          <w:bCs/>
          <w:color w:val="auto"/>
          <w:szCs w:val="21"/>
          <w:highlight w:val="none"/>
          <w:lang w:eastAsia="zh-CN"/>
        </w:rPr>
        <w:t>响应文件</w:t>
      </w:r>
      <w:r>
        <w:rPr>
          <w:rFonts w:hint="eastAsia" w:ascii="宋体" w:hAnsi="宋体"/>
          <w:bCs/>
          <w:color w:val="auto"/>
          <w:szCs w:val="21"/>
          <w:highlight w:val="none"/>
        </w:rPr>
        <w:t>等参与本项目投标所涉及的一切费用。无论投标结果如何，采购人对上述费用不负任何责任。</w:t>
      </w:r>
    </w:p>
    <w:p w14:paraId="78969E8A">
      <w:pPr>
        <w:snapToGrid w:val="0"/>
        <w:spacing w:line="360" w:lineRule="auto"/>
        <w:ind w:firstLine="422" w:firstLineChars="200"/>
        <w:outlineLvl w:val="1"/>
        <w:rPr>
          <w:rFonts w:hint="eastAsia" w:ascii="宋体" w:hAnsi="宋体"/>
          <w:b/>
          <w:color w:val="auto"/>
          <w:szCs w:val="21"/>
          <w:highlight w:val="none"/>
        </w:rPr>
      </w:pPr>
      <w:r>
        <w:rPr>
          <w:rFonts w:hint="eastAsia" w:ascii="宋体" w:hAnsi="宋体"/>
          <w:b/>
          <w:color w:val="auto"/>
          <w:szCs w:val="21"/>
          <w:highlight w:val="none"/>
        </w:rPr>
        <w:t>十</w:t>
      </w:r>
      <w:r>
        <w:rPr>
          <w:rFonts w:hint="eastAsia" w:ascii="宋体" w:hAnsi="宋体"/>
          <w:b/>
          <w:color w:val="auto"/>
          <w:szCs w:val="21"/>
          <w:highlight w:val="none"/>
          <w:lang w:val="en-US" w:eastAsia="zh-CN"/>
        </w:rPr>
        <w:t>二</w:t>
      </w:r>
      <w:r>
        <w:rPr>
          <w:rFonts w:ascii="宋体" w:hAnsi="宋体"/>
          <w:b/>
          <w:color w:val="auto"/>
          <w:szCs w:val="21"/>
          <w:highlight w:val="none"/>
        </w:rPr>
        <w:t>、未尽事宜</w:t>
      </w:r>
    </w:p>
    <w:p w14:paraId="459957C9">
      <w:pPr>
        <w:spacing w:line="360" w:lineRule="auto"/>
        <w:ind w:firstLine="420" w:firstLineChars="0"/>
        <w:jc w:val="both"/>
        <w:rPr>
          <w:rStyle w:val="80"/>
          <w:rFonts w:hint="default"/>
          <w:bCs/>
          <w:color w:val="auto"/>
          <w:sz w:val="28"/>
          <w:szCs w:val="28"/>
          <w:highlight w:val="none"/>
        </w:rPr>
      </w:pPr>
      <w:r>
        <w:rPr>
          <w:rFonts w:ascii="宋体" w:hAnsi="宋体"/>
          <w:color w:val="auto"/>
          <w:szCs w:val="21"/>
          <w:highlight w:val="none"/>
        </w:rPr>
        <w:t>按《中华人民共和国政府采购法》及其他有关的法律法规的规定执行。</w:t>
      </w:r>
      <w:r>
        <w:rPr>
          <w:rStyle w:val="80"/>
          <w:rFonts w:hint="default"/>
          <w:bCs/>
          <w:color w:val="auto"/>
          <w:sz w:val="28"/>
          <w:szCs w:val="28"/>
          <w:highlight w:val="none"/>
        </w:rPr>
        <w:br w:type="page"/>
      </w:r>
    </w:p>
    <w:p w14:paraId="5D0F7066">
      <w:pPr>
        <w:spacing w:line="360" w:lineRule="auto"/>
        <w:ind w:firstLine="420" w:firstLineChars="0"/>
        <w:jc w:val="center"/>
        <w:rPr>
          <w:rStyle w:val="80"/>
          <w:rFonts w:hint="default"/>
          <w:bCs/>
          <w:color w:val="auto"/>
          <w:sz w:val="28"/>
          <w:szCs w:val="28"/>
          <w:highlight w:val="none"/>
        </w:rPr>
      </w:pPr>
      <w:r>
        <w:rPr>
          <w:rStyle w:val="80"/>
          <w:rFonts w:hint="default"/>
          <w:bCs/>
          <w:color w:val="auto"/>
          <w:sz w:val="28"/>
          <w:szCs w:val="28"/>
          <w:highlight w:val="none"/>
        </w:rPr>
        <w:t>第三章  项目需求</w:t>
      </w:r>
    </w:p>
    <w:p w14:paraId="1BBFCDE0">
      <w:pPr>
        <w:snapToGrid w:val="0"/>
        <w:spacing w:line="360" w:lineRule="auto"/>
        <w:ind w:firstLine="422" w:firstLineChars="200"/>
        <w:rPr>
          <w:rFonts w:hint="eastAsia" w:ascii="宋体" w:hAnsi="宋体"/>
          <w:bCs/>
          <w:color w:val="auto"/>
          <w:szCs w:val="21"/>
          <w:highlight w:val="none"/>
          <w:lang w:val="zh-CN"/>
        </w:rPr>
      </w:pPr>
      <w:r>
        <w:rPr>
          <w:rFonts w:hint="eastAsia" w:ascii="宋体" w:hAnsi="宋体"/>
          <w:b/>
          <w:color w:val="auto"/>
          <w:szCs w:val="21"/>
          <w:highlight w:val="none"/>
        </w:rPr>
        <w:t>特别提醒：</w:t>
      </w:r>
      <w:r>
        <w:rPr>
          <w:rFonts w:hint="eastAsia" w:ascii="宋体" w:hAnsi="宋体"/>
          <w:b/>
          <w:color w:val="auto"/>
          <w:szCs w:val="21"/>
          <w:highlight w:val="none"/>
          <w:lang w:val="zh-CN"/>
        </w:rPr>
        <w:t>请投标供应商制作响应文件时仔细研究项目需求说明。</w:t>
      </w:r>
      <w:r>
        <w:rPr>
          <w:rFonts w:hint="eastAsia" w:ascii="宋体" w:hAnsi="宋体"/>
          <w:bCs/>
          <w:color w:val="auto"/>
          <w:szCs w:val="21"/>
          <w:highlight w:val="none"/>
          <w:lang w:val="zh-CN"/>
        </w:rPr>
        <w:t>投标供应商不能简单照搬照抄采购单位项目需求说明中的技术要求，必须作实事求是的响应。如照搬照抄项目需求说明中的技术要求，中标人在同采购单位签订合同和履约环节中不得提出异议，一切后果和损失由中标人承担。如投标供应商提供的货物和服务同采购单位提出的项目需求说明中的技术要求不同的，必须在《技术条款响应一览表》上明示，如不明示的视同完全响应。</w:t>
      </w:r>
    </w:p>
    <w:p w14:paraId="119BF288">
      <w:pPr>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设施巡查作为一个单独的服务子项，服务期内若出现标段巡查路段总里程变化的，采购人将依据路段里程按月增减设施巡查费用。同时，采购人将依据《崇川区市政设施巡查考核评价标准》每2个月对各标段的设施巡查情况进行考核。</w:t>
      </w:r>
    </w:p>
    <w:p w14:paraId="61F008EB">
      <w:pPr>
        <w:snapToGrid w:val="0"/>
        <w:spacing w:line="360" w:lineRule="auto"/>
        <w:ind w:firstLine="420" w:firstLineChars="200"/>
        <w:jc w:val="left"/>
        <w:rPr>
          <w:rStyle w:val="80"/>
          <w:rFonts w:hint="default"/>
          <w:bCs/>
          <w:color w:val="auto"/>
          <w:sz w:val="21"/>
          <w:szCs w:val="21"/>
          <w:highlight w:val="none"/>
        </w:rPr>
      </w:pPr>
      <w:r>
        <w:rPr>
          <w:rFonts w:hint="eastAsia" w:ascii="宋体" w:hAnsi="宋体" w:cs="宋体"/>
          <w:color w:val="auto"/>
          <w:szCs w:val="21"/>
          <w:highlight w:val="none"/>
        </w:rPr>
        <w:t>（2）设施养护维修项目由若干个体量不等、类型多样的指令性任务组成，具有点多面广、突发性强、分布不均、作业环境复杂等特点难点。当月累计完成的养护维修项目的工程量，按照在合同中约定实际完成的合格工程量确定。同时，采购人将依据《崇川区市政设施养护维修考核评价标准》按月对养护维修情况进行考核。</w:t>
      </w:r>
    </w:p>
    <w:p w14:paraId="03C6B64D">
      <w:pPr>
        <w:snapToGrid w:val="0"/>
        <w:spacing w:line="360" w:lineRule="auto"/>
        <w:jc w:val="left"/>
        <w:rPr>
          <w:rStyle w:val="80"/>
          <w:rFonts w:hint="default"/>
          <w:bCs/>
          <w:color w:val="auto"/>
          <w:sz w:val="21"/>
          <w:szCs w:val="21"/>
          <w:highlight w:val="none"/>
        </w:rPr>
      </w:pPr>
      <w:r>
        <w:rPr>
          <w:rStyle w:val="80"/>
          <w:rFonts w:hint="default"/>
          <w:bCs/>
          <w:color w:val="auto"/>
          <w:sz w:val="21"/>
          <w:szCs w:val="21"/>
          <w:highlight w:val="none"/>
        </w:rPr>
        <w:t>全费用单价分析表(清单)另附。</w:t>
      </w:r>
    </w:p>
    <w:p w14:paraId="41BCBB63">
      <w:pPr>
        <w:snapToGrid w:val="0"/>
        <w:spacing w:line="360" w:lineRule="auto"/>
        <w:jc w:val="center"/>
        <w:outlineLvl w:val="0"/>
        <w:rPr>
          <w:rStyle w:val="80"/>
          <w:rFonts w:hint="default"/>
          <w:bCs/>
          <w:color w:val="auto"/>
          <w:sz w:val="28"/>
          <w:szCs w:val="28"/>
          <w:highlight w:val="none"/>
        </w:rPr>
      </w:pPr>
      <w:r>
        <w:rPr>
          <w:rStyle w:val="80"/>
          <w:rFonts w:hint="default"/>
          <w:bCs/>
          <w:color w:val="auto"/>
          <w:sz w:val="28"/>
          <w:szCs w:val="28"/>
          <w:highlight w:val="none"/>
        </w:rPr>
        <w:br w:type="page"/>
      </w:r>
      <w:r>
        <w:rPr>
          <w:rStyle w:val="80"/>
          <w:rFonts w:hint="default"/>
          <w:bCs/>
          <w:color w:val="auto"/>
          <w:sz w:val="28"/>
          <w:szCs w:val="28"/>
          <w:highlight w:val="none"/>
        </w:rPr>
        <w:t>第四章  评审方法和程序</w:t>
      </w:r>
    </w:p>
    <w:p w14:paraId="59403F0A">
      <w:pPr>
        <w:snapToGrid w:val="0"/>
        <w:spacing w:line="360" w:lineRule="auto"/>
        <w:ind w:firstLine="422" w:firstLineChars="200"/>
        <w:outlineLvl w:val="1"/>
        <w:rPr>
          <w:rFonts w:hint="eastAsia" w:ascii="宋体" w:hAnsi="宋体"/>
          <w:b/>
          <w:color w:val="auto"/>
          <w:kern w:val="0"/>
          <w:szCs w:val="21"/>
          <w:highlight w:val="none"/>
        </w:rPr>
      </w:pPr>
      <w:r>
        <w:rPr>
          <w:rFonts w:ascii="宋体" w:hAnsi="宋体"/>
          <w:b/>
          <w:color w:val="auto"/>
          <w:kern w:val="0"/>
          <w:szCs w:val="21"/>
          <w:highlight w:val="none"/>
        </w:rPr>
        <w:t>一、采购人委托招标代理机构组织招标</w:t>
      </w:r>
    </w:p>
    <w:p w14:paraId="7B979ACA">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投标供应商的法定代表人或被授权人须持</w:t>
      </w:r>
      <w:r>
        <w:rPr>
          <w:rFonts w:hint="eastAsia" w:ascii="宋体" w:hAnsi="宋体"/>
          <w:color w:val="auto"/>
          <w:kern w:val="0"/>
          <w:szCs w:val="21"/>
          <w:highlight w:val="none"/>
        </w:rPr>
        <w:t>本人</w:t>
      </w:r>
      <w:r>
        <w:rPr>
          <w:rFonts w:ascii="宋体" w:hAnsi="宋体"/>
          <w:color w:val="auto"/>
          <w:kern w:val="0"/>
          <w:szCs w:val="21"/>
          <w:highlight w:val="none"/>
        </w:rPr>
        <w:t>身份证</w:t>
      </w:r>
      <w:r>
        <w:rPr>
          <w:rFonts w:hint="eastAsia" w:ascii="宋体" w:hAnsi="宋体"/>
          <w:color w:val="auto"/>
          <w:kern w:val="0"/>
          <w:szCs w:val="21"/>
          <w:highlight w:val="none"/>
        </w:rPr>
        <w:t>原件</w:t>
      </w:r>
      <w:r>
        <w:rPr>
          <w:rFonts w:ascii="宋体" w:hAnsi="宋体"/>
          <w:color w:val="auto"/>
          <w:kern w:val="0"/>
          <w:szCs w:val="21"/>
          <w:highlight w:val="none"/>
        </w:rPr>
        <w:t>准时参加投标会。</w:t>
      </w:r>
    </w:p>
    <w:p w14:paraId="61423ED8">
      <w:pPr>
        <w:snapToGrid w:val="0"/>
        <w:spacing w:line="360" w:lineRule="auto"/>
        <w:ind w:firstLine="422" w:firstLineChars="200"/>
        <w:outlineLvl w:val="1"/>
        <w:rPr>
          <w:rFonts w:hint="eastAsia" w:ascii="宋体" w:hAnsi="宋体"/>
          <w:b/>
          <w:color w:val="auto"/>
          <w:kern w:val="0"/>
          <w:szCs w:val="21"/>
          <w:highlight w:val="none"/>
        </w:rPr>
      </w:pPr>
      <w:r>
        <w:rPr>
          <w:rFonts w:ascii="宋体" w:hAnsi="宋体"/>
          <w:b/>
          <w:color w:val="auto"/>
          <w:kern w:val="0"/>
          <w:szCs w:val="21"/>
          <w:highlight w:val="none"/>
        </w:rPr>
        <w:t>二、评标委员会</w:t>
      </w:r>
    </w:p>
    <w:p w14:paraId="195EBF1B">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w:t>
      </w:r>
      <w:r>
        <w:rPr>
          <w:rFonts w:ascii="宋体" w:hAnsi="宋体"/>
          <w:color w:val="auto"/>
          <w:kern w:val="0"/>
          <w:szCs w:val="21"/>
          <w:highlight w:val="none"/>
        </w:rPr>
        <w:t>评标委员会负责具体的评标事务，并独立履行以下职责：</w:t>
      </w:r>
    </w:p>
    <w:p w14:paraId="3926D6C0">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① 审查</w:t>
      </w:r>
      <w:r>
        <w:rPr>
          <w:rFonts w:hint="eastAsia" w:ascii="宋体" w:hAnsi="宋体"/>
          <w:color w:val="auto"/>
          <w:kern w:val="0"/>
          <w:szCs w:val="21"/>
          <w:highlight w:val="none"/>
          <w:lang w:eastAsia="zh-CN"/>
        </w:rPr>
        <w:t>响应文件</w:t>
      </w:r>
      <w:r>
        <w:rPr>
          <w:rFonts w:ascii="宋体" w:hAnsi="宋体"/>
          <w:color w:val="auto"/>
          <w:kern w:val="0"/>
          <w:szCs w:val="21"/>
          <w:highlight w:val="none"/>
        </w:rPr>
        <w:t>是否符合</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的要求，并做出评价；</w:t>
      </w:r>
    </w:p>
    <w:p w14:paraId="5A05AD28">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② 可以要求投标供应商对</w:t>
      </w:r>
      <w:r>
        <w:rPr>
          <w:rFonts w:hint="eastAsia" w:ascii="宋体" w:hAnsi="宋体"/>
          <w:color w:val="auto"/>
          <w:kern w:val="0"/>
          <w:szCs w:val="21"/>
          <w:highlight w:val="none"/>
          <w:lang w:eastAsia="zh-CN"/>
        </w:rPr>
        <w:t>响应文件</w:t>
      </w:r>
      <w:r>
        <w:rPr>
          <w:rFonts w:ascii="宋体" w:hAnsi="宋体"/>
          <w:color w:val="auto"/>
          <w:kern w:val="0"/>
          <w:szCs w:val="21"/>
          <w:highlight w:val="none"/>
        </w:rPr>
        <w:t>有关事项做出解释或澄清；</w:t>
      </w:r>
    </w:p>
    <w:p w14:paraId="750EF7D1">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③ 推荐中标候选人或按次序排列的中标候选人名单；</w:t>
      </w:r>
    </w:p>
    <w:p w14:paraId="49CE4F3A">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w:t>
      </w:r>
      <w:r>
        <w:rPr>
          <w:rFonts w:ascii="宋体" w:hAnsi="宋体"/>
          <w:color w:val="auto"/>
          <w:kern w:val="0"/>
          <w:szCs w:val="21"/>
          <w:highlight w:val="none"/>
        </w:rPr>
        <w:t>评标委员会成员应当履行下列义务：</w:t>
      </w:r>
    </w:p>
    <w:p w14:paraId="6A7BFA3B">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① 遵纪守法，客观、公正、廉洁地履行职责；</w:t>
      </w:r>
    </w:p>
    <w:p w14:paraId="28250976">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② 按照</w:t>
      </w:r>
      <w:r>
        <w:rPr>
          <w:rFonts w:hint="eastAsia" w:ascii="宋体" w:hAnsi="宋体"/>
          <w:color w:val="auto"/>
          <w:kern w:val="0"/>
          <w:szCs w:val="21"/>
          <w:highlight w:val="none"/>
          <w:lang w:eastAsia="zh-CN"/>
        </w:rPr>
        <w:t>采购文件</w:t>
      </w:r>
      <w:r>
        <w:rPr>
          <w:rFonts w:ascii="宋体" w:hAnsi="宋体"/>
          <w:color w:val="auto"/>
          <w:kern w:val="0"/>
          <w:szCs w:val="21"/>
          <w:highlight w:val="none"/>
        </w:rPr>
        <w:t>规定的评标办法和评标标准进行评标，对评审意见承担个人责任；</w:t>
      </w:r>
    </w:p>
    <w:p w14:paraId="0B356CF8">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③ 对评标过程和结果，以及投标供应商的商业秘密保密；</w:t>
      </w:r>
    </w:p>
    <w:p w14:paraId="6D71C8AF">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④ 配合相关部门的投诉处理工作；</w:t>
      </w:r>
    </w:p>
    <w:p w14:paraId="70E1950B">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⑤ 配合采购人答复投标供应商提出的质疑。</w:t>
      </w:r>
    </w:p>
    <w:p w14:paraId="391E3FBB">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公开招标开标后，直到公示项目成交结果发出中标通知书并授予中标</w:t>
      </w:r>
      <w:r>
        <w:rPr>
          <w:rFonts w:hint="eastAsia" w:ascii="宋体" w:hAnsi="宋体"/>
          <w:color w:val="auto"/>
          <w:kern w:val="0"/>
          <w:szCs w:val="21"/>
          <w:highlight w:val="none"/>
        </w:rPr>
        <w:t>人</w:t>
      </w:r>
      <w:r>
        <w:rPr>
          <w:rFonts w:ascii="宋体" w:hAnsi="宋体"/>
          <w:color w:val="auto"/>
          <w:kern w:val="0"/>
          <w:szCs w:val="21"/>
          <w:highlight w:val="none"/>
        </w:rPr>
        <w:t>合同为止，凡属于评审、澄清、评价和比较投标的所有资料及有关授予合同等的相关信息，都不应向投标供应商或与评标无关的其他人泄露。</w:t>
      </w:r>
    </w:p>
    <w:p w14:paraId="29E1DE8C">
      <w:pPr>
        <w:adjustRightInd w:val="0"/>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4</w:t>
      </w:r>
      <w:r>
        <w:rPr>
          <w:rFonts w:hint="eastAsia" w:ascii="宋体" w:hAnsi="宋体"/>
          <w:color w:val="auto"/>
          <w:kern w:val="0"/>
          <w:szCs w:val="21"/>
          <w:highlight w:val="none"/>
        </w:rPr>
        <w:t>.</w:t>
      </w:r>
      <w:r>
        <w:rPr>
          <w:rFonts w:ascii="宋体" w:hAnsi="宋体"/>
          <w:color w:val="auto"/>
          <w:kern w:val="0"/>
          <w:szCs w:val="21"/>
          <w:highlight w:val="none"/>
        </w:rPr>
        <w:t>在</w:t>
      </w:r>
      <w:r>
        <w:rPr>
          <w:rFonts w:hint="eastAsia" w:ascii="宋体" w:hAnsi="宋体"/>
          <w:color w:val="auto"/>
          <w:kern w:val="0"/>
          <w:szCs w:val="21"/>
          <w:highlight w:val="none"/>
          <w:lang w:eastAsia="zh-CN"/>
        </w:rPr>
        <w:t>响应文件</w:t>
      </w:r>
      <w:r>
        <w:rPr>
          <w:rFonts w:ascii="宋体" w:hAnsi="宋体"/>
          <w:color w:val="auto"/>
          <w:kern w:val="0"/>
          <w:szCs w:val="21"/>
          <w:highlight w:val="none"/>
        </w:rPr>
        <w:t>的评审、澄清、评价和比较以及授予合同的过程中，投标供应商对采购人和评标委员会成员有施加影响的任何行为，都将取消其中标资格。</w:t>
      </w:r>
    </w:p>
    <w:p w14:paraId="07AF132C">
      <w:pPr>
        <w:snapToGrid w:val="0"/>
        <w:spacing w:line="360" w:lineRule="auto"/>
        <w:ind w:firstLine="422" w:firstLineChars="200"/>
        <w:outlineLvl w:val="1"/>
        <w:rPr>
          <w:rFonts w:hint="eastAsia" w:ascii="宋体" w:hAnsi="宋体"/>
          <w:b/>
          <w:color w:val="auto"/>
          <w:kern w:val="0"/>
          <w:szCs w:val="21"/>
          <w:highlight w:val="none"/>
        </w:rPr>
      </w:pPr>
      <w:r>
        <w:rPr>
          <w:rFonts w:ascii="宋体" w:hAnsi="宋体"/>
          <w:b/>
          <w:color w:val="auto"/>
          <w:kern w:val="0"/>
          <w:szCs w:val="21"/>
          <w:highlight w:val="none"/>
        </w:rPr>
        <w:t>三、评审原则</w:t>
      </w:r>
    </w:p>
    <w:p w14:paraId="56954D96">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w:t>
      </w:r>
      <w:r>
        <w:rPr>
          <w:rFonts w:ascii="宋体" w:hAnsi="宋体"/>
          <w:color w:val="auto"/>
          <w:kern w:val="0"/>
          <w:szCs w:val="21"/>
          <w:highlight w:val="none"/>
        </w:rPr>
        <w:t>本项目采用</w:t>
      </w:r>
      <w:r>
        <w:rPr>
          <w:rFonts w:ascii="宋体" w:hAnsi="宋体"/>
          <w:color w:val="auto"/>
          <w:kern w:val="0"/>
          <w:szCs w:val="21"/>
          <w:highlight w:val="none"/>
          <w:u w:val="single"/>
        </w:rPr>
        <w:t xml:space="preserve">  </w:t>
      </w:r>
      <w:r>
        <w:rPr>
          <w:rFonts w:ascii="宋体" w:hAnsi="宋体"/>
          <w:b/>
          <w:color w:val="auto"/>
          <w:kern w:val="0"/>
          <w:szCs w:val="21"/>
          <w:highlight w:val="none"/>
          <w:u w:val="single"/>
        </w:rPr>
        <w:t>综合评分法</w:t>
      </w:r>
      <w:r>
        <w:rPr>
          <w:rFonts w:ascii="宋体" w:hAnsi="宋体"/>
          <w:color w:val="auto"/>
          <w:kern w:val="0"/>
          <w:szCs w:val="21"/>
          <w:highlight w:val="none"/>
          <w:u w:val="single"/>
        </w:rPr>
        <w:t xml:space="preserve">  </w:t>
      </w:r>
      <w:r>
        <w:rPr>
          <w:rFonts w:ascii="宋体" w:hAnsi="宋体"/>
          <w:color w:val="auto"/>
          <w:kern w:val="0"/>
          <w:szCs w:val="21"/>
          <w:highlight w:val="none"/>
        </w:rPr>
        <w:t>，即指在最大限度地满足</w:t>
      </w:r>
      <w:r>
        <w:rPr>
          <w:rFonts w:hint="eastAsia" w:ascii="宋体" w:hAnsi="宋体"/>
          <w:color w:val="auto"/>
          <w:kern w:val="0"/>
          <w:szCs w:val="21"/>
          <w:highlight w:val="none"/>
          <w:lang w:eastAsia="zh-CN"/>
        </w:rPr>
        <w:t>采购文件</w:t>
      </w:r>
      <w:r>
        <w:rPr>
          <w:rFonts w:ascii="宋体" w:hAnsi="宋体"/>
          <w:color w:val="auto"/>
          <w:kern w:val="0"/>
          <w:szCs w:val="21"/>
          <w:highlight w:val="none"/>
        </w:rPr>
        <w:t>实质性要求的前提下，按照本</w:t>
      </w:r>
      <w:r>
        <w:rPr>
          <w:rFonts w:hint="eastAsia" w:ascii="宋体" w:hAnsi="宋体"/>
          <w:color w:val="auto"/>
          <w:kern w:val="0"/>
          <w:szCs w:val="21"/>
          <w:highlight w:val="none"/>
          <w:lang w:eastAsia="zh-CN"/>
        </w:rPr>
        <w:t>采购文件</w:t>
      </w:r>
      <w:r>
        <w:rPr>
          <w:rFonts w:ascii="宋体" w:hAnsi="宋体"/>
          <w:color w:val="auto"/>
          <w:kern w:val="0"/>
          <w:szCs w:val="21"/>
          <w:highlight w:val="none"/>
        </w:rPr>
        <w:t>中规定的评标办法和评分标准及其他各项因素进行综合评审后，评标委员会按照得分从高到底的顺序推荐</w:t>
      </w:r>
      <w:r>
        <w:rPr>
          <w:rFonts w:hint="eastAsia" w:ascii="宋体" w:hAnsi="宋体"/>
          <w:color w:val="auto"/>
          <w:kern w:val="0"/>
          <w:szCs w:val="21"/>
          <w:highlight w:val="none"/>
        </w:rPr>
        <w:t>各标段</w:t>
      </w:r>
      <w:r>
        <w:rPr>
          <w:rFonts w:ascii="宋体" w:hAnsi="宋体"/>
          <w:color w:val="auto"/>
          <w:kern w:val="0"/>
          <w:szCs w:val="21"/>
          <w:highlight w:val="none"/>
        </w:rPr>
        <w:t>中标候选人</w:t>
      </w:r>
      <w:r>
        <w:rPr>
          <w:rFonts w:hint="eastAsia" w:ascii="宋体" w:hAnsi="宋体"/>
          <w:color w:val="auto"/>
          <w:kern w:val="0"/>
          <w:szCs w:val="21"/>
          <w:highlight w:val="none"/>
        </w:rPr>
        <w:t>。</w:t>
      </w:r>
    </w:p>
    <w:p w14:paraId="2A732049">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w:t>
      </w:r>
      <w:r>
        <w:rPr>
          <w:rFonts w:ascii="宋体" w:hAnsi="宋体"/>
          <w:color w:val="auto"/>
          <w:kern w:val="0"/>
          <w:szCs w:val="21"/>
          <w:highlight w:val="none"/>
        </w:rPr>
        <w:t>由评标委员会对资格审查合格的投标供应商所提供的技术标</w:t>
      </w:r>
      <w:r>
        <w:rPr>
          <w:rFonts w:hint="eastAsia" w:ascii="宋体" w:hAnsi="宋体"/>
          <w:color w:val="auto"/>
          <w:kern w:val="0"/>
          <w:szCs w:val="21"/>
          <w:highlight w:val="none"/>
        </w:rPr>
        <w:t>、价格标</w:t>
      </w:r>
      <w:r>
        <w:rPr>
          <w:rFonts w:ascii="宋体" w:hAnsi="宋体"/>
          <w:color w:val="auto"/>
          <w:kern w:val="0"/>
          <w:szCs w:val="21"/>
          <w:highlight w:val="none"/>
        </w:rPr>
        <w:t>进行</w:t>
      </w:r>
      <w:r>
        <w:rPr>
          <w:rFonts w:hint="eastAsia" w:ascii="宋体" w:hAnsi="宋体"/>
          <w:color w:val="auto"/>
          <w:kern w:val="0"/>
          <w:szCs w:val="21"/>
          <w:highlight w:val="none"/>
        </w:rPr>
        <w:t>打分</w:t>
      </w:r>
      <w:r>
        <w:rPr>
          <w:rFonts w:ascii="宋体" w:hAnsi="宋体"/>
          <w:color w:val="auto"/>
          <w:kern w:val="0"/>
          <w:szCs w:val="21"/>
          <w:highlight w:val="none"/>
        </w:rPr>
        <w:t>。</w:t>
      </w:r>
    </w:p>
    <w:p w14:paraId="0E72C86E">
      <w:pPr>
        <w:snapToGrid w:val="0"/>
        <w:spacing w:line="360" w:lineRule="auto"/>
        <w:ind w:firstLine="424" w:firstLineChars="202"/>
        <w:rPr>
          <w:rFonts w:hint="default" w:eastAsia="楷体_GB2312"/>
          <w:color w:val="auto"/>
          <w:highlight w:val="none"/>
          <w:lang w:val="en-US" w:eastAsia="zh-CN"/>
        </w:rPr>
      </w:pP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评标委员会对</w:t>
      </w:r>
      <w:r>
        <w:rPr>
          <w:rFonts w:hint="eastAsia" w:ascii="宋体" w:hAnsi="宋体"/>
          <w:color w:val="auto"/>
          <w:kern w:val="0"/>
          <w:szCs w:val="21"/>
          <w:highlight w:val="none"/>
          <w:lang w:eastAsia="zh-CN"/>
        </w:rPr>
        <w:t>响应文件</w:t>
      </w:r>
      <w:r>
        <w:rPr>
          <w:rFonts w:ascii="宋体" w:hAnsi="宋体"/>
          <w:color w:val="auto"/>
          <w:kern w:val="0"/>
          <w:szCs w:val="21"/>
          <w:highlight w:val="none"/>
        </w:rPr>
        <w:t>的判定，只依据投标内容本身，不依靠开标后的任何外来证明。</w:t>
      </w:r>
    </w:p>
    <w:p w14:paraId="602B036E">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四、评审方法</w:t>
      </w:r>
    </w:p>
    <w:p w14:paraId="4F36D702">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w:t>
      </w:r>
      <w:r>
        <w:rPr>
          <w:rFonts w:ascii="宋体" w:hAnsi="宋体"/>
          <w:color w:val="auto"/>
          <w:kern w:val="0"/>
          <w:szCs w:val="21"/>
          <w:highlight w:val="none"/>
        </w:rPr>
        <w:t>评标程序：</w:t>
      </w:r>
    </w:p>
    <w:p w14:paraId="48F5B577">
      <w:pPr>
        <w:snapToGrid w:val="0"/>
        <w:spacing w:line="360" w:lineRule="auto"/>
        <w:ind w:firstLine="426" w:firstLineChars="202"/>
        <w:rPr>
          <w:rFonts w:hint="eastAsia" w:ascii="宋体" w:hAnsi="宋体"/>
          <w:b/>
          <w:color w:val="auto"/>
          <w:kern w:val="0"/>
          <w:szCs w:val="21"/>
          <w:highlight w:val="none"/>
        </w:rPr>
      </w:pPr>
      <w:r>
        <w:rPr>
          <w:rFonts w:ascii="宋体" w:hAnsi="宋体"/>
          <w:b/>
          <w:color w:val="auto"/>
          <w:kern w:val="0"/>
          <w:szCs w:val="21"/>
          <w:highlight w:val="none"/>
        </w:rPr>
        <w:t>资格审查</w:t>
      </w:r>
      <w:r>
        <w:rPr>
          <w:rFonts w:hint="eastAsia" w:ascii="宋体" w:hAnsi="宋体"/>
          <w:b/>
          <w:color w:val="auto"/>
          <w:kern w:val="0"/>
          <w:szCs w:val="21"/>
          <w:highlight w:val="none"/>
        </w:rPr>
        <w:t>→</w:t>
      </w:r>
      <w:r>
        <w:rPr>
          <w:rFonts w:ascii="宋体" w:hAnsi="宋体"/>
          <w:b/>
          <w:color w:val="auto"/>
          <w:kern w:val="0"/>
          <w:szCs w:val="21"/>
          <w:highlight w:val="none"/>
        </w:rPr>
        <w:t>技术标评审</w:t>
      </w:r>
      <w:r>
        <w:rPr>
          <w:rFonts w:hint="eastAsia" w:ascii="宋体" w:hAnsi="宋体"/>
          <w:b/>
          <w:color w:val="auto"/>
          <w:kern w:val="0"/>
          <w:szCs w:val="21"/>
          <w:highlight w:val="none"/>
        </w:rPr>
        <w:t>→一标段价格标开标及评审→确定一标段中标候选人→二标段价格标开标及评审→确定二标段中标候选人→三标段价格标开标及评审→确定三标段中标候选人→四标段价格标开标及评审→确定四标段中标候选人→五标段价格标开标及评审→确定五标段中标候选人</w:t>
      </w:r>
      <w:r>
        <w:rPr>
          <w:rFonts w:ascii="宋体" w:hAnsi="宋体"/>
          <w:b/>
          <w:color w:val="auto"/>
          <w:kern w:val="0"/>
          <w:szCs w:val="21"/>
          <w:highlight w:val="none"/>
        </w:rPr>
        <w:t>。</w:t>
      </w:r>
    </w:p>
    <w:p w14:paraId="44221961">
      <w:pPr>
        <w:snapToGrid w:val="0"/>
        <w:spacing w:line="360" w:lineRule="auto"/>
        <w:ind w:firstLine="424" w:firstLineChars="202"/>
        <w:rPr>
          <w:rFonts w:hint="eastAsia"/>
          <w:color w:val="auto"/>
          <w:highlight w:val="none"/>
        </w:rPr>
      </w:pPr>
      <w:r>
        <w:rPr>
          <w:rFonts w:ascii="宋体" w:hAnsi="宋体"/>
          <w:color w:val="auto"/>
          <w:kern w:val="0"/>
          <w:szCs w:val="21"/>
          <w:highlight w:val="none"/>
        </w:rPr>
        <w:t>本次资格审查采用资格后审，各投标供应商资格审查通过后方能进入评标程序。先评审技术标，技术标打分结束后再评审价格标。</w:t>
      </w:r>
    </w:p>
    <w:p w14:paraId="519F0C5B">
      <w:pPr>
        <w:snapToGrid w:val="0"/>
        <w:spacing w:line="360" w:lineRule="auto"/>
        <w:ind w:firstLine="424" w:firstLineChars="202"/>
        <w:rPr>
          <w:rFonts w:hint="default" w:ascii="宋体" w:hAnsi="宋体" w:eastAsiaTheme="minorEastAsia"/>
          <w:color w:val="auto"/>
          <w:kern w:val="0"/>
          <w:szCs w:val="21"/>
          <w:highlight w:val="none"/>
          <w:lang w:val="en-US" w:eastAsia="zh-CN"/>
        </w:rPr>
      </w:pPr>
      <w:r>
        <w:rPr>
          <w:rFonts w:hint="eastAsia" w:ascii="宋体" w:hAnsi="宋体"/>
          <w:color w:val="auto"/>
          <w:kern w:val="0"/>
          <w:szCs w:val="21"/>
          <w:highlight w:val="none"/>
          <w:lang w:val="en-US" w:eastAsia="zh-CN"/>
        </w:rPr>
        <w:t>各标段参与价格标评审的供应商须满足3家及以上，若有标段参与价格标评审的供应商不足3家，则该标段作流标处理，依法重新招标。</w:t>
      </w:r>
    </w:p>
    <w:p w14:paraId="06424F6A">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w:t>
      </w:r>
      <w:r>
        <w:rPr>
          <w:rFonts w:ascii="宋体" w:hAnsi="宋体"/>
          <w:color w:val="auto"/>
          <w:kern w:val="0"/>
          <w:szCs w:val="21"/>
          <w:highlight w:val="none"/>
        </w:rPr>
        <w:t>评标委员会将仅对按本</w:t>
      </w:r>
      <w:r>
        <w:rPr>
          <w:rFonts w:hint="eastAsia" w:ascii="宋体" w:hAnsi="宋体"/>
          <w:color w:val="auto"/>
          <w:kern w:val="0"/>
          <w:szCs w:val="21"/>
          <w:highlight w:val="none"/>
          <w:lang w:eastAsia="zh-CN"/>
        </w:rPr>
        <w:t>采购文件</w:t>
      </w:r>
      <w:r>
        <w:rPr>
          <w:rFonts w:ascii="宋体" w:hAnsi="宋体"/>
          <w:color w:val="auto"/>
          <w:kern w:val="0"/>
          <w:szCs w:val="21"/>
          <w:highlight w:val="none"/>
        </w:rPr>
        <w:t>载明的方法与规定，为实质上响应</w:t>
      </w:r>
      <w:r>
        <w:rPr>
          <w:rFonts w:hint="eastAsia" w:ascii="宋体" w:hAnsi="宋体"/>
          <w:color w:val="auto"/>
          <w:kern w:val="0"/>
          <w:szCs w:val="21"/>
          <w:highlight w:val="none"/>
          <w:lang w:eastAsia="zh-CN"/>
        </w:rPr>
        <w:t>采购文件</w:t>
      </w:r>
      <w:r>
        <w:rPr>
          <w:rFonts w:ascii="宋体" w:hAnsi="宋体"/>
          <w:color w:val="auto"/>
          <w:kern w:val="0"/>
          <w:szCs w:val="21"/>
          <w:highlight w:val="none"/>
        </w:rPr>
        <w:t>要求的</w:t>
      </w:r>
      <w:r>
        <w:rPr>
          <w:rFonts w:hint="eastAsia" w:ascii="宋体" w:hAnsi="宋体"/>
          <w:color w:val="auto"/>
          <w:kern w:val="0"/>
          <w:szCs w:val="21"/>
          <w:highlight w:val="none"/>
          <w:lang w:eastAsia="zh-CN"/>
        </w:rPr>
        <w:t>响应文件</w:t>
      </w:r>
      <w:r>
        <w:rPr>
          <w:rFonts w:ascii="宋体" w:hAnsi="宋体"/>
          <w:color w:val="auto"/>
          <w:kern w:val="0"/>
          <w:szCs w:val="21"/>
          <w:highlight w:val="none"/>
        </w:rPr>
        <w:t>评审并进行评价和比较。</w:t>
      </w:r>
    </w:p>
    <w:p w14:paraId="6CCB4B34">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本次项目的技术标和</w:t>
      </w:r>
      <w:r>
        <w:rPr>
          <w:rFonts w:hint="eastAsia" w:ascii="宋体" w:hAnsi="宋体"/>
          <w:color w:val="auto"/>
          <w:kern w:val="0"/>
          <w:szCs w:val="21"/>
          <w:highlight w:val="none"/>
        </w:rPr>
        <w:t>价格</w:t>
      </w:r>
      <w:r>
        <w:rPr>
          <w:rFonts w:ascii="宋体" w:hAnsi="宋体"/>
          <w:color w:val="auto"/>
          <w:kern w:val="0"/>
          <w:szCs w:val="21"/>
          <w:highlight w:val="none"/>
        </w:rPr>
        <w:t>标评审总分值为100分。两部分评审因素比重如下：</w:t>
      </w:r>
    </w:p>
    <w:p w14:paraId="27A53A2C">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技术标分值占总分值的比重为</w:t>
      </w:r>
      <w:r>
        <w:rPr>
          <w:rFonts w:hint="eastAsia" w:ascii="宋体" w:hAnsi="宋体"/>
          <w:color w:val="auto"/>
          <w:kern w:val="0"/>
          <w:szCs w:val="21"/>
          <w:highlight w:val="none"/>
          <w:u w:val="single"/>
        </w:rPr>
        <w:t>70</w:t>
      </w:r>
      <w:r>
        <w:rPr>
          <w:rFonts w:ascii="宋体" w:hAnsi="宋体"/>
          <w:color w:val="auto"/>
          <w:kern w:val="0"/>
          <w:szCs w:val="21"/>
          <w:highlight w:val="none"/>
          <w:u w:val="single"/>
        </w:rPr>
        <w:t>%</w:t>
      </w:r>
      <w:r>
        <w:rPr>
          <w:rFonts w:ascii="宋体" w:hAnsi="宋体"/>
          <w:color w:val="auto"/>
          <w:kern w:val="0"/>
          <w:szCs w:val="21"/>
          <w:highlight w:val="none"/>
        </w:rPr>
        <w:t>（权重）（四舍五入保留两位小数）；</w:t>
      </w:r>
    </w:p>
    <w:p w14:paraId="36A26408">
      <w:pPr>
        <w:snapToGrid w:val="0"/>
        <w:spacing w:line="360" w:lineRule="auto"/>
        <w:ind w:firstLine="424" w:firstLineChars="202"/>
        <w:rPr>
          <w:rFonts w:hint="eastAsia" w:ascii="宋体" w:hAnsi="宋体"/>
          <w:color w:val="auto"/>
          <w:kern w:val="0"/>
          <w:szCs w:val="21"/>
          <w:highlight w:val="none"/>
        </w:rPr>
      </w:pPr>
      <w:r>
        <w:rPr>
          <w:rFonts w:hint="eastAsia" w:ascii="宋体" w:hAnsi="宋体"/>
          <w:color w:val="auto"/>
          <w:kern w:val="0"/>
          <w:szCs w:val="21"/>
          <w:highlight w:val="none"/>
        </w:rPr>
        <w:t>价格标</w:t>
      </w:r>
      <w:r>
        <w:rPr>
          <w:rFonts w:ascii="宋体" w:hAnsi="宋体"/>
          <w:color w:val="auto"/>
          <w:kern w:val="0"/>
          <w:szCs w:val="21"/>
          <w:highlight w:val="none"/>
        </w:rPr>
        <w:t>分值占总分值的比重为</w:t>
      </w:r>
      <w:r>
        <w:rPr>
          <w:rFonts w:hint="eastAsia" w:ascii="宋体" w:hAnsi="宋体"/>
          <w:color w:val="auto"/>
          <w:kern w:val="0"/>
          <w:szCs w:val="21"/>
          <w:highlight w:val="none"/>
          <w:u w:val="single"/>
        </w:rPr>
        <w:t>30</w:t>
      </w:r>
      <w:r>
        <w:rPr>
          <w:rFonts w:ascii="宋体" w:hAnsi="宋体"/>
          <w:color w:val="auto"/>
          <w:kern w:val="0"/>
          <w:szCs w:val="21"/>
          <w:highlight w:val="none"/>
          <w:u w:val="single"/>
        </w:rPr>
        <w:t>%</w:t>
      </w:r>
      <w:r>
        <w:rPr>
          <w:rFonts w:ascii="宋体" w:hAnsi="宋体"/>
          <w:color w:val="auto"/>
          <w:kern w:val="0"/>
          <w:szCs w:val="21"/>
          <w:highlight w:val="none"/>
        </w:rPr>
        <w:t>（权重）（四舍五入保留两位小数）；</w:t>
      </w:r>
    </w:p>
    <w:p w14:paraId="5A3FA513">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4</w:t>
      </w:r>
      <w:r>
        <w:rPr>
          <w:rFonts w:hint="eastAsia" w:ascii="宋体" w:hAnsi="宋体"/>
          <w:color w:val="auto"/>
          <w:kern w:val="0"/>
          <w:szCs w:val="21"/>
          <w:highlight w:val="none"/>
        </w:rPr>
        <w:t>.</w:t>
      </w:r>
      <w:r>
        <w:rPr>
          <w:rFonts w:ascii="宋体" w:hAnsi="宋体"/>
          <w:color w:val="auto"/>
          <w:kern w:val="0"/>
          <w:szCs w:val="21"/>
          <w:highlight w:val="none"/>
        </w:rPr>
        <w:t>评标委员会严格按照</w:t>
      </w:r>
      <w:r>
        <w:rPr>
          <w:rFonts w:hint="eastAsia" w:ascii="宋体" w:hAnsi="宋体"/>
          <w:color w:val="auto"/>
          <w:kern w:val="0"/>
          <w:szCs w:val="21"/>
          <w:highlight w:val="none"/>
          <w:lang w:eastAsia="zh-CN"/>
        </w:rPr>
        <w:t>采购文件</w:t>
      </w:r>
      <w:r>
        <w:rPr>
          <w:rFonts w:ascii="宋体" w:hAnsi="宋体"/>
          <w:color w:val="auto"/>
          <w:kern w:val="0"/>
          <w:szCs w:val="21"/>
          <w:highlight w:val="none"/>
        </w:rPr>
        <w:t>的要求、条件、评分标准，对投标供应商</w:t>
      </w:r>
      <w:r>
        <w:rPr>
          <w:rFonts w:hint="eastAsia" w:ascii="宋体" w:hAnsi="宋体"/>
          <w:color w:val="auto"/>
          <w:kern w:val="0"/>
          <w:szCs w:val="21"/>
          <w:highlight w:val="none"/>
        </w:rPr>
        <w:t>的技术标</w:t>
      </w:r>
      <w:r>
        <w:rPr>
          <w:rFonts w:ascii="宋体" w:hAnsi="宋体"/>
          <w:color w:val="auto"/>
          <w:kern w:val="0"/>
          <w:szCs w:val="21"/>
          <w:highlight w:val="none"/>
        </w:rPr>
        <w:t>进行比较。</w:t>
      </w:r>
    </w:p>
    <w:p w14:paraId="4E0AC314">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5</w:t>
      </w:r>
      <w:r>
        <w:rPr>
          <w:rFonts w:hint="eastAsia" w:ascii="宋体" w:hAnsi="宋体"/>
          <w:color w:val="auto"/>
          <w:kern w:val="0"/>
          <w:szCs w:val="21"/>
          <w:highlight w:val="none"/>
        </w:rPr>
        <w:t>.</w:t>
      </w:r>
      <w:r>
        <w:rPr>
          <w:rFonts w:ascii="宋体" w:hAnsi="宋体"/>
          <w:color w:val="auto"/>
          <w:kern w:val="0"/>
          <w:szCs w:val="21"/>
          <w:highlight w:val="none"/>
        </w:rPr>
        <w:t>评标委员会各成员独立对每个进入打分程序的有效投标供应商的技术标以打分的形式进行评审和评价，</w:t>
      </w:r>
      <w:r>
        <w:rPr>
          <w:rFonts w:ascii="宋体" w:hAnsi="宋体"/>
          <w:b/>
          <w:bCs/>
          <w:color w:val="auto"/>
          <w:kern w:val="0"/>
          <w:szCs w:val="21"/>
          <w:highlight w:val="none"/>
        </w:rPr>
        <w:t>技术标分值为所有评委评分的算数平均值（计算结果均四舍五入保留两位小数）</w:t>
      </w:r>
      <w:r>
        <w:rPr>
          <w:rFonts w:ascii="宋体" w:hAnsi="宋体"/>
          <w:color w:val="auto"/>
          <w:kern w:val="0"/>
          <w:szCs w:val="21"/>
          <w:highlight w:val="none"/>
        </w:rPr>
        <w:t>。</w:t>
      </w:r>
    </w:p>
    <w:p w14:paraId="05C0A379">
      <w:pPr>
        <w:snapToGrid w:val="0"/>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6</w:t>
      </w:r>
      <w:r>
        <w:rPr>
          <w:rFonts w:hint="eastAsia" w:ascii="宋体" w:hAnsi="宋体"/>
          <w:color w:val="auto"/>
          <w:kern w:val="0"/>
          <w:szCs w:val="21"/>
          <w:highlight w:val="none"/>
        </w:rPr>
        <w:t>.</w:t>
      </w:r>
      <w:r>
        <w:rPr>
          <w:rFonts w:ascii="宋体" w:hAnsi="宋体"/>
          <w:color w:val="auto"/>
          <w:kern w:val="0"/>
          <w:szCs w:val="21"/>
          <w:highlight w:val="none"/>
        </w:rPr>
        <w:t>技术部分评审结束后，开启投标供应商的价格标，投标供应商的价格标得分直接计算取得，</w:t>
      </w:r>
      <w:r>
        <w:rPr>
          <w:rFonts w:ascii="宋体" w:hAnsi="宋体"/>
          <w:b/>
          <w:bCs/>
          <w:color w:val="auto"/>
          <w:kern w:val="0"/>
          <w:szCs w:val="21"/>
          <w:highlight w:val="none"/>
        </w:rPr>
        <w:t>与技术标得分相加为投标供应商的综合得分（计算结果均四舍五入保留两位小数）</w:t>
      </w:r>
      <w:r>
        <w:rPr>
          <w:rFonts w:ascii="宋体" w:hAnsi="宋体"/>
          <w:color w:val="auto"/>
          <w:kern w:val="0"/>
          <w:szCs w:val="21"/>
          <w:highlight w:val="none"/>
        </w:rPr>
        <w:t>。</w:t>
      </w:r>
    </w:p>
    <w:p w14:paraId="26E9CF01">
      <w:pPr>
        <w:snapToGrid w:val="0"/>
        <w:spacing w:line="360" w:lineRule="auto"/>
        <w:ind w:firstLine="422" w:firstLineChars="200"/>
        <w:outlineLvl w:val="1"/>
        <w:rPr>
          <w:rFonts w:hint="eastAsia" w:ascii="宋体" w:hAnsi="宋体"/>
          <w:b/>
          <w:color w:val="auto"/>
          <w:szCs w:val="21"/>
          <w:highlight w:val="none"/>
        </w:rPr>
      </w:pPr>
      <w:bookmarkStart w:id="17" w:name="_Toc14794"/>
      <w:bookmarkStart w:id="18" w:name="_Toc40256465"/>
      <w:r>
        <w:rPr>
          <w:rFonts w:ascii="宋体" w:hAnsi="宋体"/>
          <w:b/>
          <w:color w:val="auto"/>
          <w:kern w:val="0"/>
          <w:szCs w:val="21"/>
          <w:highlight w:val="none"/>
        </w:rPr>
        <w:t>五、评审因素和评分标准</w:t>
      </w:r>
      <w:bookmarkEnd w:id="17"/>
      <w:bookmarkEnd w:id="18"/>
    </w:p>
    <w:p w14:paraId="3C555083">
      <w:pPr>
        <w:spacing w:line="360" w:lineRule="auto"/>
        <w:ind w:firstLine="422" w:firstLineChars="200"/>
        <w:rPr>
          <w:rFonts w:hint="default" w:ascii="宋体" w:hAnsi="宋体" w:eastAsiaTheme="minorEastAsia"/>
          <w:b/>
          <w:bCs/>
          <w:color w:val="auto"/>
          <w:szCs w:val="21"/>
          <w:highlight w:val="none"/>
          <w:lang w:val="en-US" w:eastAsia="zh-CN"/>
        </w:rPr>
      </w:pPr>
      <w:r>
        <w:rPr>
          <w:rFonts w:hint="eastAsia" w:ascii="宋体" w:hAnsi="宋体"/>
          <w:b/>
          <w:bCs/>
          <w:color w:val="auto"/>
          <w:szCs w:val="21"/>
          <w:highlight w:val="none"/>
        </w:rPr>
        <w:t>1.</w:t>
      </w:r>
      <w:r>
        <w:rPr>
          <w:rFonts w:ascii="宋体" w:hAnsi="宋体"/>
          <w:b/>
          <w:bCs/>
          <w:color w:val="auto"/>
          <w:szCs w:val="21"/>
          <w:highlight w:val="none"/>
        </w:rPr>
        <w:t>技术标（</w:t>
      </w:r>
      <w:r>
        <w:rPr>
          <w:rFonts w:hint="eastAsia" w:ascii="宋体" w:hAnsi="宋体"/>
          <w:b/>
          <w:bCs/>
          <w:color w:val="auto"/>
          <w:szCs w:val="21"/>
          <w:highlight w:val="none"/>
        </w:rPr>
        <w:t>满分70</w:t>
      </w:r>
      <w:r>
        <w:rPr>
          <w:rFonts w:ascii="宋体" w:hAnsi="宋体"/>
          <w:b/>
          <w:bCs/>
          <w:color w:val="auto"/>
          <w:szCs w:val="21"/>
          <w:highlight w:val="none"/>
        </w:rPr>
        <w:t>分）</w:t>
      </w:r>
      <w:r>
        <w:rPr>
          <w:rFonts w:hint="eastAsia" w:ascii="宋体" w:hAnsi="宋体"/>
          <w:b/>
          <w:bCs/>
          <w:color w:val="auto"/>
          <w:szCs w:val="21"/>
          <w:highlight w:val="none"/>
          <w:lang w:eastAsia="zh-CN"/>
        </w:rPr>
        <w:t>（</w:t>
      </w:r>
      <w:r>
        <w:rPr>
          <w:rFonts w:hint="eastAsia" w:ascii="宋体" w:hAnsi="宋体"/>
          <w:b/>
          <w:bCs/>
          <w:color w:val="auto"/>
          <w:szCs w:val="21"/>
          <w:highlight w:val="none"/>
          <w:lang w:val="en-US" w:eastAsia="zh-CN"/>
        </w:rPr>
        <w:t>不分标段）</w:t>
      </w:r>
    </w:p>
    <w:tbl>
      <w:tblPr>
        <w:tblStyle w:val="25"/>
        <w:tblW w:w="4995" w:type="pct"/>
        <w:tblInd w:w="0" w:type="dxa"/>
        <w:tblLayout w:type="autofit"/>
        <w:tblCellMar>
          <w:top w:w="0" w:type="dxa"/>
          <w:left w:w="108" w:type="dxa"/>
          <w:bottom w:w="0" w:type="dxa"/>
          <w:right w:w="108" w:type="dxa"/>
        </w:tblCellMar>
      </w:tblPr>
      <w:tblGrid>
        <w:gridCol w:w="744"/>
        <w:gridCol w:w="2176"/>
        <w:gridCol w:w="940"/>
        <w:gridCol w:w="5588"/>
      </w:tblGrid>
      <w:tr w14:paraId="5C479AFA">
        <w:tblPrEx>
          <w:tblCellMar>
            <w:top w:w="0" w:type="dxa"/>
            <w:left w:w="108" w:type="dxa"/>
            <w:bottom w:w="0" w:type="dxa"/>
            <w:right w:w="108" w:type="dxa"/>
          </w:tblCellMar>
        </w:tblPrEx>
        <w:trPr>
          <w:trHeight w:val="90" w:hRule="atLeast"/>
          <w:tblHeader/>
        </w:trPr>
        <w:tc>
          <w:tcPr>
            <w:tcW w:w="394" w:type="pct"/>
            <w:tcBorders>
              <w:top w:val="single" w:color="auto" w:sz="4" w:space="0"/>
              <w:left w:val="single" w:color="auto" w:sz="4" w:space="0"/>
              <w:bottom w:val="single" w:color="auto" w:sz="4" w:space="0"/>
              <w:right w:val="single" w:color="auto" w:sz="4" w:space="0"/>
            </w:tcBorders>
            <w:vAlign w:val="center"/>
          </w:tcPr>
          <w:p w14:paraId="7B883A90">
            <w:pPr>
              <w:spacing w:line="340" w:lineRule="exact"/>
              <w:ind w:left="-4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序号</w:t>
            </w:r>
          </w:p>
        </w:tc>
        <w:tc>
          <w:tcPr>
            <w:tcW w:w="1151" w:type="pct"/>
            <w:tcBorders>
              <w:top w:val="single" w:color="auto" w:sz="4" w:space="0"/>
              <w:left w:val="nil"/>
              <w:bottom w:val="single" w:color="auto" w:sz="4" w:space="0"/>
              <w:right w:val="single" w:color="auto" w:sz="4" w:space="0"/>
            </w:tcBorders>
            <w:vAlign w:val="center"/>
          </w:tcPr>
          <w:p w14:paraId="06EF8101">
            <w:pPr>
              <w:spacing w:line="340" w:lineRule="exact"/>
              <w:ind w:left="-4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评审项目</w:t>
            </w:r>
          </w:p>
        </w:tc>
        <w:tc>
          <w:tcPr>
            <w:tcW w:w="497" w:type="pct"/>
            <w:tcBorders>
              <w:top w:val="single" w:color="auto" w:sz="4" w:space="0"/>
              <w:left w:val="nil"/>
              <w:bottom w:val="single" w:color="auto" w:sz="4" w:space="0"/>
              <w:right w:val="single" w:color="auto" w:sz="4" w:space="0"/>
            </w:tcBorders>
            <w:vAlign w:val="center"/>
          </w:tcPr>
          <w:p w14:paraId="08D3734B">
            <w:pPr>
              <w:spacing w:line="340" w:lineRule="exact"/>
              <w:ind w:left="-4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分值</w:t>
            </w:r>
          </w:p>
        </w:tc>
        <w:tc>
          <w:tcPr>
            <w:tcW w:w="2956" w:type="pct"/>
            <w:tcBorders>
              <w:top w:val="single" w:color="auto" w:sz="4" w:space="0"/>
              <w:left w:val="nil"/>
              <w:bottom w:val="single" w:color="auto" w:sz="4" w:space="0"/>
              <w:right w:val="single" w:color="auto" w:sz="4" w:space="0"/>
            </w:tcBorders>
            <w:vAlign w:val="center"/>
          </w:tcPr>
          <w:p w14:paraId="40B7ACCE">
            <w:pPr>
              <w:spacing w:line="340" w:lineRule="exact"/>
              <w:ind w:left="-40"/>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评分标准</w:t>
            </w:r>
          </w:p>
        </w:tc>
      </w:tr>
      <w:tr w14:paraId="1A9A4F28">
        <w:tblPrEx>
          <w:tblCellMar>
            <w:top w:w="0" w:type="dxa"/>
            <w:left w:w="108" w:type="dxa"/>
            <w:bottom w:w="0" w:type="dxa"/>
            <w:right w:w="108" w:type="dxa"/>
          </w:tblCellMar>
        </w:tblPrEx>
        <w:trPr>
          <w:trHeight w:val="2401" w:hRule="atLeast"/>
        </w:trPr>
        <w:tc>
          <w:tcPr>
            <w:tcW w:w="394" w:type="pct"/>
            <w:tcBorders>
              <w:top w:val="single" w:color="auto" w:sz="4" w:space="0"/>
              <w:left w:val="single" w:color="auto" w:sz="4" w:space="0"/>
              <w:bottom w:val="single" w:color="auto" w:sz="4" w:space="0"/>
              <w:right w:val="single" w:color="auto" w:sz="4" w:space="0"/>
            </w:tcBorders>
            <w:vAlign w:val="center"/>
          </w:tcPr>
          <w:p w14:paraId="4CE209E9">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1</w:t>
            </w:r>
          </w:p>
        </w:tc>
        <w:tc>
          <w:tcPr>
            <w:tcW w:w="1151" w:type="pct"/>
            <w:tcBorders>
              <w:top w:val="single" w:color="auto" w:sz="4" w:space="0"/>
              <w:left w:val="nil"/>
              <w:bottom w:val="single" w:color="auto" w:sz="4" w:space="0"/>
              <w:right w:val="single" w:color="auto" w:sz="4" w:space="0"/>
            </w:tcBorders>
            <w:vAlign w:val="center"/>
          </w:tcPr>
          <w:p w14:paraId="0D54D5BC">
            <w:pPr>
              <w:widowControl/>
              <w:spacing w:line="34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巡查管理作业方案</w:t>
            </w:r>
          </w:p>
        </w:tc>
        <w:tc>
          <w:tcPr>
            <w:tcW w:w="497" w:type="pct"/>
            <w:tcBorders>
              <w:top w:val="single" w:color="auto" w:sz="4" w:space="0"/>
              <w:left w:val="nil"/>
              <w:bottom w:val="single" w:color="auto" w:sz="4" w:space="0"/>
              <w:right w:val="single" w:color="auto" w:sz="4" w:space="0"/>
            </w:tcBorders>
            <w:vAlign w:val="center"/>
          </w:tcPr>
          <w:p w14:paraId="316755F3">
            <w:pPr>
              <w:widowControl/>
              <w:spacing w:line="34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8分</w:t>
            </w:r>
          </w:p>
        </w:tc>
        <w:tc>
          <w:tcPr>
            <w:tcW w:w="2956" w:type="pct"/>
            <w:tcBorders>
              <w:top w:val="single" w:color="auto" w:sz="4" w:space="0"/>
              <w:left w:val="nil"/>
              <w:bottom w:val="single" w:color="auto" w:sz="4" w:space="0"/>
              <w:right w:val="single" w:color="auto" w:sz="4" w:space="0"/>
            </w:tcBorders>
            <w:vAlign w:val="center"/>
          </w:tcPr>
          <w:p w14:paraId="4D66B529">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1、根据制定的巡查作业计划的合理性针对性可操作性进行横向比较，本项最高得1分。</w:t>
            </w:r>
          </w:p>
          <w:p w14:paraId="32CF287C">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2、配置相应的巡查人员：配置2名巡查人员得3分，每增加1名人员再得0.5分，最高再得1分，配置少于2人的不得分。本项最高得4分。</w:t>
            </w:r>
          </w:p>
          <w:p w14:paraId="6E784676">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3、巡查人员有建筑工程类专业技术职称或建筑工程类证书的，有1名人员得0.5分，本项最高得1分。</w:t>
            </w:r>
          </w:p>
          <w:p w14:paraId="0D0A52A3">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4、雨天或者遇极端天气，必须配备2辆投标单位自有的汽车，满足本项条件得2分，不满足者不得分。</w:t>
            </w:r>
          </w:p>
          <w:p w14:paraId="5303BB65">
            <w:pPr>
              <w:widowControl/>
              <w:spacing w:line="340" w:lineRule="exact"/>
              <w:jc w:val="left"/>
              <w:rPr>
                <w:rFonts w:hint="eastAsia" w:ascii="宋体" w:hAnsi="宋体" w:cs="宋体"/>
                <w:color w:val="auto"/>
                <w:kern w:val="0"/>
                <w:sz w:val="21"/>
                <w:szCs w:val="21"/>
                <w:highlight w:val="none"/>
              </w:rPr>
            </w:pPr>
            <w:r>
              <w:rPr>
                <w:rFonts w:hint="eastAsia" w:ascii="宋体" w:hAnsi="宋体" w:cs="宋体"/>
                <w:b/>
                <w:bCs/>
                <w:color w:val="auto"/>
                <w:kern w:val="0"/>
                <w:sz w:val="21"/>
                <w:szCs w:val="21"/>
                <w:highlight w:val="none"/>
                <w:u w:val="single" w:color="FF0000"/>
              </w:rPr>
              <w:t>注：以上机械设备、车辆，须提供车辆提供车辆登记证书、行驶证（含首页照片）复印件或扫描件及实物照片（车辆前后左右4张照片复印件）</w:t>
            </w:r>
            <w:r>
              <w:rPr>
                <w:rFonts w:hint="eastAsia" w:ascii="宋体" w:hAnsi="宋体" w:cs="宋体"/>
                <w:b/>
                <w:bCs/>
                <w:color w:val="auto"/>
                <w:kern w:val="0"/>
                <w:sz w:val="21"/>
                <w:szCs w:val="21"/>
                <w:highlight w:val="none"/>
                <w:u w:val="wavyHeavy" w:color="FF0000"/>
              </w:rPr>
              <w:t>。</w:t>
            </w:r>
          </w:p>
        </w:tc>
      </w:tr>
      <w:tr w14:paraId="37C5D392">
        <w:tblPrEx>
          <w:tblCellMar>
            <w:top w:w="0" w:type="dxa"/>
            <w:left w:w="108" w:type="dxa"/>
            <w:bottom w:w="0" w:type="dxa"/>
            <w:right w:w="108" w:type="dxa"/>
          </w:tblCellMar>
        </w:tblPrEx>
        <w:trPr>
          <w:trHeight w:val="2038" w:hRule="atLeast"/>
        </w:trPr>
        <w:tc>
          <w:tcPr>
            <w:tcW w:w="394" w:type="pct"/>
            <w:tcBorders>
              <w:top w:val="single" w:color="auto" w:sz="4" w:space="0"/>
              <w:left w:val="single" w:color="auto" w:sz="4" w:space="0"/>
              <w:bottom w:val="single" w:color="auto" w:sz="4" w:space="0"/>
              <w:right w:val="single" w:color="auto" w:sz="4" w:space="0"/>
            </w:tcBorders>
            <w:vAlign w:val="center"/>
          </w:tcPr>
          <w:p w14:paraId="2C955F95">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w:t>
            </w:r>
          </w:p>
        </w:tc>
        <w:tc>
          <w:tcPr>
            <w:tcW w:w="1151" w:type="pct"/>
            <w:tcBorders>
              <w:top w:val="single" w:color="auto" w:sz="4" w:space="0"/>
              <w:left w:val="nil"/>
              <w:bottom w:val="single" w:color="auto" w:sz="4" w:space="0"/>
              <w:right w:val="single" w:color="auto" w:sz="4" w:space="0"/>
            </w:tcBorders>
            <w:vAlign w:val="center"/>
          </w:tcPr>
          <w:p w14:paraId="308D8919">
            <w:pPr>
              <w:widowControl/>
              <w:spacing w:line="340" w:lineRule="exact"/>
              <w:jc w:val="center"/>
              <w:rPr>
                <w:rFonts w:hint="default" w:ascii="宋体" w:hAnsi="宋体" w:cs="宋体" w:eastAsiaTheme="minorEastAsia"/>
                <w:color w:val="auto"/>
                <w:sz w:val="21"/>
                <w:szCs w:val="21"/>
                <w:highlight w:val="none"/>
                <w:lang w:val="en-US" w:eastAsia="zh-CN"/>
              </w:rPr>
            </w:pPr>
            <w:r>
              <w:rPr>
                <w:rFonts w:hint="eastAsia" w:ascii="宋体" w:hAnsi="宋体" w:cs="宋体"/>
                <w:color w:val="auto"/>
                <w:kern w:val="0"/>
                <w:sz w:val="21"/>
                <w:szCs w:val="21"/>
                <w:highlight w:val="none"/>
              </w:rPr>
              <w:t>养护维修管理作业方案</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现场照片如下）</w:t>
            </w:r>
          </w:p>
        </w:tc>
        <w:tc>
          <w:tcPr>
            <w:tcW w:w="497" w:type="pct"/>
            <w:tcBorders>
              <w:top w:val="single" w:color="auto" w:sz="4" w:space="0"/>
              <w:left w:val="nil"/>
              <w:bottom w:val="single" w:color="auto" w:sz="4" w:space="0"/>
              <w:right w:val="single" w:color="auto" w:sz="4" w:space="0"/>
            </w:tcBorders>
            <w:vAlign w:val="center"/>
          </w:tcPr>
          <w:p w14:paraId="3354B9A1">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8</w:t>
            </w:r>
            <w:r>
              <w:rPr>
                <w:rFonts w:hint="eastAsia" w:ascii="宋体" w:hAnsi="宋体" w:cs="宋体"/>
                <w:color w:val="auto"/>
                <w:sz w:val="21"/>
                <w:szCs w:val="21"/>
                <w:highlight w:val="none"/>
              </w:rPr>
              <w:t>分</w:t>
            </w:r>
          </w:p>
        </w:tc>
        <w:tc>
          <w:tcPr>
            <w:tcW w:w="2956" w:type="pct"/>
            <w:tcBorders>
              <w:top w:val="single" w:color="auto" w:sz="4" w:space="0"/>
              <w:left w:val="nil"/>
              <w:bottom w:val="single" w:color="auto" w:sz="4" w:space="0"/>
              <w:right w:val="single" w:color="auto" w:sz="4" w:space="0"/>
            </w:tcBorders>
            <w:vAlign w:val="center"/>
          </w:tcPr>
          <w:p w14:paraId="4EA814B8">
            <w:pPr>
              <w:widowControl/>
              <w:numPr>
                <w:ilvl w:val="0"/>
                <w:numId w:val="0"/>
              </w:numPr>
              <w:spacing w:line="340" w:lineRule="exact"/>
              <w:jc w:val="left"/>
              <w:rPr>
                <w:rFonts w:hint="default" w:ascii="宋体" w:hAnsi="宋体" w:cs="宋体" w:eastAsiaTheme="minorEastAsia"/>
                <w:color w:val="auto"/>
                <w:kern w:val="0"/>
                <w:sz w:val="21"/>
                <w:szCs w:val="21"/>
                <w:highlight w:val="none"/>
                <w:lang w:val="en-US" w:eastAsia="zh-CN"/>
              </w:rPr>
            </w:pPr>
            <w:r>
              <w:rPr>
                <w:rFonts w:hint="eastAsia" w:ascii="宋体" w:hAnsi="宋体" w:cs="宋体"/>
                <w:color w:val="auto"/>
                <w:kern w:val="0"/>
                <w:sz w:val="21"/>
                <w:szCs w:val="21"/>
                <w:highlight w:val="none"/>
              </w:rPr>
              <w:t>以永扬路（深南路口-深南路口南80m）为例，永扬路按南北方向考虑，维修主要工程量：整幅路面拆除原结构层，新建22 cm水泥稳定砂石+6cmAC-20沥青砼+4cmAC-13沥青砼，半幅施工，同时，距离菜场一侧路牙</w:t>
            </w:r>
            <w:r>
              <w:rPr>
                <w:rFonts w:hint="eastAsia" w:ascii="宋体" w:hAnsi="宋体" w:cs="宋体"/>
                <w:color w:val="auto"/>
                <w:kern w:val="0"/>
                <w:sz w:val="21"/>
                <w:szCs w:val="21"/>
                <w:highlight w:val="none"/>
                <w:lang w:val="en-US" w:eastAsia="zh-CN"/>
              </w:rPr>
              <w:t>约</w:t>
            </w:r>
            <w:r>
              <w:rPr>
                <w:rFonts w:hint="eastAsia" w:ascii="宋体" w:hAnsi="宋体" w:cs="宋体"/>
                <w:color w:val="auto"/>
                <w:kern w:val="0"/>
                <w:sz w:val="21"/>
                <w:szCs w:val="21"/>
                <w:highlight w:val="none"/>
              </w:rPr>
              <w:t>1m处的管道施工已结束，留有</w:t>
            </w:r>
            <w:r>
              <w:rPr>
                <w:rFonts w:hint="eastAsia" w:ascii="宋体" w:hAnsi="宋体" w:cs="宋体"/>
                <w:color w:val="auto"/>
                <w:kern w:val="0"/>
                <w:sz w:val="21"/>
                <w:szCs w:val="21"/>
                <w:highlight w:val="none"/>
                <w:lang w:val="en-US" w:eastAsia="zh-CN"/>
              </w:rPr>
              <w:t>宽50cm*</w:t>
            </w:r>
            <w:r>
              <w:rPr>
                <w:rFonts w:hint="eastAsia" w:ascii="宋体" w:hAnsi="宋体" w:cs="宋体"/>
                <w:color w:val="auto"/>
                <w:kern w:val="0"/>
                <w:sz w:val="21"/>
                <w:szCs w:val="21"/>
                <w:highlight w:val="none"/>
              </w:rPr>
              <w:t>深66cm的沟槽（</w:t>
            </w:r>
            <w:r>
              <w:rPr>
                <w:rFonts w:hint="eastAsia" w:ascii="宋体" w:hAnsi="宋体" w:cs="宋体"/>
                <w:color w:val="auto"/>
                <w:kern w:val="0"/>
                <w:sz w:val="21"/>
                <w:szCs w:val="21"/>
                <w:highlight w:val="none"/>
                <w:lang w:val="en-US" w:eastAsia="zh-CN"/>
              </w:rPr>
              <w:t>需</w:t>
            </w:r>
            <w:r>
              <w:rPr>
                <w:rFonts w:hint="eastAsia" w:ascii="宋体" w:hAnsi="宋体" w:cs="宋体"/>
                <w:color w:val="auto"/>
                <w:kern w:val="0"/>
                <w:sz w:val="21"/>
                <w:szCs w:val="21"/>
                <w:highlight w:val="none"/>
              </w:rPr>
              <w:t>回填4%水泥土回填至新建结构层底标高）。施工时间为5-6月份，须结合现场实际情况。</w:t>
            </w:r>
          </w:p>
          <w:p w14:paraId="22218740">
            <w:pPr>
              <w:widowControl/>
              <w:numPr>
                <w:ilvl w:val="0"/>
                <w:numId w:val="3"/>
              </w:numPr>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养护维修管理方案，最高得</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分；</w:t>
            </w:r>
          </w:p>
          <w:p w14:paraId="6D49A14D">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养护维修质量</w:t>
            </w:r>
            <w:r>
              <w:rPr>
                <w:rFonts w:hint="eastAsia" w:ascii="宋体" w:hAnsi="宋体" w:cs="宋体"/>
                <w:color w:val="auto"/>
                <w:kern w:val="0"/>
                <w:sz w:val="21"/>
                <w:szCs w:val="21"/>
                <w:highlight w:val="none"/>
                <w:lang w:val="en-US" w:eastAsia="zh-CN"/>
              </w:rPr>
              <w:t>管理</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安全管理保证措施针对性强、可操作性强的，最高得</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分；</w:t>
            </w:r>
          </w:p>
          <w:p w14:paraId="0862B01A">
            <w:pPr>
              <w:widowControl/>
              <w:spacing w:line="340" w:lineRule="exact"/>
              <w:jc w:val="left"/>
              <w:rPr>
                <w:rFonts w:hint="eastAsia"/>
                <w:color w:val="auto"/>
                <w:sz w:val="21"/>
                <w:szCs w:val="21"/>
                <w:highlight w:val="none"/>
                <w:lang w:eastAsia="zh-CN"/>
              </w:rPr>
            </w:pPr>
            <w:r>
              <w:rPr>
                <w:rFonts w:hint="eastAsia" w:ascii="宋体" w:hAnsi="宋体" w:cs="宋体"/>
                <w:color w:val="auto"/>
                <w:kern w:val="0"/>
                <w:sz w:val="21"/>
                <w:szCs w:val="21"/>
                <w:highlight w:val="none"/>
                <w:lang w:val="en-US" w:eastAsia="zh-CN" w:bidi="ar-SA"/>
              </w:rPr>
              <w:t>3、</w:t>
            </w:r>
            <w:r>
              <w:rPr>
                <w:rFonts w:hint="eastAsia" w:ascii="宋体" w:hAnsi="宋体" w:cs="宋体" w:eastAsiaTheme="minorEastAsia"/>
                <w:color w:val="auto"/>
                <w:kern w:val="0"/>
                <w:sz w:val="21"/>
                <w:szCs w:val="21"/>
                <w:highlight w:val="none"/>
                <w:lang w:val="en-US" w:eastAsia="zh-CN" w:bidi="ar-SA"/>
              </w:rPr>
              <w:t>养护维修其他方面的相关措施</w:t>
            </w:r>
            <w:r>
              <w:rPr>
                <w:rFonts w:hint="eastAsia" w:ascii="宋体" w:hAnsi="宋体" w:cs="宋体"/>
                <w:color w:val="auto"/>
                <w:kern w:val="0"/>
                <w:sz w:val="21"/>
                <w:szCs w:val="21"/>
                <w:highlight w:val="none"/>
              </w:rPr>
              <w:t>针对性强、可操作性强的</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最高得2分；</w:t>
            </w:r>
          </w:p>
          <w:p w14:paraId="6F575FF5">
            <w:pPr>
              <w:widowControl/>
              <w:spacing w:line="340" w:lineRule="exact"/>
              <w:jc w:val="left"/>
              <w:rPr>
                <w:color w:val="auto"/>
                <w:sz w:val="21"/>
                <w:szCs w:val="21"/>
                <w:highlight w:val="none"/>
              </w:rPr>
            </w:pPr>
            <w:r>
              <w:rPr>
                <w:rFonts w:ascii="宋体" w:hAnsi="宋体" w:cs="宋体"/>
                <w:b/>
                <w:bCs/>
                <w:color w:val="auto"/>
                <w:kern w:val="0"/>
                <w:sz w:val="21"/>
                <w:szCs w:val="21"/>
                <w:highlight w:val="none"/>
              </w:rPr>
              <w:t>内容与本项目实施方案无关或未提供的不得分</w:t>
            </w:r>
            <w:r>
              <w:rPr>
                <w:rFonts w:hint="eastAsia" w:ascii="宋体" w:hAnsi="宋体" w:cs="宋体"/>
                <w:b/>
                <w:bCs/>
                <w:color w:val="auto"/>
                <w:kern w:val="0"/>
                <w:sz w:val="21"/>
                <w:szCs w:val="21"/>
                <w:highlight w:val="none"/>
              </w:rPr>
              <w:t>。</w:t>
            </w:r>
          </w:p>
        </w:tc>
      </w:tr>
      <w:tr w14:paraId="3A5577B2">
        <w:tblPrEx>
          <w:tblCellMar>
            <w:top w:w="0" w:type="dxa"/>
            <w:left w:w="108" w:type="dxa"/>
            <w:bottom w:w="0" w:type="dxa"/>
            <w:right w:w="108" w:type="dxa"/>
          </w:tblCellMar>
        </w:tblPrEx>
        <w:trPr>
          <w:trHeight w:val="3306" w:hRule="atLeast"/>
        </w:trPr>
        <w:tc>
          <w:tcPr>
            <w:tcW w:w="394" w:type="pct"/>
            <w:tcBorders>
              <w:top w:val="single" w:color="auto" w:sz="4" w:space="0"/>
              <w:left w:val="single" w:color="auto" w:sz="4" w:space="0"/>
              <w:bottom w:val="single" w:color="auto" w:sz="4" w:space="0"/>
              <w:right w:val="single" w:color="auto" w:sz="4" w:space="0"/>
            </w:tcBorders>
            <w:vAlign w:val="center"/>
          </w:tcPr>
          <w:p w14:paraId="68BCD7B1">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3</w:t>
            </w:r>
          </w:p>
        </w:tc>
        <w:tc>
          <w:tcPr>
            <w:tcW w:w="1151" w:type="pct"/>
            <w:tcBorders>
              <w:top w:val="single" w:color="auto" w:sz="4" w:space="0"/>
              <w:left w:val="nil"/>
              <w:bottom w:val="single" w:color="auto" w:sz="4" w:space="0"/>
              <w:right w:val="single" w:color="auto" w:sz="4" w:space="0"/>
            </w:tcBorders>
            <w:vAlign w:val="center"/>
          </w:tcPr>
          <w:p w14:paraId="70C2C07D">
            <w:pPr>
              <w:widowControl/>
              <w:spacing w:line="34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各类特殊情况下的应急准备和处置措施等应急预案</w:t>
            </w:r>
          </w:p>
        </w:tc>
        <w:tc>
          <w:tcPr>
            <w:tcW w:w="497" w:type="pct"/>
            <w:tcBorders>
              <w:top w:val="single" w:color="auto" w:sz="4" w:space="0"/>
              <w:left w:val="nil"/>
              <w:bottom w:val="single" w:color="auto" w:sz="4" w:space="0"/>
              <w:right w:val="single" w:color="auto" w:sz="4" w:space="0"/>
            </w:tcBorders>
            <w:vAlign w:val="center"/>
          </w:tcPr>
          <w:p w14:paraId="7B3F58E3">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8分</w:t>
            </w:r>
          </w:p>
        </w:tc>
        <w:tc>
          <w:tcPr>
            <w:tcW w:w="2956" w:type="pct"/>
            <w:tcBorders>
              <w:top w:val="single" w:color="auto" w:sz="4" w:space="0"/>
              <w:left w:val="nil"/>
              <w:bottom w:val="single" w:color="auto" w:sz="4" w:space="0"/>
              <w:right w:val="single" w:color="auto" w:sz="4" w:space="0"/>
            </w:tcBorders>
            <w:vAlign w:val="center"/>
          </w:tcPr>
          <w:p w14:paraId="0CA35C5A">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1、道路塌陷应急准备和处置措施等应急预案科学合理的，最高得 2分；</w:t>
            </w:r>
          </w:p>
          <w:p w14:paraId="0DFED050">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2、冰雪天应急准备和处置措施等应急预案科学合理的，最高得 2分；</w:t>
            </w:r>
          </w:p>
          <w:p w14:paraId="2B82558B">
            <w:pPr>
              <w:widowControl/>
              <w:spacing w:line="340" w:lineRule="exact"/>
              <w:jc w:val="left"/>
              <w:rPr>
                <w:rFonts w:hint="eastAsia" w:ascii="宋体" w:hAnsi="宋体" w:cs="宋体"/>
                <w:color w:val="auto"/>
                <w:kern w:val="0"/>
                <w:sz w:val="21"/>
                <w:szCs w:val="21"/>
                <w:highlight w:val="none"/>
              </w:rPr>
            </w:pPr>
            <w:r>
              <w:rPr>
                <w:rFonts w:hint="eastAsia" w:ascii="宋体" w:cs="宋体"/>
                <w:color w:val="auto"/>
                <w:kern w:val="0"/>
                <w:sz w:val="21"/>
                <w:szCs w:val="21"/>
                <w:highlight w:val="none"/>
              </w:rPr>
              <w:t>3、燃气、供电、自来水等管线被破坏后的</w:t>
            </w:r>
            <w:r>
              <w:rPr>
                <w:rFonts w:hint="eastAsia" w:ascii="宋体" w:hAnsi="宋体" w:cs="宋体"/>
                <w:color w:val="auto"/>
                <w:kern w:val="0"/>
                <w:sz w:val="21"/>
                <w:szCs w:val="21"/>
                <w:highlight w:val="none"/>
              </w:rPr>
              <w:t>应急准备和处置措施等应急预案科学合理的最高得 2分；</w:t>
            </w:r>
          </w:p>
          <w:p w14:paraId="4EB88E52">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4、其他突发事件应急准备和处置措施等应急预案科学合理的，最高得 2分。</w:t>
            </w:r>
          </w:p>
          <w:p w14:paraId="3A091C0E">
            <w:pPr>
              <w:widowControl/>
              <w:spacing w:line="340" w:lineRule="exact"/>
              <w:jc w:val="left"/>
              <w:rPr>
                <w:color w:val="auto"/>
                <w:sz w:val="21"/>
                <w:szCs w:val="21"/>
                <w:highlight w:val="none"/>
              </w:rPr>
            </w:pPr>
            <w:r>
              <w:rPr>
                <w:b/>
                <w:color w:val="auto"/>
                <w:sz w:val="21"/>
                <w:szCs w:val="21"/>
                <w:highlight w:val="none"/>
              </w:rPr>
              <w:t>内容与本项目实施方案无关或未提供的不得分</w:t>
            </w:r>
            <w:r>
              <w:rPr>
                <w:rFonts w:hint="eastAsia"/>
                <w:b/>
                <w:color w:val="auto"/>
                <w:sz w:val="21"/>
                <w:szCs w:val="21"/>
                <w:highlight w:val="none"/>
              </w:rPr>
              <w:t>。</w:t>
            </w:r>
          </w:p>
          <w:p w14:paraId="29D1E50D">
            <w:pPr>
              <w:widowControl/>
              <w:spacing w:line="340" w:lineRule="exact"/>
              <w:jc w:val="left"/>
              <w:rPr>
                <w:rFonts w:hint="eastAsia" w:ascii="宋体" w:hAnsi="宋体" w:cs="宋体"/>
                <w:color w:val="auto"/>
                <w:kern w:val="0"/>
                <w:sz w:val="21"/>
                <w:szCs w:val="21"/>
                <w:highlight w:val="none"/>
              </w:rPr>
            </w:pPr>
            <w:r>
              <w:rPr>
                <w:rFonts w:hint="eastAsia" w:ascii="宋体" w:hAnsi="宋体" w:cs="宋体"/>
                <w:b/>
                <w:bCs/>
                <w:color w:val="auto"/>
                <w:kern w:val="0"/>
                <w:sz w:val="21"/>
                <w:szCs w:val="21"/>
                <w:highlight w:val="none"/>
              </w:rPr>
              <w:t>注：应急预案响应时间须承诺1个小时内到现场，否则作无效投标处理。</w:t>
            </w:r>
          </w:p>
        </w:tc>
      </w:tr>
      <w:tr w14:paraId="658CCF89">
        <w:tblPrEx>
          <w:tblCellMar>
            <w:top w:w="0" w:type="dxa"/>
            <w:left w:w="108" w:type="dxa"/>
            <w:bottom w:w="0" w:type="dxa"/>
            <w:right w:w="108" w:type="dxa"/>
          </w:tblCellMar>
        </w:tblPrEx>
        <w:trPr>
          <w:trHeight w:val="521" w:hRule="atLeast"/>
        </w:trPr>
        <w:tc>
          <w:tcPr>
            <w:tcW w:w="394" w:type="pct"/>
            <w:tcBorders>
              <w:top w:val="single" w:color="auto" w:sz="4" w:space="0"/>
              <w:left w:val="single" w:color="auto" w:sz="4" w:space="0"/>
              <w:bottom w:val="single" w:color="auto" w:sz="4" w:space="0"/>
              <w:right w:val="single" w:color="auto" w:sz="4" w:space="0"/>
            </w:tcBorders>
            <w:vAlign w:val="center"/>
          </w:tcPr>
          <w:p w14:paraId="0255965E">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4</w:t>
            </w:r>
          </w:p>
        </w:tc>
        <w:tc>
          <w:tcPr>
            <w:tcW w:w="1151" w:type="pct"/>
            <w:tcBorders>
              <w:top w:val="single" w:color="auto" w:sz="4" w:space="0"/>
              <w:left w:val="nil"/>
              <w:bottom w:val="single" w:color="auto" w:sz="4" w:space="0"/>
              <w:right w:val="single" w:color="auto" w:sz="4" w:space="0"/>
            </w:tcBorders>
            <w:vAlign w:val="center"/>
          </w:tcPr>
          <w:p w14:paraId="7EE94288">
            <w:pPr>
              <w:widowControl/>
              <w:spacing w:line="34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机械配置、道班房配置、应急设备</w:t>
            </w:r>
          </w:p>
          <w:p w14:paraId="6597B83D">
            <w:pPr>
              <w:widowControl/>
              <w:spacing w:line="34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配置</w:t>
            </w:r>
          </w:p>
        </w:tc>
        <w:tc>
          <w:tcPr>
            <w:tcW w:w="497" w:type="pct"/>
            <w:tcBorders>
              <w:top w:val="single" w:color="auto" w:sz="4" w:space="0"/>
              <w:left w:val="nil"/>
              <w:bottom w:val="single" w:color="auto" w:sz="4" w:space="0"/>
              <w:right w:val="single" w:color="auto" w:sz="4" w:space="0"/>
            </w:tcBorders>
            <w:vAlign w:val="center"/>
          </w:tcPr>
          <w:p w14:paraId="645DE612">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25分</w:t>
            </w:r>
          </w:p>
        </w:tc>
        <w:tc>
          <w:tcPr>
            <w:tcW w:w="2956" w:type="pct"/>
            <w:tcBorders>
              <w:top w:val="single" w:color="auto" w:sz="4" w:space="0"/>
              <w:left w:val="nil"/>
              <w:bottom w:val="single" w:color="auto" w:sz="4" w:space="0"/>
              <w:right w:val="single" w:color="auto" w:sz="4" w:space="0"/>
            </w:tcBorders>
            <w:vAlign w:val="center"/>
          </w:tcPr>
          <w:p w14:paraId="78130133">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1.洒水车1辆（洒水车规格：长≥5800mm、宽≥1800mm、高≥2500mm）且装有雾炮：得3分，最高得3分。</w:t>
            </w:r>
          </w:p>
          <w:p w14:paraId="3560EA1C">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2．震动压路机（1</w:t>
            </w:r>
            <w:r>
              <w:rPr>
                <w:rFonts w:hint="eastAsia" w:ascii="宋体" w:hAnsi="宋体" w:cs="宋体"/>
                <w:color w:val="auto"/>
                <w:kern w:val="0"/>
                <w:sz w:val="21"/>
                <w:szCs w:val="21"/>
                <w:highlight w:val="none"/>
                <w:lang w:val="en-US" w:eastAsia="zh-CN"/>
              </w:rPr>
              <w:t>0</w:t>
            </w:r>
            <w:r>
              <w:rPr>
                <w:rFonts w:hint="eastAsia" w:ascii="宋体" w:hAnsi="宋体" w:cs="宋体"/>
                <w:color w:val="auto"/>
                <w:kern w:val="0"/>
                <w:sz w:val="21"/>
                <w:szCs w:val="21"/>
                <w:highlight w:val="none"/>
              </w:rPr>
              <w:t>吨及以上）1台：得2分，最高得2分。</w:t>
            </w:r>
          </w:p>
          <w:p w14:paraId="145A1775">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3．钢轮压路机1台（10吨及以上）：得2分，最高得2分。</w:t>
            </w:r>
          </w:p>
          <w:p w14:paraId="75E59073">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4．自带吸尘装置混凝土路面切缝机（非手持式且自带吸尘装置、切缝深度不小于10cm）1台：得2分，最高得2分。 </w:t>
            </w:r>
          </w:p>
          <w:p w14:paraId="7A1FF354">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 xml:space="preserve">5．沥青铣刨机1台：得2分，最高得2分。 </w:t>
            </w:r>
          </w:p>
          <w:p w14:paraId="14D115A9">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6．沥青路面热再生修补车1台：得2分，最高得2分。</w:t>
            </w:r>
          </w:p>
          <w:p w14:paraId="70F3B454">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7．风镐2台：1台得1分，最高得2分。</w:t>
            </w:r>
          </w:p>
          <w:p w14:paraId="4E33E29D">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8．自带动力水泵（4KW及以上）2台：1台得2分，最高得4分。</w:t>
            </w:r>
          </w:p>
          <w:p w14:paraId="065556D4">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9．装载机（</w:t>
            </w:r>
            <w:r>
              <w:rPr>
                <w:rFonts w:hint="eastAsia" w:ascii="宋体" w:hAnsi="宋体" w:cs="宋体"/>
                <w:color w:val="auto"/>
                <w:kern w:val="0"/>
                <w:sz w:val="21"/>
                <w:szCs w:val="21"/>
                <w:highlight w:val="none"/>
                <w:lang w:val="en-US" w:eastAsia="zh-CN"/>
              </w:rPr>
              <w:t>1.5</w:t>
            </w:r>
            <w:r>
              <w:rPr>
                <w:rFonts w:hint="eastAsia" w:ascii="宋体" w:hAnsi="宋体" w:cs="宋体"/>
                <w:color w:val="auto"/>
                <w:kern w:val="0"/>
                <w:sz w:val="21"/>
                <w:szCs w:val="21"/>
                <w:highlight w:val="none"/>
              </w:rPr>
              <w:t>吨及以上）：1台得1分，最高得2分。</w:t>
            </w:r>
          </w:p>
          <w:p w14:paraId="51D87F06">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10.移动水表1台：得2分，须提供</w:t>
            </w:r>
            <w:r>
              <w:rPr>
                <w:rFonts w:hint="eastAsia" w:ascii="宋体" w:hAnsi="宋体" w:eastAsia="宋体" w:cs="宋体"/>
                <w:kern w:val="0"/>
                <w:sz w:val="21"/>
                <w:szCs w:val="21"/>
                <w:highlight w:val="none"/>
              </w:rPr>
              <w:t>①</w:t>
            </w:r>
            <w:r>
              <w:rPr>
                <w:rFonts w:hint="eastAsia" w:ascii="宋体" w:hAnsi="宋体" w:cs="宋体"/>
                <w:kern w:val="0"/>
                <w:sz w:val="21"/>
                <w:szCs w:val="21"/>
                <w:highlight w:val="none"/>
              </w:rPr>
              <w:t>南通市水务有限公司</w:t>
            </w:r>
            <w:r>
              <w:rPr>
                <w:rFonts w:hint="eastAsia" w:ascii="宋体" w:hAnsi="宋体" w:cs="宋体"/>
                <w:kern w:val="0"/>
                <w:sz w:val="21"/>
                <w:szCs w:val="21"/>
                <w:highlight w:val="none"/>
                <w:lang w:val="en-US" w:eastAsia="zh-CN"/>
              </w:rPr>
              <w:t>水表购买安装</w:t>
            </w:r>
            <w:r>
              <w:rPr>
                <w:rFonts w:hint="eastAsia" w:ascii="宋体" w:hAnsi="宋体" w:cs="宋体"/>
                <w:kern w:val="0"/>
                <w:sz w:val="21"/>
                <w:szCs w:val="21"/>
                <w:highlight w:val="none"/>
              </w:rPr>
              <w:t>合同或</w:t>
            </w:r>
            <w:r>
              <w:rPr>
                <w:rFonts w:hint="eastAsia" w:ascii="宋体" w:hAnsi="宋体" w:cs="宋体"/>
                <w:kern w:val="0"/>
                <w:sz w:val="21"/>
                <w:szCs w:val="21"/>
                <w:highlight w:val="none"/>
                <w:lang w:val="en-US" w:eastAsia="zh-CN"/>
              </w:rPr>
              <w:t>水表</w:t>
            </w:r>
            <w:r>
              <w:rPr>
                <w:rFonts w:hint="eastAsia" w:ascii="宋体" w:hAnsi="宋体" w:cs="宋体"/>
                <w:kern w:val="0"/>
                <w:sz w:val="21"/>
                <w:szCs w:val="21"/>
                <w:highlight w:val="none"/>
              </w:rPr>
              <w:t>押金收据复印件或扫描件</w:t>
            </w:r>
            <w:r>
              <w:rPr>
                <w:rFonts w:hint="eastAsia" w:ascii="宋体" w:hAnsi="宋体" w:eastAsia="宋体" w:cs="宋体"/>
                <w:kern w:val="0"/>
                <w:sz w:val="21"/>
                <w:szCs w:val="21"/>
                <w:highlight w:val="none"/>
              </w:rPr>
              <w:t>②</w:t>
            </w:r>
            <w:r>
              <w:rPr>
                <w:rFonts w:hint="eastAsia" w:ascii="宋体" w:hAnsi="宋体" w:eastAsia="宋体" w:cs="宋体"/>
                <w:kern w:val="0"/>
                <w:sz w:val="21"/>
                <w:szCs w:val="21"/>
                <w:highlight w:val="none"/>
                <w:lang w:val="en-US" w:eastAsia="zh-CN"/>
              </w:rPr>
              <w:t>本项目采购文件发布之日前</w:t>
            </w:r>
            <w:r>
              <w:rPr>
                <w:rFonts w:hint="eastAsia" w:ascii="宋体" w:hAnsi="宋体" w:cs="宋体"/>
                <w:kern w:val="0"/>
                <w:sz w:val="21"/>
                <w:szCs w:val="21"/>
                <w:highlight w:val="none"/>
              </w:rPr>
              <w:t>南通市水务有限公司</w:t>
            </w:r>
            <w:r>
              <w:rPr>
                <w:rFonts w:hint="eastAsia" w:ascii="宋体" w:hAnsi="宋体" w:cs="宋体"/>
                <w:kern w:val="0"/>
                <w:sz w:val="21"/>
                <w:szCs w:val="21"/>
                <w:highlight w:val="none"/>
                <w:lang w:val="en-US" w:eastAsia="zh-CN"/>
              </w:rPr>
              <w:t>开具的任意水费发票复印件</w:t>
            </w:r>
            <w:r>
              <w:rPr>
                <w:rFonts w:hint="eastAsia" w:ascii="宋体" w:hAnsi="宋体" w:cs="宋体"/>
                <w:color w:val="auto"/>
                <w:kern w:val="0"/>
                <w:sz w:val="21"/>
                <w:szCs w:val="21"/>
                <w:highlight w:val="none"/>
              </w:rPr>
              <w:t>，否则不得分，最高得2分。</w:t>
            </w:r>
          </w:p>
          <w:p w14:paraId="7D1AD155">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11.承诺在崇川区范围内有一处用于堆放材料或设备的场地，最高得2分。（合同签订前中标供应商需按采购人使用需求提供相应场地的产权证（租赁的提供租赁合同及产权证），否则视作放弃中标处理。）</w:t>
            </w:r>
          </w:p>
          <w:p w14:paraId="4C5E3ACF">
            <w:pPr>
              <w:widowControl/>
              <w:spacing w:line="340" w:lineRule="exact"/>
              <w:jc w:val="left"/>
              <w:rPr>
                <w:rFonts w:hint="eastAsia" w:ascii="宋体" w:hAnsi="宋体" w:cs="宋体" w:eastAsiaTheme="minorEastAsia"/>
                <w:color w:val="auto"/>
                <w:kern w:val="0"/>
                <w:sz w:val="21"/>
                <w:szCs w:val="21"/>
                <w:highlight w:val="none"/>
                <w:lang w:val="en-US" w:eastAsia="zh-CN"/>
              </w:rPr>
            </w:pPr>
            <w:r>
              <w:rPr>
                <w:rFonts w:hint="eastAsia" w:ascii="宋体" w:hAnsi="宋体" w:cs="宋体"/>
                <w:b/>
                <w:bCs/>
                <w:color w:val="auto"/>
                <w:kern w:val="0"/>
                <w:sz w:val="21"/>
                <w:szCs w:val="21"/>
                <w:highlight w:val="none"/>
                <w:u w:val="single" w:color="FF0000"/>
              </w:rPr>
              <w:t>注：以上机械设备、车辆，均须提供购买发票（发票开票日期必须在本项目</w:t>
            </w:r>
            <w:r>
              <w:rPr>
                <w:rFonts w:hint="eastAsia" w:ascii="宋体" w:hAnsi="宋体" w:cs="宋体"/>
                <w:b/>
                <w:bCs/>
                <w:color w:val="auto"/>
                <w:kern w:val="0"/>
                <w:sz w:val="21"/>
                <w:szCs w:val="21"/>
                <w:highlight w:val="none"/>
                <w:u w:val="single" w:color="FF0000"/>
                <w:lang w:eastAsia="zh-CN"/>
              </w:rPr>
              <w:t>采购文件</w:t>
            </w:r>
            <w:r>
              <w:rPr>
                <w:rFonts w:hint="eastAsia" w:ascii="宋体" w:hAnsi="宋体" w:cs="宋体"/>
                <w:b/>
                <w:bCs/>
                <w:color w:val="auto"/>
                <w:kern w:val="0"/>
                <w:sz w:val="21"/>
                <w:szCs w:val="21"/>
                <w:highlight w:val="none"/>
                <w:u w:val="single" w:color="FF0000"/>
              </w:rPr>
              <w:t>发布之前）复印件或扫描件、车辆提供车辆登记证书、行驶证（含首页照片）复印件或扫描件及实物照片（车辆前后左右4张照片复印件）</w:t>
            </w:r>
            <w:r>
              <w:rPr>
                <w:rFonts w:hint="eastAsia" w:ascii="宋体" w:hAnsi="宋体" w:cs="宋体"/>
                <w:b/>
                <w:bCs/>
                <w:color w:val="auto"/>
                <w:kern w:val="0"/>
                <w:sz w:val="21"/>
                <w:szCs w:val="21"/>
                <w:highlight w:val="none"/>
                <w:u w:val="single" w:color="FF0000"/>
                <w:lang w:eastAsia="zh-CN"/>
              </w:rPr>
              <w:t>。</w:t>
            </w:r>
          </w:p>
        </w:tc>
      </w:tr>
      <w:tr w14:paraId="52235A90">
        <w:tblPrEx>
          <w:tblCellMar>
            <w:top w:w="0" w:type="dxa"/>
            <w:left w:w="108" w:type="dxa"/>
            <w:bottom w:w="0" w:type="dxa"/>
            <w:right w:w="108" w:type="dxa"/>
          </w:tblCellMar>
        </w:tblPrEx>
        <w:trPr>
          <w:trHeight w:val="1120" w:hRule="atLeast"/>
        </w:trPr>
        <w:tc>
          <w:tcPr>
            <w:tcW w:w="394" w:type="pct"/>
            <w:tcBorders>
              <w:top w:val="single" w:color="auto" w:sz="4" w:space="0"/>
              <w:left w:val="single" w:color="auto" w:sz="4" w:space="0"/>
              <w:bottom w:val="single" w:color="auto" w:sz="4" w:space="0"/>
              <w:right w:val="single" w:color="auto" w:sz="4" w:space="0"/>
            </w:tcBorders>
            <w:vAlign w:val="center"/>
          </w:tcPr>
          <w:p w14:paraId="208D5B45">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rPr>
              <w:t>5</w:t>
            </w:r>
          </w:p>
        </w:tc>
        <w:tc>
          <w:tcPr>
            <w:tcW w:w="1151" w:type="pct"/>
            <w:tcBorders>
              <w:top w:val="single" w:color="auto" w:sz="4" w:space="0"/>
              <w:left w:val="nil"/>
              <w:bottom w:val="single" w:color="auto" w:sz="4" w:space="0"/>
              <w:right w:val="single" w:color="auto" w:sz="4" w:space="0"/>
            </w:tcBorders>
            <w:vAlign w:val="center"/>
          </w:tcPr>
          <w:p w14:paraId="02AFF19C">
            <w:pPr>
              <w:widowControl/>
              <w:spacing w:line="34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rPr>
              <w:t>项目主要管理人员配置</w:t>
            </w:r>
          </w:p>
        </w:tc>
        <w:tc>
          <w:tcPr>
            <w:tcW w:w="497" w:type="pct"/>
            <w:tcBorders>
              <w:top w:val="single" w:color="auto" w:sz="4" w:space="0"/>
              <w:left w:val="nil"/>
              <w:bottom w:val="single" w:color="auto" w:sz="4" w:space="0"/>
              <w:right w:val="single" w:color="auto" w:sz="4" w:space="0"/>
            </w:tcBorders>
            <w:vAlign w:val="center"/>
          </w:tcPr>
          <w:p w14:paraId="7720648F">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14</w:t>
            </w:r>
            <w:r>
              <w:rPr>
                <w:rFonts w:hint="eastAsia" w:ascii="宋体" w:hAnsi="宋体" w:cs="宋体"/>
                <w:color w:val="auto"/>
                <w:sz w:val="21"/>
                <w:szCs w:val="21"/>
                <w:highlight w:val="none"/>
              </w:rPr>
              <w:t>分</w:t>
            </w:r>
          </w:p>
        </w:tc>
        <w:tc>
          <w:tcPr>
            <w:tcW w:w="2956" w:type="pct"/>
            <w:tcBorders>
              <w:top w:val="single" w:color="auto" w:sz="4" w:space="0"/>
              <w:left w:val="nil"/>
              <w:bottom w:val="single" w:color="auto" w:sz="4" w:space="0"/>
              <w:right w:val="single" w:color="auto" w:sz="4" w:space="0"/>
            </w:tcBorders>
            <w:vAlign w:val="center"/>
          </w:tcPr>
          <w:p w14:paraId="65305E6C">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项目主要人员配备：</w:t>
            </w:r>
          </w:p>
          <w:p w14:paraId="3791DA34">
            <w:pPr>
              <w:widowControl/>
              <w:spacing w:line="340" w:lineRule="exact"/>
              <w:jc w:val="left"/>
              <w:rPr>
                <w:rFonts w:hint="default" w:ascii="宋体" w:hAnsi="宋体" w:cs="宋体" w:eastAsiaTheme="minorEastAsia"/>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项目技术负责人：</w:t>
            </w:r>
            <w:r>
              <w:rPr>
                <w:rFonts w:hint="eastAsia" w:ascii="宋体" w:hAnsi="宋体" w:cs="宋体"/>
                <w:color w:val="auto"/>
                <w:kern w:val="0"/>
                <w:sz w:val="21"/>
                <w:szCs w:val="21"/>
                <w:highlight w:val="none"/>
                <w:lang w:val="en-US" w:eastAsia="zh-CN"/>
              </w:rPr>
              <w:t>持有</w:t>
            </w:r>
            <w:r>
              <w:rPr>
                <w:rFonts w:hint="eastAsia" w:ascii="宋体" w:hAnsi="宋体" w:cs="宋体"/>
                <w:color w:val="auto"/>
                <w:kern w:val="0"/>
                <w:sz w:val="21"/>
                <w:szCs w:val="21"/>
                <w:highlight w:val="none"/>
              </w:rPr>
              <w:t>注册一级建造师(市政专业)得</w:t>
            </w:r>
            <w:r>
              <w:rPr>
                <w:rFonts w:ascii="宋体" w:hAnsi="宋体" w:cs="宋体"/>
                <w:color w:val="auto"/>
                <w:kern w:val="0"/>
                <w:sz w:val="21"/>
                <w:szCs w:val="21"/>
                <w:highlight w:val="none"/>
              </w:rPr>
              <w:t>2</w:t>
            </w:r>
            <w:r>
              <w:rPr>
                <w:rFonts w:hint="eastAsia" w:ascii="宋体" w:hAnsi="宋体" w:cs="宋体"/>
                <w:color w:val="auto"/>
                <w:kern w:val="0"/>
                <w:sz w:val="21"/>
                <w:szCs w:val="21"/>
                <w:highlight w:val="none"/>
              </w:rPr>
              <w:t>分，持有高级职称得2分，中级职称得1分，</w:t>
            </w:r>
            <w:r>
              <w:rPr>
                <w:rFonts w:hint="eastAsia" w:ascii="宋体" w:hAnsi="宋体" w:cs="宋体"/>
                <w:color w:val="auto"/>
                <w:kern w:val="0"/>
                <w:sz w:val="21"/>
                <w:szCs w:val="21"/>
                <w:highlight w:val="none"/>
                <w:lang w:val="en-US" w:eastAsia="zh-CN"/>
              </w:rPr>
              <w:t>本项最高得4分</w:t>
            </w:r>
            <w:r>
              <w:rPr>
                <w:rFonts w:hint="eastAsia" w:ascii="宋体" w:hAnsi="宋体" w:cs="宋体"/>
                <w:color w:val="auto"/>
                <w:kern w:val="0"/>
                <w:sz w:val="21"/>
                <w:szCs w:val="21"/>
                <w:highlight w:val="none"/>
              </w:rPr>
              <w:t>须提供相关证书、劳动合同及</w:t>
            </w:r>
            <w:r>
              <w:rPr>
                <w:rFonts w:hint="eastAsia" w:ascii="宋体" w:hAnsi="宋体" w:cs="宋体"/>
                <w:color w:val="auto"/>
                <w:kern w:val="0"/>
                <w:sz w:val="21"/>
                <w:szCs w:val="21"/>
                <w:highlight w:val="none"/>
                <w:lang w:eastAsia="zh-CN"/>
              </w:rPr>
              <w:t>投标供应商为其缴纳的自本公告发布日前近1个月的社保缴费清单。</w:t>
            </w:r>
          </w:p>
          <w:p w14:paraId="0465ADED">
            <w:pPr>
              <w:widowControl/>
              <w:spacing w:line="340" w:lineRule="exact"/>
              <w:jc w:val="left"/>
              <w:rPr>
                <w:rFonts w:hint="eastAsia" w:ascii="宋体" w:hAnsi="宋体" w:cs="宋体" w:eastAsiaTheme="minorEastAsia"/>
                <w:color w:val="auto"/>
                <w:kern w:val="0"/>
                <w:sz w:val="21"/>
                <w:szCs w:val="21"/>
                <w:highlight w:val="none"/>
                <w:lang w:val="en-US" w:eastAsia="zh-CN"/>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巡查技术人员：同时具备建筑工程类专业技术职称（助理工程师及以上）、机动车驾驶证的，每有一人得1分，本项最高得2分，须提供人员名单、职称证书、驾驶证、劳动合同及</w:t>
            </w:r>
            <w:r>
              <w:rPr>
                <w:rFonts w:hint="eastAsia" w:ascii="宋体" w:hAnsi="宋体" w:cs="宋体"/>
                <w:color w:val="auto"/>
                <w:kern w:val="0"/>
                <w:sz w:val="21"/>
                <w:szCs w:val="21"/>
                <w:highlight w:val="none"/>
                <w:lang w:eastAsia="zh-CN"/>
              </w:rPr>
              <w:t>投标供应商为其缴纳的自本公告发布日前近1个月的社保缴费清单。</w:t>
            </w:r>
          </w:p>
          <w:p w14:paraId="6092F6C3">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投标单位自有施工作业人员（购买意外伤残责任险的，</w:t>
            </w:r>
            <w:r>
              <w:rPr>
                <w:rFonts w:hint="eastAsia" w:ascii="宋体" w:hAnsi="宋体" w:cs="宋体"/>
                <w:color w:val="auto"/>
                <w:kern w:val="0"/>
                <w:sz w:val="21"/>
                <w:szCs w:val="21"/>
                <w:highlight w:val="none"/>
                <w:lang w:val="en-US" w:eastAsia="zh-CN"/>
              </w:rPr>
              <w:t>截</w:t>
            </w:r>
            <w:r>
              <w:rPr>
                <w:rFonts w:hint="eastAsia" w:ascii="宋体" w:hAnsi="宋体" w:cs="宋体"/>
                <w:color w:val="auto"/>
                <w:sz w:val="21"/>
                <w:szCs w:val="21"/>
                <w:highlight w:val="none"/>
                <w:lang w:val="en-US" w:eastAsia="zh-CN"/>
              </w:rPr>
              <w:t>止</w:t>
            </w:r>
            <w:r>
              <w:rPr>
                <w:rFonts w:hint="eastAsia" w:ascii="宋体" w:hAnsi="宋体" w:cs="宋体"/>
                <w:color w:val="auto"/>
                <w:kern w:val="0"/>
                <w:sz w:val="21"/>
                <w:szCs w:val="21"/>
                <w:highlight w:val="none"/>
              </w:rPr>
              <w:t>本公告发布日不大于63周岁）：须提供人员名单、人员身份证、劳动合同、意外伤残责任险保单及购买保险的</w:t>
            </w:r>
            <w:r>
              <w:rPr>
                <w:rFonts w:hint="eastAsia" w:ascii="宋体" w:hAnsi="宋体" w:cs="宋体"/>
                <w:color w:val="auto"/>
                <w:sz w:val="21"/>
                <w:szCs w:val="21"/>
                <w:highlight w:val="none"/>
              </w:rPr>
              <w:t>付款发票</w:t>
            </w:r>
            <w:r>
              <w:rPr>
                <w:rFonts w:hint="eastAsia" w:ascii="宋体" w:hAnsi="宋体" w:cs="宋体"/>
                <w:color w:val="auto"/>
                <w:kern w:val="0"/>
                <w:sz w:val="21"/>
                <w:szCs w:val="21"/>
                <w:highlight w:val="none"/>
              </w:rPr>
              <w:t>复印件或扫描件。</w:t>
            </w:r>
          </w:p>
          <w:p w14:paraId="33414D78">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投保期限包含</w:t>
            </w:r>
            <w:r>
              <w:rPr>
                <w:rFonts w:hint="eastAsia" w:ascii="宋体" w:hAnsi="宋体" w:cs="宋体"/>
                <w:color w:val="auto"/>
                <w:kern w:val="0"/>
                <w:sz w:val="21"/>
                <w:szCs w:val="21"/>
                <w:highlight w:val="none"/>
                <w:lang w:val="en-US" w:eastAsia="zh-CN"/>
              </w:rPr>
              <w:t>截</w:t>
            </w:r>
            <w:r>
              <w:rPr>
                <w:rFonts w:hint="eastAsia" w:ascii="宋体" w:hAnsi="宋体" w:cs="宋体"/>
                <w:color w:val="auto"/>
                <w:sz w:val="21"/>
                <w:szCs w:val="21"/>
                <w:highlight w:val="none"/>
                <w:lang w:val="en-US" w:eastAsia="zh-CN"/>
              </w:rPr>
              <w:t>止</w:t>
            </w:r>
            <w:r>
              <w:rPr>
                <w:rFonts w:hint="eastAsia" w:ascii="宋体" w:hAnsi="宋体" w:cs="宋体"/>
                <w:color w:val="auto"/>
                <w:kern w:val="0"/>
                <w:sz w:val="21"/>
                <w:szCs w:val="21"/>
                <w:highlight w:val="none"/>
              </w:rPr>
              <w:t>本公告发布日前近6个月的，每有一个养护工人得0.8分</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最高按8个人计取</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；投保期限包含</w:t>
            </w:r>
            <w:r>
              <w:rPr>
                <w:rFonts w:hint="eastAsia" w:ascii="宋体" w:hAnsi="宋体" w:cs="宋体"/>
                <w:color w:val="auto"/>
                <w:kern w:val="0"/>
                <w:sz w:val="21"/>
                <w:szCs w:val="21"/>
                <w:highlight w:val="none"/>
                <w:lang w:val="en-US" w:eastAsia="zh-CN"/>
              </w:rPr>
              <w:t>截止</w:t>
            </w:r>
            <w:r>
              <w:rPr>
                <w:rFonts w:hint="eastAsia" w:ascii="宋体" w:hAnsi="宋体" w:cs="宋体"/>
                <w:color w:val="auto"/>
                <w:kern w:val="0"/>
                <w:sz w:val="21"/>
                <w:szCs w:val="21"/>
                <w:highlight w:val="none"/>
              </w:rPr>
              <w:t>本公告发布日之后的，且承诺续保至2027年3月底的，每有一个养护工人得0.2分</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lang w:val="en-US" w:eastAsia="zh-CN"/>
              </w:rPr>
              <w:t>最高按8个人计取</w:t>
            </w:r>
            <w:r>
              <w:rPr>
                <w:rFonts w:hint="eastAsia" w:ascii="宋体" w:hAnsi="宋体" w:cs="宋体"/>
                <w:color w:val="auto"/>
                <w:kern w:val="0"/>
                <w:sz w:val="21"/>
                <w:szCs w:val="21"/>
                <w:highlight w:val="none"/>
                <w:lang w:eastAsia="zh-CN"/>
              </w:rPr>
              <w:t>）</w:t>
            </w:r>
            <w:r>
              <w:rPr>
                <w:rFonts w:hint="eastAsia" w:ascii="宋体" w:hAnsi="宋体" w:cs="宋体"/>
                <w:color w:val="auto"/>
                <w:kern w:val="0"/>
                <w:sz w:val="21"/>
                <w:szCs w:val="21"/>
                <w:highlight w:val="none"/>
              </w:rPr>
              <w:t>。本项最高得</w:t>
            </w:r>
            <w:r>
              <w:rPr>
                <w:rFonts w:hint="eastAsia" w:ascii="宋体" w:hAnsi="宋体" w:cs="宋体"/>
                <w:color w:val="auto"/>
                <w:kern w:val="0"/>
                <w:sz w:val="21"/>
                <w:szCs w:val="21"/>
                <w:highlight w:val="none"/>
                <w:lang w:val="en-US" w:eastAsia="zh-CN"/>
              </w:rPr>
              <w:t>8</w:t>
            </w:r>
            <w:r>
              <w:rPr>
                <w:rFonts w:hint="eastAsia" w:ascii="宋体" w:hAnsi="宋体" w:cs="宋体"/>
                <w:color w:val="auto"/>
                <w:kern w:val="0"/>
                <w:sz w:val="21"/>
                <w:szCs w:val="21"/>
                <w:highlight w:val="none"/>
              </w:rPr>
              <w:t>分。</w:t>
            </w:r>
          </w:p>
          <w:p w14:paraId="6D950BFB">
            <w:pPr>
              <w:widowControl/>
              <w:spacing w:line="340" w:lineRule="exact"/>
              <w:jc w:val="left"/>
              <w:rPr>
                <w:rFonts w:hint="eastAsia" w:ascii="宋体" w:hAnsi="宋体" w:cs="宋体"/>
                <w:color w:val="auto"/>
                <w:sz w:val="21"/>
                <w:szCs w:val="21"/>
                <w:highlight w:val="none"/>
              </w:rPr>
            </w:pPr>
            <w:r>
              <w:rPr>
                <w:rFonts w:hint="eastAsia" w:ascii="宋体" w:hAnsi="宋体" w:cs="宋体"/>
                <w:color w:val="auto"/>
                <w:kern w:val="0"/>
                <w:sz w:val="21"/>
                <w:szCs w:val="21"/>
                <w:highlight w:val="none"/>
              </w:rPr>
              <w:t>注：以上1-4项人员不得重复计分</w:t>
            </w:r>
            <w:r>
              <w:rPr>
                <w:rFonts w:hint="eastAsia" w:ascii="宋体" w:hAnsi="宋体" w:cs="宋体"/>
                <w:b/>
                <w:bCs/>
                <w:color w:val="auto"/>
                <w:kern w:val="0"/>
                <w:sz w:val="21"/>
                <w:szCs w:val="21"/>
                <w:highlight w:val="none"/>
                <w:u w:val="single" w:color="FF0000"/>
                <w:lang w:val="en-US" w:eastAsia="zh-CN"/>
              </w:rPr>
              <w:t>。</w:t>
            </w:r>
          </w:p>
        </w:tc>
      </w:tr>
      <w:tr w14:paraId="66E12897">
        <w:tblPrEx>
          <w:tblCellMar>
            <w:top w:w="0" w:type="dxa"/>
            <w:left w:w="108" w:type="dxa"/>
            <w:bottom w:w="0" w:type="dxa"/>
            <w:right w:w="108" w:type="dxa"/>
          </w:tblCellMar>
        </w:tblPrEx>
        <w:trPr>
          <w:trHeight w:val="1823" w:hRule="atLeast"/>
        </w:trPr>
        <w:tc>
          <w:tcPr>
            <w:tcW w:w="394" w:type="pct"/>
            <w:tcBorders>
              <w:top w:val="single" w:color="auto" w:sz="4" w:space="0"/>
              <w:left w:val="single" w:color="auto" w:sz="4" w:space="0"/>
              <w:bottom w:val="single" w:color="auto" w:sz="4" w:space="0"/>
              <w:right w:val="single" w:color="auto" w:sz="4" w:space="0"/>
            </w:tcBorders>
            <w:vAlign w:val="center"/>
          </w:tcPr>
          <w:p w14:paraId="1B7C582B">
            <w:pPr>
              <w:spacing w:line="340" w:lineRule="exact"/>
              <w:ind w:left="-40"/>
              <w:jc w:val="center"/>
              <w:rPr>
                <w:rFonts w:hint="eastAsia" w:ascii="宋体" w:hAnsi="宋体" w:cs="宋体" w:eastAsiaTheme="minorEastAsia"/>
                <w:color w:val="auto"/>
                <w:sz w:val="21"/>
                <w:szCs w:val="21"/>
                <w:highlight w:val="none"/>
                <w:lang w:eastAsia="zh-CN"/>
              </w:rPr>
            </w:pPr>
            <w:r>
              <w:rPr>
                <w:rFonts w:hint="eastAsia" w:ascii="宋体" w:hAnsi="宋体" w:cs="宋体"/>
                <w:color w:val="auto"/>
                <w:sz w:val="21"/>
                <w:szCs w:val="21"/>
                <w:highlight w:val="none"/>
                <w:lang w:val="en-US" w:eastAsia="zh-CN"/>
              </w:rPr>
              <w:t>6</w:t>
            </w:r>
          </w:p>
        </w:tc>
        <w:tc>
          <w:tcPr>
            <w:tcW w:w="1151" w:type="pct"/>
            <w:tcBorders>
              <w:top w:val="single" w:color="auto" w:sz="4" w:space="0"/>
              <w:left w:val="nil"/>
              <w:bottom w:val="single" w:color="auto" w:sz="4" w:space="0"/>
              <w:right w:val="single" w:color="auto" w:sz="4" w:space="0"/>
            </w:tcBorders>
            <w:vAlign w:val="center"/>
          </w:tcPr>
          <w:p w14:paraId="477E571B">
            <w:pPr>
              <w:widowControl/>
              <w:spacing w:line="34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rPr>
              <w:t>投标供应商业绩</w:t>
            </w:r>
          </w:p>
        </w:tc>
        <w:tc>
          <w:tcPr>
            <w:tcW w:w="497" w:type="pct"/>
            <w:tcBorders>
              <w:top w:val="single" w:color="auto" w:sz="4" w:space="0"/>
              <w:left w:val="nil"/>
              <w:bottom w:val="single" w:color="auto" w:sz="4" w:space="0"/>
              <w:right w:val="single" w:color="auto" w:sz="4" w:space="0"/>
            </w:tcBorders>
            <w:vAlign w:val="center"/>
          </w:tcPr>
          <w:p w14:paraId="67CD13A6">
            <w:pPr>
              <w:spacing w:line="340" w:lineRule="exact"/>
              <w:ind w:left="-40"/>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val="en-US" w:eastAsia="zh-CN"/>
              </w:rPr>
              <w:t>4</w:t>
            </w:r>
            <w:r>
              <w:rPr>
                <w:rFonts w:hint="eastAsia" w:ascii="宋体" w:hAnsi="宋体" w:cs="宋体"/>
                <w:color w:val="auto"/>
                <w:sz w:val="21"/>
                <w:szCs w:val="21"/>
                <w:highlight w:val="none"/>
              </w:rPr>
              <w:t>分</w:t>
            </w:r>
          </w:p>
        </w:tc>
        <w:tc>
          <w:tcPr>
            <w:tcW w:w="2956" w:type="pct"/>
            <w:tcBorders>
              <w:top w:val="single" w:color="auto" w:sz="4" w:space="0"/>
              <w:left w:val="nil"/>
              <w:bottom w:val="single" w:color="auto" w:sz="4" w:space="0"/>
              <w:right w:val="single" w:color="auto" w:sz="4" w:space="0"/>
            </w:tcBorders>
            <w:vAlign w:val="center"/>
          </w:tcPr>
          <w:p w14:paraId="17709930">
            <w:pPr>
              <w:widowControl/>
              <w:spacing w:line="340" w:lineRule="exact"/>
              <w:jc w:val="left"/>
              <w:rPr>
                <w:rFonts w:hint="eastAsia" w:ascii="宋体" w:hAnsi="宋体" w:cs="宋体" w:eastAsiaTheme="minorEastAsia"/>
                <w:color w:val="auto"/>
                <w:sz w:val="21"/>
                <w:szCs w:val="21"/>
                <w:highlight w:val="none"/>
                <w:lang w:eastAsia="zh-CN"/>
              </w:rPr>
            </w:pPr>
            <w:r>
              <w:rPr>
                <w:rFonts w:hint="eastAsia" w:ascii="宋体" w:hAnsi="宋体" w:cs="宋体"/>
                <w:color w:val="auto"/>
                <w:kern w:val="0"/>
                <w:sz w:val="21"/>
                <w:szCs w:val="21"/>
                <w:highlight w:val="none"/>
              </w:rPr>
              <w:t>2020年1月1日（以竣工验收日期为准）以来，投标供应商有市政设施巡查及养护维修业绩（即合同中明确有巡查及养护维修内容的）且合同周期满一年及以上的，每个业绩得</w:t>
            </w: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分，最高得</w:t>
            </w:r>
            <w:r>
              <w:rPr>
                <w:rFonts w:hint="eastAsia" w:ascii="宋体" w:hAnsi="宋体" w:cs="宋体"/>
                <w:color w:val="auto"/>
                <w:kern w:val="0"/>
                <w:sz w:val="21"/>
                <w:szCs w:val="21"/>
                <w:highlight w:val="none"/>
                <w:lang w:val="en-US" w:eastAsia="zh-CN"/>
              </w:rPr>
              <w:t>4</w:t>
            </w:r>
            <w:r>
              <w:rPr>
                <w:rFonts w:hint="eastAsia" w:ascii="宋体" w:hAnsi="宋体" w:cs="宋体"/>
                <w:color w:val="auto"/>
                <w:kern w:val="0"/>
                <w:sz w:val="21"/>
                <w:szCs w:val="21"/>
                <w:highlight w:val="none"/>
              </w:rPr>
              <w:t>分，须提供相应的中标（成交）通知书、合同、竣工验收单、付款发票复印件或扫描件。</w:t>
            </w:r>
          </w:p>
        </w:tc>
      </w:tr>
      <w:tr w14:paraId="3FC09E2A">
        <w:tblPrEx>
          <w:tblCellMar>
            <w:top w:w="0" w:type="dxa"/>
            <w:left w:w="108" w:type="dxa"/>
            <w:bottom w:w="0" w:type="dxa"/>
            <w:right w:w="108" w:type="dxa"/>
          </w:tblCellMar>
        </w:tblPrEx>
        <w:trPr>
          <w:trHeight w:val="1683" w:hRule="atLeast"/>
        </w:trPr>
        <w:tc>
          <w:tcPr>
            <w:tcW w:w="394" w:type="pct"/>
            <w:tcBorders>
              <w:top w:val="single" w:color="auto" w:sz="4" w:space="0"/>
              <w:left w:val="single" w:color="auto" w:sz="4" w:space="0"/>
              <w:bottom w:val="single" w:color="auto" w:sz="4" w:space="0"/>
              <w:right w:val="single" w:color="auto" w:sz="4" w:space="0"/>
            </w:tcBorders>
            <w:vAlign w:val="center"/>
          </w:tcPr>
          <w:p w14:paraId="7F18BCA6">
            <w:pPr>
              <w:spacing w:line="340" w:lineRule="exact"/>
              <w:ind w:left="-40" w:lef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7</w:t>
            </w:r>
          </w:p>
        </w:tc>
        <w:tc>
          <w:tcPr>
            <w:tcW w:w="1151" w:type="pct"/>
            <w:tcBorders>
              <w:top w:val="single" w:color="auto" w:sz="4" w:space="0"/>
              <w:left w:val="nil"/>
              <w:bottom w:val="single" w:color="auto" w:sz="4" w:space="0"/>
              <w:right w:val="single" w:color="auto" w:sz="4" w:space="0"/>
            </w:tcBorders>
            <w:vAlign w:val="center"/>
          </w:tcPr>
          <w:p w14:paraId="749CF2FE">
            <w:pPr>
              <w:widowControl/>
              <w:spacing w:line="340" w:lineRule="exact"/>
              <w:jc w:val="center"/>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企业证书</w:t>
            </w:r>
          </w:p>
        </w:tc>
        <w:tc>
          <w:tcPr>
            <w:tcW w:w="497" w:type="pct"/>
            <w:tcBorders>
              <w:top w:val="single" w:color="auto" w:sz="4" w:space="0"/>
              <w:left w:val="nil"/>
              <w:bottom w:val="single" w:color="auto" w:sz="4" w:space="0"/>
              <w:right w:val="single" w:color="auto" w:sz="4" w:space="0"/>
            </w:tcBorders>
            <w:vAlign w:val="center"/>
          </w:tcPr>
          <w:p w14:paraId="6D4A29BD">
            <w:pPr>
              <w:spacing w:line="340" w:lineRule="exact"/>
              <w:ind w:left="-40" w:leftChars="0"/>
              <w:jc w:val="center"/>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3分</w:t>
            </w:r>
          </w:p>
        </w:tc>
        <w:tc>
          <w:tcPr>
            <w:tcW w:w="2956" w:type="pct"/>
            <w:tcBorders>
              <w:top w:val="single" w:color="auto" w:sz="4" w:space="0"/>
              <w:left w:val="nil"/>
              <w:bottom w:val="single" w:color="auto" w:sz="4" w:space="0"/>
              <w:right w:val="single" w:color="auto" w:sz="4" w:space="0"/>
            </w:tcBorders>
            <w:vAlign w:val="center"/>
          </w:tcPr>
          <w:p w14:paraId="5552F3D7">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供应商具有有效期内的 ISO9001 质量管理体系认证证书，得</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分（认证范围：</w:t>
            </w:r>
            <w:r>
              <w:rPr>
                <w:rFonts w:hint="eastAsia" w:ascii="宋体" w:hAnsi="宋体" w:cs="宋体"/>
                <w:color w:val="auto"/>
                <w:kern w:val="0"/>
                <w:sz w:val="21"/>
                <w:szCs w:val="21"/>
                <w:highlight w:val="none"/>
                <w:lang w:val="en-US" w:eastAsia="zh-CN"/>
              </w:rPr>
              <w:t>市政公用工程施工所涉及的质量管理活动</w:t>
            </w:r>
            <w:r>
              <w:rPr>
                <w:rFonts w:hint="eastAsia" w:ascii="宋体" w:hAnsi="宋体" w:cs="宋体"/>
                <w:color w:val="auto"/>
                <w:kern w:val="0"/>
                <w:sz w:val="21"/>
                <w:szCs w:val="21"/>
                <w:highlight w:val="none"/>
              </w:rPr>
              <w:t xml:space="preserve">）                  </w:t>
            </w:r>
          </w:p>
          <w:p w14:paraId="28912E2A">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2、</w:t>
            </w:r>
            <w:r>
              <w:rPr>
                <w:rFonts w:hint="eastAsia" w:ascii="宋体" w:hAnsi="宋体" w:cs="宋体"/>
                <w:color w:val="auto"/>
                <w:kern w:val="0"/>
                <w:sz w:val="21"/>
                <w:szCs w:val="21"/>
                <w:highlight w:val="none"/>
              </w:rPr>
              <w:t xml:space="preserve">供应商具有有效期内的 ISO14001 环境体系认证证书，得 </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分。（认证范围：</w:t>
            </w:r>
            <w:r>
              <w:rPr>
                <w:rFonts w:hint="eastAsia" w:ascii="宋体" w:hAnsi="宋体" w:cs="宋体"/>
                <w:color w:val="auto"/>
                <w:kern w:val="0"/>
                <w:sz w:val="21"/>
                <w:szCs w:val="21"/>
                <w:highlight w:val="none"/>
                <w:lang w:val="en-US" w:eastAsia="zh-CN"/>
              </w:rPr>
              <w:t>市政公用工程施工所涉及的环境管理活动</w:t>
            </w:r>
            <w:r>
              <w:rPr>
                <w:rFonts w:hint="eastAsia" w:ascii="宋体" w:hAnsi="宋体" w:cs="宋体"/>
                <w:color w:val="auto"/>
                <w:kern w:val="0"/>
                <w:sz w:val="21"/>
                <w:szCs w:val="21"/>
                <w:highlight w:val="none"/>
              </w:rPr>
              <w:t xml:space="preserve">）                  </w:t>
            </w:r>
          </w:p>
          <w:p w14:paraId="10B0B255">
            <w:pPr>
              <w:widowControl/>
              <w:spacing w:line="340" w:lineRule="exact"/>
              <w:jc w:val="left"/>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en-US" w:eastAsia="zh-CN"/>
              </w:rPr>
              <w:t>3、</w:t>
            </w:r>
            <w:r>
              <w:rPr>
                <w:rFonts w:hint="eastAsia" w:ascii="宋体" w:hAnsi="宋体" w:cs="宋体"/>
                <w:color w:val="auto"/>
                <w:kern w:val="0"/>
                <w:sz w:val="21"/>
                <w:szCs w:val="21"/>
                <w:highlight w:val="none"/>
              </w:rPr>
              <w:t>供应商具有有效期内的 GB/T28001 职业健康体系证书或ISO45001 职业健康体系证书，得</w:t>
            </w:r>
            <w:r>
              <w:rPr>
                <w:rFonts w:hint="eastAsia" w:ascii="宋体" w:hAnsi="宋体" w:cs="宋体"/>
                <w:color w:val="auto"/>
                <w:kern w:val="0"/>
                <w:sz w:val="21"/>
                <w:szCs w:val="21"/>
                <w:highlight w:val="none"/>
                <w:lang w:val="en-US" w:eastAsia="zh-CN"/>
              </w:rPr>
              <w:t>1</w:t>
            </w:r>
            <w:r>
              <w:rPr>
                <w:rFonts w:hint="eastAsia" w:ascii="宋体" w:hAnsi="宋体" w:cs="宋体"/>
                <w:color w:val="auto"/>
                <w:kern w:val="0"/>
                <w:sz w:val="21"/>
                <w:szCs w:val="21"/>
                <w:highlight w:val="none"/>
              </w:rPr>
              <w:t>分。（认证范围：</w:t>
            </w:r>
            <w:r>
              <w:rPr>
                <w:rFonts w:hint="eastAsia" w:ascii="宋体" w:hAnsi="宋体" w:cs="宋体"/>
                <w:color w:val="auto"/>
                <w:kern w:val="0"/>
                <w:sz w:val="21"/>
                <w:szCs w:val="21"/>
                <w:highlight w:val="none"/>
                <w:lang w:val="en-US" w:eastAsia="zh-CN"/>
              </w:rPr>
              <w:t>市政公用工程施工所涉及的职业健康安全管理活动</w:t>
            </w:r>
            <w:r>
              <w:rPr>
                <w:rFonts w:hint="eastAsia" w:ascii="宋体" w:hAnsi="宋体" w:cs="宋体"/>
                <w:color w:val="auto"/>
                <w:kern w:val="0"/>
                <w:sz w:val="21"/>
                <w:szCs w:val="21"/>
                <w:highlight w:val="none"/>
              </w:rPr>
              <w:t xml:space="preserve">） </w:t>
            </w:r>
          </w:p>
          <w:p w14:paraId="5E040D46">
            <w:pPr>
              <w:widowControl/>
              <w:spacing w:line="340" w:lineRule="exact"/>
              <w:jc w:val="left"/>
              <w:rPr>
                <w:rFonts w:hint="default" w:eastAsia="华文彩云"/>
                <w:color w:val="auto"/>
                <w:highlight w:val="none"/>
                <w:lang w:val="en-US" w:eastAsia="zh-CN"/>
              </w:rPr>
            </w:pPr>
            <w:r>
              <w:rPr>
                <w:rFonts w:hint="eastAsia" w:ascii="宋体" w:hAnsi="宋体" w:cs="宋体" w:eastAsiaTheme="minorEastAsia"/>
                <w:color w:val="auto"/>
                <w:kern w:val="0"/>
                <w:sz w:val="21"/>
                <w:szCs w:val="21"/>
                <w:highlight w:val="none"/>
                <w:lang w:val="en-US" w:eastAsia="zh-CN" w:bidi="ar-SA"/>
              </w:rPr>
              <w:t>注：需提供有效证书原件彩色扫描件及国家认证认可监督管理委员会官方网站www.cnca.gov.cn查询截图。</w:t>
            </w:r>
          </w:p>
        </w:tc>
      </w:tr>
    </w:tbl>
    <w:p w14:paraId="7A2A8E38">
      <w:pPr>
        <w:widowControl/>
        <w:spacing w:line="340" w:lineRule="exact"/>
        <w:jc w:val="left"/>
        <w:rPr>
          <w:rFonts w:hint="eastAsia" w:ascii="宋体" w:hAnsi="宋体" w:cs="宋体"/>
          <w:b/>
          <w:bCs/>
          <w:color w:val="auto"/>
          <w:kern w:val="0"/>
          <w:sz w:val="24"/>
          <w:szCs w:val="24"/>
          <w:highlight w:val="none"/>
          <w:u w:val="none" w:color="auto"/>
          <w:lang w:eastAsia="zh-CN"/>
        </w:rPr>
      </w:pPr>
      <w:r>
        <w:rPr>
          <w:rFonts w:hint="eastAsia" w:ascii="宋体" w:hAnsi="宋体" w:cs="宋体"/>
          <w:b/>
          <w:bCs/>
          <w:color w:val="auto"/>
          <w:kern w:val="0"/>
          <w:sz w:val="24"/>
          <w:szCs w:val="24"/>
          <w:highlight w:val="none"/>
          <w:u w:val="none" w:color="auto"/>
          <w:lang w:eastAsia="zh-CN"/>
        </w:rPr>
        <w:t>注：</w:t>
      </w:r>
    </w:p>
    <w:p w14:paraId="7D40FD8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cs="宋体" w:eastAsiaTheme="minorEastAsia"/>
          <w:b/>
          <w:bCs/>
          <w:color w:val="auto"/>
          <w:spacing w:val="0"/>
          <w:kern w:val="0"/>
          <w:sz w:val="21"/>
          <w:szCs w:val="21"/>
          <w:highlight w:val="none"/>
          <w:u w:val="thick" w:color="FF0000"/>
          <w:lang w:val="en-US" w:eastAsia="zh-CN" w:bidi="ar-SA"/>
        </w:rPr>
      </w:pPr>
      <w:r>
        <w:rPr>
          <w:rFonts w:hint="eastAsia" w:ascii="宋体" w:hAnsi="宋体" w:cs="宋体"/>
          <w:b/>
          <w:bCs/>
          <w:color w:val="auto"/>
          <w:kern w:val="0"/>
          <w:sz w:val="21"/>
          <w:szCs w:val="21"/>
          <w:highlight w:val="none"/>
          <w:u w:val="thick" w:color="FF0000"/>
          <w:lang w:val="en-US" w:eastAsia="zh-CN"/>
        </w:rPr>
        <w:t>1、</w:t>
      </w:r>
      <w:r>
        <w:rPr>
          <w:rFonts w:hint="eastAsia" w:ascii="宋体" w:hAnsi="宋体" w:cs="宋体" w:eastAsiaTheme="minorEastAsia"/>
          <w:b/>
          <w:bCs/>
          <w:color w:val="auto"/>
          <w:spacing w:val="0"/>
          <w:kern w:val="0"/>
          <w:sz w:val="21"/>
          <w:szCs w:val="21"/>
          <w:highlight w:val="none"/>
          <w:u w:val="thick" w:color="FF0000"/>
          <w:lang w:val="en-US" w:eastAsia="zh-CN" w:bidi="ar-SA"/>
        </w:rPr>
        <w:t>以上所提供证明材料若为复印件或扫描件均须加盖投标供应商公章</w:t>
      </w:r>
      <w:r>
        <w:rPr>
          <w:rFonts w:hint="eastAsia" w:ascii="宋体" w:hAnsi="宋体" w:cs="宋体"/>
          <w:b/>
          <w:bCs/>
          <w:color w:val="auto"/>
          <w:spacing w:val="0"/>
          <w:kern w:val="0"/>
          <w:sz w:val="21"/>
          <w:szCs w:val="21"/>
          <w:highlight w:val="none"/>
          <w:u w:val="thick" w:color="FF0000"/>
          <w:lang w:val="en-US" w:eastAsia="zh-CN" w:bidi="ar-SA"/>
        </w:rPr>
        <w:t>。</w:t>
      </w:r>
    </w:p>
    <w:p w14:paraId="72857431">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cs="宋体"/>
          <w:b/>
          <w:bCs/>
          <w:color w:val="auto"/>
          <w:kern w:val="0"/>
          <w:sz w:val="21"/>
          <w:szCs w:val="21"/>
          <w:highlight w:val="none"/>
          <w:u w:val="thick" w:color="FF0000"/>
          <w:lang w:eastAsia="zh-CN"/>
        </w:rPr>
      </w:pPr>
      <w:r>
        <w:rPr>
          <w:rFonts w:hint="eastAsia" w:ascii="宋体" w:hAnsi="宋体" w:cs="宋体" w:eastAsiaTheme="minorEastAsia"/>
          <w:b/>
          <w:bCs/>
          <w:color w:val="auto"/>
          <w:spacing w:val="0"/>
          <w:kern w:val="0"/>
          <w:sz w:val="21"/>
          <w:szCs w:val="21"/>
          <w:highlight w:val="none"/>
          <w:u w:val="thick" w:color="FF0000"/>
          <w:lang w:val="en-US" w:eastAsia="zh-CN" w:bidi="ar-SA"/>
        </w:rPr>
        <w:t>2、</w:t>
      </w:r>
      <w:r>
        <w:rPr>
          <w:rFonts w:hint="eastAsia" w:ascii="宋体" w:hAnsi="宋体" w:cs="宋体"/>
          <w:b/>
          <w:bCs/>
          <w:color w:val="auto"/>
          <w:kern w:val="0"/>
          <w:sz w:val="21"/>
          <w:szCs w:val="21"/>
          <w:highlight w:val="none"/>
          <w:u w:val="thick" w:color="FF0000"/>
          <w:lang w:eastAsia="zh-CN"/>
        </w:rPr>
        <w:t>中标后，</w:t>
      </w:r>
      <w:r>
        <w:rPr>
          <w:rFonts w:hint="eastAsia" w:ascii="宋体" w:hAnsi="宋体" w:cs="宋体"/>
          <w:b/>
          <w:bCs/>
          <w:color w:val="auto"/>
          <w:kern w:val="0"/>
          <w:sz w:val="21"/>
          <w:szCs w:val="21"/>
          <w:highlight w:val="none"/>
          <w:u w:val="thick" w:color="FF0000"/>
          <w:lang w:val="en-US" w:eastAsia="zh-CN"/>
        </w:rPr>
        <w:t>各标段</w:t>
      </w:r>
      <w:r>
        <w:rPr>
          <w:rFonts w:hint="eastAsia" w:ascii="宋体" w:hAnsi="宋体" w:cs="宋体"/>
          <w:b/>
          <w:bCs/>
          <w:color w:val="auto"/>
          <w:kern w:val="0"/>
          <w:sz w:val="21"/>
          <w:szCs w:val="21"/>
          <w:highlight w:val="none"/>
          <w:u w:val="thick" w:color="FF0000"/>
          <w:lang w:eastAsia="zh-CN"/>
        </w:rPr>
        <w:t>中标人</w:t>
      </w:r>
      <w:r>
        <w:rPr>
          <w:rFonts w:hint="eastAsia" w:ascii="宋体" w:hAnsi="宋体" w:cs="宋体"/>
          <w:b/>
          <w:bCs/>
          <w:color w:val="auto"/>
          <w:kern w:val="0"/>
          <w:sz w:val="21"/>
          <w:szCs w:val="21"/>
          <w:highlight w:val="none"/>
          <w:u w:val="thick" w:color="FF0000"/>
          <w:lang w:val="en-US" w:eastAsia="zh-CN"/>
        </w:rPr>
        <w:t>中标候选人第一名</w:t>
      </w:r>
      <w:r>
        <w:rPr>
          <w:rFonts w:hint="eastAsia" w:ascii="宋体" w:hAnsi="宋体" w:cs="宋体"/>
          <w:b/>
          <w:bCs/>
          <w:color w:val="auto"/>
          <w:kern w:val="0"/>
          <w:sz w:val="21"/>
          <w:szCs w:val="21"/>
          <w:highlight w:val="none"/>
          <w:u w:val="thick" w:color="FF0000"/>
          <w:lang w:eastAsia="zh-CN"/>
        </w:rPr>
        <w:t>须在3个工作日内提交技术标内所有相关业绩、证书、发票、驾驶证等原件至招标人处进行复核，逾期视作放弃中标。</w:t>
      </w:r>
    </w:p>
    <w:p w14:paraId="7273C805">
      <w:pPr>
        <w:keepNext w:val="0"/>
        <w:keepLines w:val="0"/>
        <w:pageBreakBefore w:val="0"/>
        <w:widowControl/>
        <w:numPr>
          <w:ilvl w:val="0"/>
          <w:numId w:val="0"/>
        </w:numPr>
        <w:kinsoku/>
        <w:wordWrap/>
        <w:overflowPunct/>
        <w:topLinePunct w:val="0"/>
        <w:autoSpaceDE/>
        <w:autoSpaceDN/>
        <w:bidi w:val="0"/>
        <w:adjustRightInd/>
        <w:snapToGrid/>
        <w:spacing w:line="360" w:lineRule="auto"/>
        <w:ind w:firstLine="422" w:firstLineChars="200"/>
        <w:jc w:val="left"/>
        <w:textAlignment w:val="auto"/>
        <w:rPr>
          <w:rFonts w:hint="eastAsia" w:ascii="宋体" w:hAnsi="宋体" w:cs="宋体"/>
          <w:b/>
          <w:bCs/>
          <w:color w:val="auto"/>
          <w:kern w:val="0"/>
          <w:sz w:val="21"/>
          <w:szCs w:val="21"/>
          <w:highlight w:val="none"/>
          <w:u w:val="thick" w:color="FF0000"/>
          <w:lang w:val="en-US" w:eastAsia="zh-CN"/>
        </w:rPr>
      </w:pPr>
      <w:r>
        <w:rPr>
          <w:rFonts w:hint="eastAsia" w:ascii="宋体" w:hAnsi="宋体" w:cs="宋体"/>
          <w:b/>
          <w:bCs/>
          <w:color w:val="auto"/>
          <w:kern w:val="0"/>
          <w:sz w:val="21"/>
          <w:szCs w:val="21"/>
          <w:highlight w:val="none"/>
          <w:u w:val="thick" w:color="FF0000"/>
          <w:lang w:val="en-US" w:eastAsia="zh-CN"/>
        </w:rPr>
        <w:t>3、中标后，招标人将在3个工作日内对技术标内提供的车辆等设备进行随机抽查，如抽查不符合投标文件要求，视作放弃中标。</w:t>
      </w:r>
    </w:p>
    <w:p w14:paraId="3A4DC928">
      <w:pPr>
        <w:rPr>
          <w:rFonts w:hint="eastAsia" w:ascii="宋体" w:hAnsi="宋体" w:eastAsiaTheme="minorEastAsia"/>
          <w:b/>
          <w:color w:val="auto"/>
          <w:sz w:val="28"/>
          <w:szCs w:val="28"/>
          <w:highlight w:val="none"/>
          <w:lang w:eastAsia="zh-CN"/>
        </w:rPr>
      </w:pPr>
      <w:r>
        <w:rPr>
          <w:rFonts w:hint="eastAsia" w:ascii="宋体" w:hAnsi="宋体" w:cs="宋体"/>
          <w:b/>
          <w:bCs/>
          <w:color w:val="auto"/>
          <w:kern w:val="0"/>
          <w:sz w:val="21"/>
          <w:szCs w:val="21"/>
          <w:highlight w:val="none"/>
          <w:u w:val="thick" w:color="FF0000"/>
          <w:lang w:val="en-US" w:eastAsia="zh-CN"/>
        </w:rPr>
        <w:br w:type="page"/>
      </w:r>
    </w:p>
    <w:p w14:paraId="7D9CE041">
      <w:pPr>
        <w:spacing w:line="360" w:lineRule="auto"/>
        <w:ind w:firstLine="420" w:firstLineChars="0"/>
        <w:rPr>
          <w:rFonts w:hint="default" w:ascii="宋体" w:hAnsi="宋体" w:eastAsiaTheme="minorEastAsia"/>
          <w:b/>
          <w:color w:val="auto"/>
          <w:sz w:val="28"/>
          <w:szCs w:val="28"/>
          <w:highlight w:val="none"/>
          <w:lang w:val="en-US" w:eastAsia="zh-CN"/>
        </w:rPr>
      </w:pPr>
      <w:r>
        <w:rPr>
          <w:rFonts w:hint="eastAsia" w:ascii="宋体" w:hAnsi="宋体"/>
          <w:b/>
          <w:color w:val="auto"/>
          <w:sz w:val="28"/>
          <w:szCs w:val="28"/>
          <w:highlight w:val="none"/>
          <w:lang w:eastAsia="zh-CN"/>
        </w:rPr>
        <w:t>附：</w:t>
      </w:r>
      <w:r>
        <w:rPr>
          <w:rFonts w:hint="eastAsia" w:ascii="宋体" w:hAnsi="宋体" w:eastAsiaTheme="minorEastAsia"/>
          <w:b/>
          <w:color w:val="auto"/>
          <w:sz w:val="28"/>
          <w:szCs w:val="28"/>
          <w:highlight w:val="none"/>
          <w:lang w:eastAsia="zh-CN"/>
        </w:rPr>
        <w:t>永扬路（深南路口-深南路口南）</w:t>
      </w:r>
      <w:r>
        <w:rPr>
          <w:rFonts w:hint="eastAsia" w:ascii="宋体" w:hAnsi="宋体"/>
          <w:b/>
          <w:color w:val="auto"/>
          <w:sz w:val="28"/>
          <w:szCs w:val="28"/>
          <w:highlight w:val="none"/>
          <w:lang w:val="en-US" w:eastAsia="zh-CN"/>
        </w:rPr>
        <w:t>现场照片</w:t>
      </w:r>
    </w:p>
    <w:p w14:paraId="4ED08E3C">
      <w:pPr>
        <w:spacing w:line="360" w:lineRule="auto"/>
        <w:ind w:firstLine="422" w:firstLineChars="200"/>
        <w:rPr>
          <w:rFonts w:hint="eastAsia" w:ascii="宋体" w:hAnsi="宋体"/>
          <w:b/>
          <w:color w:val="auto"/>
          <w:szCs w:val="21"/>
          <w:highlight w:val="none"/>
        </w:rPr>
      </w:pPr>
      <w:r>
        <w:rPr>
          <w:rFonts w:hint="eastAsia" w:ascii="宋体" w:hAnsi="宋体" w:eastAsiaTheme="minorEastAsia"/>
          <w:b/>
          <w:color w:val="auto"/>
          <w:szCs w:val="21"/>
          <w:highlight w:val="none"/>
          <w:lang w:eastAsia="zh-CN"/>
        </w:rPr>
        <w:drawing>
          <wp:inline distT="0" distB="0" distL="114300" distR="114300">
            <wp:extent cx="2667000" cy="1999615"/>
            <wp:effectExtent l="0" t="0" r="0" b="6985"/>
            <wp:docPr id="41" name="图片 41" descr="7575ecd1d58dcd34b5aed4ebb08a64a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7575ecd1d58dcd34b5aed4ebb08a64ad_"/>
                    <pic:cNvPicPr>
                      <a:picLocks noChangeAspect="1"/>
                    </pic:cNvPicPr>
                  </pic:nvPicPr>
                  <pic:blipFill>
                    <a:blip r:embed="rId12"/>
                    <a:stretch>
                      <a:fillRect/>
                    </a:stretch>
                  </pic:blipFill>
                  <pic:spPr>
                    <a:xfrm>
                      <a:off x="0" y="0"/>
                      <a:ext cx="2667000" cy="1999615"/>
                    </a:xfrm>
                    <a:prstGeom prst="rect">
                      <a:avLst/>
                    </a:prstGeom>
                  </pic:spPr>
                </pic:pic>
              </a:graphicData>
            </a:graphic>
          </wp:inline>
        </w:drawing>
      </w:r>
      <w:r>
        <w:rPr>
          <w:rFonts w:hint="eastAsia" w:ascii="宋体" w:hAnsi="宋体" w:eastAsiaTheme="minorEastAsia"/>
          <w:b/>
          <w:color w:val="auto"/>
          <w:szCs w:val="21"/>
          <w:highlight w:val="none"/>
          <w:lang w:eastAsia="zh-CN"/>
        </w:rPr>
        <w:drawing>
          <wp:inline distT="0" distB="0" distL="114300" distR="114300">
            <wp:extent cx="2667000" cy="1998980"/>
            <wp:effectExtent l="0" t="0" r="0" b="7620"/>
            <wp:docPr id="42" name="图片 42" descr="83a878ac2ff9e3cdd789372c816c6c79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83a878ac2ff9e3cdd789372c816c6c79_"/>
                    <pic:cNvPicPr>
                      <a:picLocks noChangeAspect="1"/>
                    </pic:cNvPicPr>
                  </pic:nvPicPr>
                  <pic:blipFill>
                    <a:blip r:embed="rId13"/>
                    <a:stretch>
                      <a:fillRect/>
                    </a:stretch>
                  </pic:blipFill>
                  <pic:spPr>
                    <a:xfrm>
                      <a:off x="0" y="0"/>
                      <a:ext cx="2667000" cy="1998980"/>
                    </a:xfrm>
                    <a:prstGeom prst="rect">
                      <a:avLst/>
                    </a:prstGeom>
                  </pic:spPr>
                </pic:pic>
              </a:graphicData>
            </a:graphic>
          </wp:inline>
        </w:drawing>
      </w:r>
    </w:p>
    <w:p w14:paraId="3BE2F1B9">
      <w:pPr>
        <w:spacing w:line="360" w:lineRule="auto"/>
        <w:ind w:firstLine="420" w:firstLineChars="200"/>
        <w:rPr>
          <w:rFonts w:hint="eastAsia" w:ascii="宋体" w:hAnsi="宋体"/>
          <w:b/>
          <w:color w:val="auto"/>
          <w:szCs w:val="21"/>
          <w:highlight w:val="none"/>
        </w:rPr>
      </w:pPr>
      <w:r>
        <w:rPr>
          <w:rFonts w:hint="eastAsia"/>
          <w:color w:val="auto"/>
          <w:highlight w:val="none"/>
          <w:lang w:eastAsia="zh-CN"/>
        </w:rPr>
        <w:drawing>
          <wp:inline distT="0" distB="0" distL="114300" distR="114300">
            <wp:extent cx="2656205" cy="1991995"/>
            <wp:effectExtent l="0" t="0" r="10795" b="1905"/>
            <wp:docPr id="43" name="图片 43" descr="7e58fa32213708b7da77752b57fb1bae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7e58fa32213708b7da77752b57fb1bae_"/>
                    <pic:cNvPicPr>
                      <a:picLocks noChangeAspect="1"/>
                    </pic:cNvPicPr>
                  </pic:nvPicPr>
                  <pic:blipFill>
                    <a:blip r:embed="rId14"/>
                    <a:stretch>
                      <a:fillRect/>
                    </a:stretch>
                  </pic:blipFill>
                  <pic:spPr>
                    <a:xfrm>
                      <a:off x="0" y="0"/>
                      <a:ext cx="2656205" cy="1991995"/>
                    </a:xfrm>
                    <a:prstGeom prst="rect">
                      <a:avLst/>
                    </a:prstGeom>
                  </pic:spPr>
                </pic:pic>
              </a:graphicData>
            </a:graphic>
          </wp:inline>
        </w:drawing>
      </w:r>
      <w:r>
        <w:rPr>
          <w:rFonts w:hint="eastAsia"/>
          <w:color w:val="auto"/>
          <w:highlight w:val="none"/>
          <w:lang w:eastAsia="zh-CN"/>
        </w:rPr>
        <w:drawing>
          <wp:inline distT="0" distB="0" distL="114300" distR="114300">
            <wp:extent cx="2664460" cy="1998345"/>
            <wp:effectExtent l="0" t="0" r="2540" b="8255"/>
            <wp:docPr id="44" name="图片 44" descr="2638cf8a65976833495663f8462f037d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2638cf8a65976833495663f8462f037d_"/>
                    <pic:cNvPicPr>
                      <a:picLocks noChangeAspect="1"/>
                    </pic:cNvPicPr>
                  </pic:nvPicPr>
                  <pic:blipFill>
                    <a:blip r:embed="rId15"/>
                    <a:stretch>
                      <a:fillRect/>
                    </a:stretch>
                  </pic:blipFill>
                  <pic:spPr>
                    <a:xfrm>
                      <a:off x="0" y="0"/>
                      <a:ext cx="2664460" cy="1998345"/>
                    </a:xfrm>
                    <a:prstGeom prst="rect">
                      <a:avLst/>
                    </a:prstGeom>
                  </pic:spPr>
                </pic:pic>
              </a:graphicData>
            </a:graphic>
          </wp:inline>
        </w:drawing>
      </w:r>
    </w:p>
    <w:p w14:paraId="524573EF">
      <w:pPr>
        <w:spacing w:line="360" w:lineRule="auto"/>
        <w:ind w:firstLine="422" w:firstLineChars="200"/>
        <w:rPr>
          <w:rFonts w:hint="eastAsia" w:ascii="宋体" w:hAnsi="宋体"/>
          <w:b/>
          <w:color w:val="auto"/>
          <w:szCs w:val="21"/>
          <w:highlight w:val="none"/>
        </w:rPr>
      </w:pPr>
      <w:r>
        <w:rPr>
          <w:rFonts w:hint="eastAsia" w:ascii="宋体" w:hAnsi="宋体"/>
          <w:b/>
          <w:bCs/>
          <w:color w:val="auto"/>
          <w:szCs w:val="21"/>
          <w:highlight w:val="none"/>
        </w:rPr>
        <w:t>2.价格标</w:t>
      </w:r>
      <w:r>
        <w:rPr>
          <w:rFonts w:ascii="宋体" w:hAnsi="宋体"/>
          <w:b/>
          <w:color w:val="auto"/>
          <w:szCs w:val="21"/>
          <w:highlight w:val="none"/>
        </w:rPr>
        <w:t>（</w:t>
      </w:r>
      <w:r>
        <w:rPr>
          <w:rFonts w:hint="eastAsia" w:ascii="宋体" w:hAnsi="宋体"/>
          <w:b/>
          <w:color w:val="auto"/>
          <w:szCs w:val="21"/>
          <w:highlight w:val="none"/>
        </w:rPr>
        <w:t>满分30</w:t>
      </w:r>
      <w:r>
        <w:rPr>
          <w:rFonts w:ascii="宋体" w:hAnsi="宋体"/>
          <w:b/>
          <w:color w:val="auto"/>
          <w:szCs w:val="21"/>
          <w:highlight w:val="none"/>
        </w:rPr>
        <w:t>分）</w:t>
      </w:r>
    </w:p>
    <w:p w14:paraId="1D28181A">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满足</w:t>
      </w:r>
      <w:r>
        <w:rPr>
          <w:rFonts w:hint="eastAsia" w:ascii="宋体" w:hAnsi="宋体"/>
          <w:color w:val="auto"/>
          <w:szCs w:val="21"/>
          <w:highlight w:val="none"/>
          <w:lang w:eastAsia="zh-CN"/>
        </w:rPr>
        <w:t>采购文件</w:t>
      </w:r>
      <w:r>
        <w:rPr>
          <w:rFonts w:ascii="宋体" w:hAnsi="宋体"/>
          <w:color w:val="auto"/>
          <w:szCs w:val="21"/>
          <w:highlight w:val="none"/>
        </w:rPr>
        <w:t>要求且投标报价</w:t>
      </w:r>
      <w:r>
        <w:rPr>
          <w:rFonts w:hint="eastAsia" w:ascii="宋体" w:hAnsi="宋体"/>
          <w:color w:val="auto"/>
          <w:szCs w:val="21"/>
          <w:highlight w:val="none"/>
        </w:rPr>
        <w:t>固定</w:t>
      </w:r>
      <w:r>
        <w:rPr>
          <w:rFonts w:hint="eastAsia" w:ascii="宋体" w:hAnsi="宋体"/>
          <w:color w:val="auto"/>
          <w:szCs w:val="21"/>
          <w:highlight w:val="none"/>
          <w:lang w:val="en-US" w:eastAsia="zh-CN"/>
        </w:rPr>
        <w:t>优惠率</w:t>
      </w:r>
      <w:r>
        <w:rPr>
          <w:rFonts w:ascii="宋体" w:hAnsi="宋体"/>
          <w:color w:val="auto"/>
          <w:szCs w:val="21"/>
          <w:highlight w:val="none"/>
        </w:rPr>
        <w:t>最</w:t>
      </w:r>
      <w:r>
        <w:rPr>
          <w:rFonts w:hint="eastAsia" w:ascii="宋体" w:hAnsi="宋体"/>
          <w:color w:val="auto"/>
          <w:szCs w:val="21"/>
          <w:highlight w:val="none"/>
          <w:lang w:val="en-US" w:eastAsia="zh-CN"/>
        </w:rPr>
        <w:t>高</w:t>
      </w:r>
      <w:r>
        <w:rPr>
          <w:rFonts w:ascii="宋体" w:hAnsi="宋体"/>
          <w:color w:val="auto"/>
          <w:szCs w:val="21"/>
          <w:highlight w:val="none"/>
        </w:rPr>
        <w:t>的为评标基准价，其</w:t>
      </w:r>
      <w:r>
        <w:rPr>
          <w:rFonts w:hint="eastAsia" w:ascii="宋体" w:hAnsi="宋体"/>
          <w:color w:val="auto"/>
          <w:szCs w:val="21"/>
          <w:highlight w:val="none"/>
        </w:rPr>
        <w:t>价格</w:t>
      </w:r>
      <w:r>
        <w:rPr>
          <w:rFonts w:ascii="宋体" w:hAnsi="宋体"/>
          <w:color w:val="auto"/>
          <w:szCs w:val="21"/>
          <w:highlight w:val="none"/>
        </w:rPr>
        <w:t>标得分为满分</w:t>
      </w:r>
      <w:r>
        <w:rPr>
          <w:rFonts w:hint="eastAsia" w:ascii="宋体" w:hAnsi="宋体"/>
          <w:color w:val="auto"/>
          <w:szCs w:val="21"/>
          <w:highlight w:val="none"/>
        </w:rPr>
        <w:t>30</w:t>
      </w:r>
      <w:r>
        <w:rPr>
          <w:rFonts w:ascii="宋体" w:hAnsi="宋体"/>
          <w:color w:val="auto"/>
          <w:szCs w:val="21"/>
          <w:highlight w:val="none"/>
        </w:rPr>
        <w:t>分；其他</w:t>
      </w:r>
      <w:r>
        <w:rPr>
          <w:rFonts w:hint="eastAsia" w:ascii="宋体" w:hAnsi="宋体"/>
          <w:color w:val="auto"/>
          <w:szCs w:val="21"/>
          <w:highlight w:val="none"/>
        </w:rPr>
        <w:t>投标供应商</w:t>
      </w:r>
      <w:r>
        <w:rPr>
          <w:rFonts w:ascii="宋体" w:hAnsi="宋体"/>
          <w:color w:val="auto"/>
          <w:szCs w:val="21"/>
          <w:highlight w:val="none"/>
        </w:rPr>
        <w:t>的价格</w:t>
      </w:r>
      <w:r>
        <w:rPr>
          <w:rFonts w:hint="eastAsia" w:ascii="宋体" w:hAnsi="宋体"/>
          <w:color w:val="auto"/>
          <w:szCs w:val="21"/>
          <w:highlight w:val="none"/>
        </w:rPr>
        <w:t>标得</w:t>
      </w:r>
      <w:r>
        <w:rPr>
          <w:rFonts w:ascii="宋体" w:hAnsi="宋体"/>
          <w:color w:val="auto"/>
          <w:szCs w:val="21"/>
          <w:highlight w:val="none"/>
        </w:rPr>
        <w:t>分按下列公式计算</w:t>
      </w:r>
      <w:r>
        <w:rPr>
          <w:rFonts w:hint="eastAsia" w:ascii="宋体" w:hAnsi="宋体"/>
          <w:color w:val="auto"/>
          <w:szCs w:val="21"/>
          <w:highlight w:val="none"/>
        </w:rPr>
        <w:t>（</w:t>
      </w:r>
      <w:r>
        <w:rPr>
          <w:rFonts w:hint="eastAsia" w:ascii="宋体" w:hAnsi="宋体"/>
          <w:b/>
          <w:bCs/>
          <w:color w:val="auto"/>
          <w:szCs w:val="21"/>
          <w:highlight w:val="none"/>
        </w:rPr>
        <w:t>本项目采用</w:t>
      </w:r>
      <w:r>
        <w:rPr>
          <w:rFonts w:hint="eastAsia" w:ascii="宋体" w:hAnsi="宋体"/>
          <w:b/>
          <w:bCs/>
          <w:color w:val="auto"/>
          <w:szCs w:val="21"/>
          <w:highlight w:val="none"/>
          <w:u w:val="single"/>
        </w:rPr>
        <w:t>固定</w:t>
      </w:r>
      <w:r>
        <w:rPr>
          <w:rFonts w:hint="eastAsia" w:ascii="宋体" w:hAnsi="宋体"/>
          <w:b/>
          <w:bCs/>
          <w:color w:val="auto"/>
          <w:szCs w:val="21"/>
          <w:highlight w:val="none"/>
          <w:u w:val="single"/>
          <w:lang w:val="en-US" w:eastAsia="zh-CN"/>
        </w:rPr>
        <w:t>优惠率</w:t>
      </w:r>
      <w:r>
        <w:rPr>
          <w:rFonts w:hint="eastAsia" w:ascii="宋体" w:hAnsi="宋体"/>
          <w:b/>
          <w:bCs/>
          <w:color w:val="auto"/>
          <w:szCs w:val="21"/>
          <w:highlight w:val="none"/>
        </w:rPr>
        <w:t>报价，投标固定</w:t>
      </w:r>
      <w:r>
        <w:rPr>
          <w:rFonts w:hint="eastAsia" w:ascii="宋体" w:hAnsi="宋体"/>
          <w:b/>
          <w:bCs/>
          <w:color w:val="auto"/>
          <w:szCs w:val="21"/>
          <w:highlight w:val="none"/>
          <w:lang w:val="en-US" w:eastAsia="zh-CN"/>
        </w:rPr>
        <w:t>优惠</w:t>
      </w:r>
      <w:r>
        <w:rPr>
          <w:rFonts w:hint="eastAsia" w:ascii="宋体" w:hAnsi="宋体"/>
          <w:b/>
          <w:bCs/>
          <w:color w:val="auto"/>
          <w:szCs w:val="21"/>
          <w:highlight w:val="none"/>
        </w:rPr>
        <w:t>率不得</w:t>
      </w:r>
      <w:r>
        <w:rPr>
          <w:rFonts w:hint="eastAsia" w:ascii="宋体" w:hAnsi="宋体"/>
          <w:b/>
          <w:bCs/>
          <w:color w:val="auto"/>
          <w:szCs w:val="21"/>
          <w:highlight w:val="none"/>
          <w:lang w:val="en-US" w:eastAsia="zh-CN"/>
        </w:rPr>
        <w:t>低</w:t>
      </w:r>
      <w:r>
        <w:rPr>
          <w:rFonts w:hint="eastAsia" w:ascii="宋体" w:hAnsi="宋体"/>
          <w:b/>
          <w:bCs/>
          <w:color w:val="auto"/>
          <w:szCs w:val="21"/>
          <w:highlight w:val="none"/>
        </w:rPr>
        <w:t>于或等于</w:t>
      </w:r>
      <w:r>
        <w:rPr>
          <w:rFonts w:hint="eastAsia" w:ascii="宋体" w:hAnsi="宋体"/>
          <w:b/>
          <w:bCs/>
          <w:color w:val="auto"/>
          <w:szCs w:val="21"/>
          <w:highlight w:val="none"/>
          <w:u w:val="single"/>
        </w:rPr>
        <w:t>5</w:t>
      </w:r>
      <w:r>
        <w:rPr>
          <w:rFonts w:hint="eastAsia" w:ascii="宋体" w:hAnsi="宋体"/>
          <w:b/>
          <w:bCs/>
          <w:color w:val="auto"/>
          <w:szCs w:val="21"/>
          <w:highlight w:val="none"/>
          <w:u w:val="single"/>
          <w:lang w:val="en-US" w:eastAsia="zh-CN"/>
        </w:rPr>
        <w:t>.00</w:t>
      </w:r>
      <w:r>
        <w:rPr>
          <w:rFonts w:hint="eastAsia" w:ascii="宋体" w:hAnsi="宋体"/>
          <w:b/>
          <w:bCs/>
          <w:color w:val="auto"/>
          <w:szCs w:val="21"/>
          <w:highlight w:val="none"/>
          <w:u w:val="single"/>
        </w:rPr>
        <w:t>%</w:t>
      </w:r>
      <w:r>
        <w:rPr>
          <w:rFonts w:hint="eastAsia" w:ascii="宋体" w:hAnsi="宋体"/>
          <w:b/>
          <w:bCs/>
          <w:color w:val="auto"/>
          <w:szCs w:val="21"/>
          <w:highlight w:val="none"/>
        </w:rPr>
        <w:t>，否则作废标处理。</w:t>
      </w:r>
      <w:r>
        <w:rPr>
          <w:rFonts w:hint="eastAsia" w:ascii="宋体" w:hAnsi="宋体"/>
          <w:color w:val="auto"/>
          <w:szCs w:val="21"/>
          <w:highlight w:val="none"/>
        </w:rPr>
        <w:t>）</w:t>
      </w:r>
      <w:r>
        <w:rPr>
          <w:rFonts w:ascii="宋体" w:hAnsi="宋体"/>
          <w:color w:val="auto"/>
          <w:szCs w:val="21"/>
          <w:highlight w:val="none"/>
        </w:rPr>
        <w:t>：</w:t>
      </w:r>
    </w:p>
    <w:p w14:paraId="5D7310BF">
      <w:pPr>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价格</w:t>
      </w:r>
      <w:r>
        <w:rPr>
          <w:rFonts w:ascii="宋体" w:hAnsi="宋体"/>
          <w:color w:val="auto"/>
          <w:szCs w:val="21"/>
          <w:highlight w:val="none"/>
        </w:rPr>
        <w:t>标得分=（</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w:t>
      </w:r>
      <w:r>
        <w:rPr>
          <w:rFonts w:ascii="宋体" w:hAnsi="宋体"/>
          <w:color w:val="auto"/>
          <w:szCs w:val="21"/>
          <w:highlight w:val="none"/>
        </w:rPr>
        <w:t>评标基准价</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w:t>
      </w:r>
      <w:r>
        <w:rPr>
          <w:rFonts w:hint="eastAsia" w:ascii="宋体" w:hAnsi="宋体"/>
          <w:color w:val="auto"/>
          <w:szCs w:val="21"/>
          <w:highlight w:val="none"/>
          <w:lang w:eastAsia="zh-CN"/>
        </w:rPr>
        <w:t>（</w:t>
      </w:r>
      <w:r>
        <w:rPr>
          <w:rFonts w:hint="eastAsia" w:ascii="宋体" w:hAnsi="宋体"/>
          <w:color w:val="auto"/>
          <w:szCs w:val="21"/>
          <w:highlight w:val="none"/>
          <w:lang w:val="en-US" w:eastAsia="zh-CN"/>
        </w:rPr>
        <w:t>1-投标优惠率）</w:t>
      </w:r>
      <w:r>
        <w:rPr>
          <w:rFonts w:ascii="宋体" w:hAnsi="宋体"/>
          <w:color w:val="auto"/>
          <w:szCs w:val="21"/>
          <w:highlight w:val="none"/>
        </w:rPr>
        <w:t>）×</w:t>
      </w:r>
      <w:r>
        <w:rPr>
          <w:rFonts w:hint="eastAsia" w:ascii="宋体" w:hAnsi="宋体"/>
          <w:color w:val="auto"/>
          <w:szCs w:val="21"/>
          <w:highlight w:val="none"/>
        </w:rPr>
        <w:t>30%</w:t>
      </w:r>
      <w:r>
        <w:rPr>
          <w:rFonts w:ascii="宋体" w:hAnsi="宋体"/>
          <w:color w:val="auto"/>
          <w:szCs w:val="21"/>
          <w:highlight w:val="none"/>
        </w:rPr>
        <w:t>×</w:t>
      </w:r>
      <w:r>
        <w:rPr>
          <w:rFonts w:hint="eastAsia" w:ascii="宋体" w:hAnsi="宋体"/>
          <w:color w:val="auto"/>
          <w:szCs w:val="21"/>
          <w:highlight w:val="none"/>
        </w:rPr>
        <w:t>100</w:t>
      </w:r>
      <w:r>
        <w:rPr>
          <w:rFonts w:ascii="宋体" w:hAnsi="宋体"/>
          <w:color w:val="auto"/>
          <w:szCs w:val="21"/>
          <w:highlight w:val="none"/>
        </w:rPr>
        <w:t>。</w:t>
      </w:r>
    </w:p>
    <w:p w14:paraId="3A3B7EE3">
      <w:pPr>
        <w:widowControl/>
        <w:shd w:val="clear" w:color="auto" w:fill="FFFFFF"/>
        <w:spacing w:line="360" w:lineRule="auto"/>
        <w:ind w:firstLine="420" w:firstLineChars="200"/>
        <w:jc w:val="left"/>
        <w:rPr>
          <w:rFonts w:hint="eastAsia" w:ascii="宋体" w:hAnsi="宋体" w:cs="宋体"/>
          <w:color w:val="auto"/>
          <w:szCs w:val="21"/>
          <w:highlight w:val="none"/>
        </w:rPr>
      </w:pPr>
      <w:r>
        <w:rPr>
          <w:rFonts w:ascii="宋体" w:hAnsi="宋体"/>
          <w:color w:val="auto"/>
          <w:szCs w:val="21"/>
          <w:highlight w:val="none"/>
        </w:rPr>
        <w:t>3.评标委员会按照综合得分从高到</w:t>
      </w:r>
      <w:r>
        <w:rPr>
          <w:rFonts w:hint="eastAsia" w:ascii="宋体" w:hAnsi="宋体"/>
          <w:color w:val="auto"/>
          <w:szCs w:val="21"/>
          <w:highlight w:val="none"/>
          <w:lang w:val="en-US" w:eastAsia="zh-CN"/>
        </w:rPr>
        <w:t>低</w:t>
      </w:r>
      <w:r>
        <w:rPr>
          <w:rFonts w:ascii="宋体" w:hAnsi="宋体"/>
          <w:color w:val="auto"/>
          <w:szCs w:val="21"/>
          <w:highlight w:val="none"/>
        </w:rPr>
        <w:t>的顺序推荐前五名中标候选人，</w:t>
      </w:r>
      <w:r>
        <w:rPr>
          <w:rFonts w:hint="eastAsia" w:ascii="宋体" w:hAnsi="宋体"/>
          <w:color w:val="auto"/>
          <w:szCs w:val="21"/>
          <w:highlight w:val="none"/>
          <w:lang w:val="en-US" w:eastAsia="zh-CN"/>
        </w:rPr>
        <w:t>原则上各标段第一名为本次招标的中标单位</w:t>
      </w:r>
      <w:r>
        <w:rPr>
          <w:rFonts w:ascii="宋体" w:hAnsi="宋体"/>
          <w:color w:val="auto"/>
          <w:szCs w:val="21"/>
          <w:highlight w:val="none"/>
        </w:rPr>
        <w:t>。若综合得分相同时，投标</w:t>
      </w:r>
      <w:r>
        <w:rPr>
          <w:rFonts w:hint="eastAsia" w:ascii="宋体" w:hAnsi="宋体"/>
          <w:color w:val="auto"/>
          <w:szCs w:val="21"/>
          <w:highlight w:val="none"/>
          <w:lang w:val="en-US" w:eastAsia="zh-CN"/>
        </w:rPr>
        <w:t>优惠率高</w:t>
      </w:r>
      <w:r>
        <w:rPr>
          <w:rFonts w:ascii="宋体" w:hAnsi="宋体"/>
          <w:color w:val="auto"/>
          <w:szCs w:val="21"/>
          <w:highlight w:val="none"/>
        </w:rPr>
        <w:t>的单位中标，若投标</w:t>
      </w:r>
      <w:r>
        <w:rPr>
          <w:rFonts w:hint="eastAsia" w:ascii="宋体" w:hAnsi="宋体"/>
          <w:color w:val="auto"/>
          <w:szCs w:val="21"/>
          <w:highlight w:val="none"/>
          <w:lang w:val="en-US" w:eastAsia="zh-CN"/>
        </w:rPr>
        <w:t>优惠率</w:t>
      </w:r>
      <w:r>
        <w:rPr>
          <w:rFonts w:ascii="宋体" w:hAnsi="宋体"/>
          <w:color w:val="auto"/>
          <w:szCs w:val="21"/>
          <w:highlight w:val="none"/>
        </w:rPr>
        <w:t>相同，则由采购人按照现场抽签的方式确定中标人。</w:t>
      </w:r>
    </w:p>
    <w:p w14:paraId="7F5B2754">
      <w:pPr>
        <w:widowControl/>
        <w:shd w:val="clear" w:color="auto" w:fill="FFFFFF"/>
        <w:spacing w:line="360" w:lineRule="auto"/>
        <w:ind w:firstLine="420" w:firstLineChars="200"/>
        <w:jc w:val="left"/>
        <w:rPr>
          <w:rFonts w:hint="eastAsia" w:ascii="宋体" w:hAnsi="宋体" w:cs="宋体"/>
          <w:color w:val="auto"/>
          <w:szCs w:val="21"/>
          <w:highlight w:val="none"/>
        </w:rPr>
      </w:pPr>
      <w:r>
        <w:rPr>
          <w:rFonts w:hint="eastAsia" w:ascii="宋体" w:hAnsi="宋体" w:cs="宋体"/>
          <w:bCs/>
          <w:snapToGrid w:val="0"/>
          <w:color w:val="auto"/>
          <w:szCs w:val="21"/>
          <w:highlight w:val="none"/>
        </w:rPr>
        <w:t>当</w:t>
      </w:r>
      <w:r>
        <w:rPr>
          <w:rFonts w:hint="eastAsia" w:ascii="宋体" w:hAnsi="宋体" w:cs="宋体"/>
          <w:bCs/>
          <w:snapToGrid w:val="0"/>
          <w:color w:val="auto"/>
          <w:szCs w:val="21"/>
          <w:highlight w:val="none"/>
          <w:lang w:val="en-US" w:eastAsia="zh-CN"/>
        </w:rPr>
        <w:t>有中标</w:t>
      </w:r>
      <w:r>
        <w:rPr>
          <w:rFonts w:hint="eastAsia" w:ascii="宋体" w:hAnsi="宋体" w:cs="宋体"/>
          <w:bCs/>
          <w:snapToGrid w:val="0"/>
          <w:color w:val="auto"/>
          <w:szCs w:val="21"/>
          <w:highlight w:val="none"/>
        </w:rPr>
        <w:t>候选人放弃</w:t>
      </w:r>
      <w:r>
        <w:rPr>
          <w:rFonts w:hint="eastAsia" w:ascii="宋体" w:hAnsi="宋体" w:cs="宋体"/>
          <w:bCs/>
          <w:snapToGrid w:val="0"/>
          <w:color w:val="auto"/>
          <w:szCs w:val="21"/>
          <w:highlight w:val="none"/>
          <w:lang w:val="en-US" w:eastAsia="zh-CN"/>
        </w:rPr>
        <w:t>中标</w:t>
      </w:r>
      <w:r>
        <w:rPr>
          <w:rFonts w:hint="eastAsia" w:ascii="宋体" w:hAnsi="宋体" w:cs="宋体"/>
          <w:bCs/>
          <w:snapToGrid w:val="0"/>
          <w:color w:val="auto"/>
          <w:szCs w:val="21"/>
          <w:highlight w:val="none"/>
        </w:rPr>
        <w:t>、因不可抗力不能履行合同、不按照</w:t>
      </w:r>
      <w:r>
        <w:rPr>
          <w:rFonts w:hint="eastAsia" w:ascii="宋体" w:hAnsi="宋体" w:cs="宋体"/>
          <w:bCs/>
          <w:snapToGrid w:val="0"/>
          <w:color w:val="auto"/>
          <w:szCs w:val="21"/>
          <w:highlight w:val="none"/>
          <w:lang w:eastAsia="zh-CN"/>
        </w:rPr>
        <w:t>采购文件</w:t>
      </w:r>
      <w:r>
        <w:rPr>
          <w:rFonts w:hint="eastAsia" w:ascii="宋体" w:hAnsi="宋体" w:cs="宋体"/>
          <w:bCs/>
          <w:snapToGrid w:val="0"/>
          <w:color w:val="auto"/>
          <w:szCs w:val="21"/>
          <w:highlight w:val="none"/>
        </w:rPr>
        <w:t>要求提交履约保证金，或者被查实存在影响</w:t>
      </w:r>
      <w:r>
        <w:rPr>
          <w:rFonts w:hint="eastAsia" w:ascii="宋体" w:hAnsi="宋体" w:cs="宋体"/>
          <w:bCs/>
          <w:snapToGrid w:val="0"/>
          <w:color w:val="auto"/>
          <w:szCs w:val="21"/>
          <w:highlight w:val="none"/>
          <w:lang w:val="en-US" w:eastAsia="zh-CN"/>
        </w:rPr>
        <w:t>中标</w:t>
      </w:r>
      <w:r>
        <w:rPr>
          <w:rFonts w:hint="eastAsia" w:ascii="宋体" w:hAnsi="宋体" w:cs="宋体"/>
          <w:bCs/>
          <w:snapToGrid w:val="0"/>
          <w:color w:val="auto"/>
          <w:szCs w:val="21"/>
          <w:highlight w:val="none"/>
        </w:rPr>
        <w:t>结果的违法行为等情形，不符合</w:t>
      </w:r>
      <w:r>
        <w:rPr>
          <w:rFonts w:hint="eastAsia" w:ascii="宋体" w:hAnsi="宋体" w:cs="宋体"/>
          <w:bCs/>
          <w:snapToGrid w:val="0"/>
          <w:color w:val="auto"/>
          <w:szCs w:val="21"/>
          <w:highlight w:val="none"/>
          <w:lang w:val="en-US" w:eastAsia="zh-CN"/>
        </w:rPr>
        <w:t>中标</w:t>
      </w:r>
      <w:r>
        <w:rPr>
          <w:rFonts w:hint="eastAsia" w:ascii="宋体" w:hAnsi="宋体" w:cs="宋体"/>
          <w:bCs/>
          <w:snapToGrid w:val="0"/>
          <w:color w:val="auto"/>
          <w:szCs w:val="21"/>
          <w:highlight w:val="none"/>
        </w:rPr>
        <w:t>条件的，招标人可以按照评标委员会提出的名单排序依次递补确定其他投标单位为</w:t>
      </w:r>
      <w:r>
        <w:rPr>
          <w:rFonts w:hint="eastAsia" w:ascii="宋体" w:hAnsi="宋体" w:cs="宋体"/>
          <w:bCs/>
          <w:snapToGrid w:val="0"/>
          <w:color w:val="auto"/>
          <w:szCs w:val="21"/>
          <w:highlight w:val="none"/>
          <w:lang w:val="en-US" w:eastAsia="zh-CN"/>
        </w:rPr>
        <w:t>中标</w:t>
      </w:r>
      <w:r>
        <w:rPr>
          <w:rFonts w:hint="eastAsia" w:ascii="宋体" w:hAnsi="宋体" w:cs="宋体"/>
          <w:bCs/>
          <w:snapToGrid w:val="0"/>
          <w:color w:val="auto"/>
          <w:szCs w:val="21"/>
          <w:highlight w:val="none"/>
        </w:rPr>
        <w:t>单位，也可以重新招标。</w:t>
      </w:r>
    </w:p>
    <w:p w14:paraId="2DF91ADF">
      <w:pPr>
        <w:shd w:val="clear" w:color="auto" w:fill="FFFFFF"/>
        <w:spacing w:line="360" w:lineRule="auto"/>
        <w:ind w:firstLine="422" w:firstLineChars="200"/>
        <w:jc w:val="left"/>
        <w:rPr>
          <w:rFonts w:hint="eastAsia" w:ascii="宋体" w:hAnsi="宋体" w:cs="宋体"/>
          <w:b/>
          <w:bCs/>
          <w:color w:val="auto"/>
          <w:szCs w:val="21"/>
          <w:highlight w:val="none"/>
        </w:rPr>
      </w:pPr>
      <w:r>
        <w:rPr>
          <w:rFonts w:hint="eastAsia" w:ascii="宋体" w:hAnsi="宋体" w:cs="宋体"/>
          <w:b/>
          <w:color w:val="auto"/>
          <w:szCs w:val="21"/>
          <w:highlight w:val="none"/>
        </w:rPr>
        <w:t>4.政府采购政策功能落实</w:t>
      </w:r>
    </w:p>
    <w:p w14:paraId="5700255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4.1中小型企业价格扣除（本项目标的需求明确的所属行业为</w:t>
      </w:r>
      <w:r>
        <w:rPr>
          <w:rFonts w:hint="eastAsia" w:ascii="宋体" w:hAnsi="宋体" w:cs="宋体"/>
          <w:color w:val="auto"/>
          <w:szCs w:val="21"/>
          <w:highlight w:val="none"/>
          <w:u w:val="single"/>
        </w:rPr>
        <w:t xml:space="preserve"> 建筑业 </w:t>
      </w:r>
      <w:r>
        <w:rPr>
          <w:rFonts w:hint="eastAsia" w:ascii="宋体" w:hAnsi="宋体" w:cs="宋体"/>
          <w:color w:val="auto"/>
          <w:szCs w:val="21"/>
          <w:highlight w:val="none"/>
        </w:rPr>
        <w:t>）</w:t>
      </w:r>
    </w:p>
    <w:p w14:paraId="3E43D2B4">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（1）本项目对中型和小型企业产品给予10%的扣除价格，用扣除后的价格参与评审。</w:t>
      </w:r>
    </w:p>
    <w:p w14:paraId="0540C65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（2）供应商需按照采购文件的要求提供相应的《中型、小型企业声明函》。</w:t>
      </w:r>
    </w:p>
    <w:p w14:paraId="5E4B2A7D">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（3）企业标准请参照《关于印发中小企业划型标准规定的通知》（工信部联企业[2011]300号）文件规定自行填写。</w:t>
      </w:r>
    </w:p>
    <w:p w14:paraId="35A79276">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4.2残疾人福利单位价格扣除</w:t>
      </w:r>
    </w:p>
    <w:p w14:paraId="2BEC9027">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（1）本项目对残疾人福利性单位视同中型、小型企业，给予10%的价格扣除，用扣除后的价格参与评审。</w:t>
      </w:r>
    </w:p>
    <w:p w14:paraId="4E41225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（2）残疾人福利单位需按照采购文件的要求提供《残疾人福利性单位声明函》。</w:t>
      </w:r>
    </w:p>
    <w:p w14:paraId="5D2C79B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（3）残疾人福利单位标准请参照《关于促进残疾人就业政府采购政策的通知》（财库〔2017〕141号）。</w:t>
      </w:r>
    </w:p>
    <w:p w14:paraId="5A12F721">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4.3监狱和戒毒企业价格扣除</w:t>
      </w:r>
    </w:p>
    <w:p w14:paraId="5EAA2EDB">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（1）本项目对监狱和戒毒企业（简称监狱企业）视同中型、小型企业，给予10%的价格扣除，用扣除后的价格参与评审。</w:t>
      </w:r>
    </w:p>
    <w:p w14:paraId="19831C9A">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（2）监狱企业参加政府采购活动时，需提供由省级以上监狱管理局、戒毒管理局(含新疆生产建设兵团)出具的属于监狱企业的证明文件。供应商如不提供上述证明文件，价格将不做相应扣除。</w:t>
      </w:r>
    </w:p>
    <w:p w14:paraId="3909E5A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（3）监狱企业标准请参照《关于政府采购支持监狱企业发展有关问题的通知》（财库[2014]68号）。</w:t>
      </w:r>
    </w:p>
    <w:p w14:paraId="2457B64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4.4残疾人福利单位、监狱企业属于中型、小型企业的，不重复享受政策。</w:t>
      </w:r>
    </w:p>
    <w:p w14:paraId="7E388A82">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4.5</w:t>
      </w:r>
      <w:r>
        <w:rPr>
          <w:rFonts w:hint="eastAsia" w:ascii="宋体" w:hAnsi="宋体" w:cs="宋体"/>
          <w:bCs/>
          <w:color w:val="auto"/>
          <w:szCs w:val="21"/>
          <w:highlight w:val="none"/>
        </w:rPr>
        <w:t>根据《江苏省政府采购信用管理暂行办法》的规定，采用最低评标价法的，评价结果为三星的给予1%的价格加成，评价结果为二星的给予2%的价格加成，评价结果为一星的给予3%的价格加成。</w:t>
      </w:r>
      <w:r>
        <w:rPr>
          <w:rFonts w:hint="eastAsia" w:ascii="宋体" w:hAnsi="宋体" w:cs="宋体"/>
          <w:color w:val="auto"/>
          <w:szCs w:val="21"/>
          <w:highlight w:val="none"/>
        </w:rPr>
        <w:t xml:space="preserve"> </w:t>
      </w:r>
    </w:p>
    <w:p w14:paraId="7F7A5D15">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 xml:space="preserve">  注：（1）小微企业以投标供应商填写的《中型、小型企业声明函》为判定标准，残疾人福利性单位以投标供应商填写的《残疾人福利性单位声明函》为判定标准，监狱企业须投标供应商提供由省级以上监狱管理局、戒毒管理局（含新疆生产建设兵团）出具的属于监狱企业的证明文件，否则不予认定。以上政策不重复享受。</w:t>
      </w:r>
    </w:p>
    <w:p w14:paraId="5CD6D43E">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（2）投标供应商为小微企业或残疾人福利性单位的，招标人或者其委托的采购代理机构将随中标结果同时公告其《中型、小型企业声明函》或《残疾人福利性单位声明函》，接受社会监督。</w:t>
      </w:r>
    </w:p>
    <w:p w14:paraId="40503073">
      <w:pPr>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（3）投标供应商提供的《中型、小型企业声明函》或《残疾人福利性单位声明函》与事实不符的，招标人将依照《政府采购法》第七十七条第一款的规定追究法律责任。</w:t>
      </w:r>
    </w:p>
    <w:p w14:paraId="5F29C79F">
      <w:pPr>
        <w:spacing w:line="360" w:lineRule="auto"/>
        <w:ind w:firstLine="422" w:firstLineChars="200"/>
        <w:outlineLvl w:val="1"/>
        <w:rPr>
          <w:rFonts w:hint="eastAsia" w:ascii="宋体" w:hAnsi="宋体"/>
          <w:b/>
          <w:bCs/>
          <w:color w:val="auto"/>
          <w:szCs w:val="21"/>
          <w:highlight w:val="none"/>
        </w:rPr>
      </w:pPr>
      <w:r>
        <w:rPr>
          <w:rFonts w:hint="eastAsia" w:ascii="宋体" w:hAnsi="宋体"/>
          <w:b/>
          <w:bCs/>
          <w:color w:val="auto"/>
          <w:szCs w:val="21"/>
          <w:highlight w:val="none"/>
        </w:rPr>
        <w:t>六、</w:t>
      </w:r>
      <w:r>
        <w:rPr>
          <w:rFonts w:ascii="宋体" w:hAnsi="宋体"/>
          <w:b/>
          <w:bCs/>
          <w:color w:val="auto"/>
          <w:szCs w:val="21"/>
          <w:highlight w:val="none"/>
        </w:rPr>
        <w:t>评标争议</w:t>
      </w:r>
    </w:p>
    <w:p w14:paraId="4D37775E">
      <w:pPr>
        <w:snapToGrid w:val="0"/>
        <w:spacing w:line="360" w:lineRule="auto"/>
        <w:ind w:firstLine="420" w:firstLineChars="200"/>
        <w:jc w:val="left"/>
        <w:rPr>
          <w:rFonts w:hint="eastAsia" w:ascii="宋体" w:hAnsi="宋体"/>
          <w:strike/>
          <w:color w:val="auto"/>
          <w:kern w:val="0"/>
          <w:szCs w:val="21"/>
          <w:highlight w:val="none"/>
        </w:rPr>
      </w:pPr>
      <w:r>
        <w:rPr>
          <w:rFonts w:ascii="宋体" w:hAnsi="宋体"/>
          <w:color w:val="auto"/>
          <w:kern w:val="0"/>
          <w:szCs w:val="21"/>
          <w:highlight w:val="none"/>
        </w:rPr>
        <w:t>评标时评委对评标的细则若有争议，由评标委员会评委集体讨论确定。</w:t>
      </w:r>
    </w:p>
    <w:p w14:paraId="6ED58230">
      <w:pPr>
        <w:spacing w:line="360" w:lineRule="auto"/>
        <w:ind w:firstLine="422" w:firstLineChars="200"/>
        <w:outlineLvl w:val="1"/>
        <w:rPr>
          <w:rFonts w:hint="eastAsia" w:ascii="宋体" w:hAnsi="宋体"/>
          <w:b/>
          <w:bCs/>
          <w:color w:val="auto"/>
          <w:szCs w:val="21"/>
          <w:highlight w:val="none"/>
        </w:rPr>
      </w:pPr>
      <w:r>
        <w:rPr>
          <w:rFonts w:hint="eastAsia" w:ascii="宋体" w:hAnsi="宋体"/>
          <w:b/>
          <w:bCs/>
          <w:color w:val="auto"/>
          <w:szCs w:val="21"/>
          <w:highlight w:val="none"/>
        </w:rPr>
        <w:t>七、</w:t>
      </w:r>
      <w:r>
        <w:rPr>
          <w:rFonts w:ascii="宋体" w:hAnsi="宋体"/>
          <w:b/>
          <w:bCs/>
          <w:color w:val="auto"/>
          <w:szCs w:val="21"/>
          <w:highlight w:val="none"/>
        </w:rPr>
        <w:t>落标原因</w:t>
      </w:r>
    </w:p>
    <w:p w14:paraId="5F635F5C">
      <w:pPr>
        <w:adjustRightInd w:val="0"/>
        <w:snapToGrid w:val="0"/>
        <w:spacing w:line="360" w:lineRule="auto"/>
        <w:ind w:firstLine="420" w:firstLineChars="200"/>
        <w:rPr>
          <w:rFonts w:hint="eastAsia" w:ascii="宋体" w:hAnsi="宋体"/>
          <w:color w:val="auto"/>
          <w:kern w:val="0"/>
          <w:szCs w:val="21"/>
          <w:highlight w:val="none"/>
        </w:rPr>
      </w:pPr>
      <w:r>
        <w:rPr>
          <w:rFonts w:ascii="宋体" w:hAnsi="宋体"/>
          <w:color w:val="auto"/>
          <w:kern w:val="0"/>
          <w:szCs w:val="21"/>
          <w:highlight w:val="none"/>
        </w:rPr>
        <w:t>评标委员会不对落标的投标供应商做落标原因的解释。</w:t>
      </w:r>
    </w:p>
    <w:p w14:paraId="2A1A9BEC">
      <w:pPr>
        <w:snapToGrid w:val="0"/>
        <w:spacing w:line="360" w:lineRule="auto"/>
        <w:ind w:firstLine="422" w:firstLineChars="200"/>
        <w:outlineLvl w:val="1"/>
        <w:rPr>
          <w:rFonts w:hint="eastAsia" w:ascii="宋体" w:hAnsi="宋体"/>
          <w:b/>
          <w:color w:val="auto"/>
          <w:kern w:val="0"/>
          <w:szCs w:val="21"/>
          <w:highlight w:val="none"/>
        </w:rPr>
      </w:pPr>
      <w:r>
        <w:rPr>
          <w:rFonts w:hint="eastAsia" w:ascii="宋体" w:hAnsi="宋体"/>
          <w:b/>
          <w:color w:val="auto"/>
          <w:kern w:val="0"/>
          <w:szCs w:val="21"/>
          <w:highlight w:val="none"/>
          <w:lang w:val="en-US" w:eastAsia="zh-CN"/>
        </w:rPr>
        <w:t>八</w:t>
      </w:r>
      <w:r>
        <w:rPr>
          <w:rFonts w:ascii="宋体" w:hAnsi="宋体"/>
          <w:b/>
          <w:color w:val="auto"/>
          <w:kern w:val="0"/>
          <w:szCs w:val="21"/>
          <w:highlight w:val="none"/>
        </w:rPr>
        <w:t>、</w:t>
      </w:r>
      <w:r>
        <w:rPr>
          <w:rFonts w:hint="eastAsia" w:ascii="宋体" w:hAnsi="宋体"/>
          <w:b/>
          <w:color w:val="auto"/>
          <w:kern w:val="0"/>
          <w:szCs w:val="21"/>
          <w:highlight w:val="none"/>
        </w:rPr>
        <w:t>中标</w:t>
      </w:r>
      <w:r>
        <w:rPr>
          <w:rFonts w:ascii="宋体" w:hAnsi="宋体"/>
          <w:b/>
          <w:color w:val="auto"/>
          <w:kern w:val="0"/>
          <w:szCs w:val="21"/>
          <w:highlight w:val="none"/>
        </w:rPr>
        <w:t>通知</w:t>
      </w:r>
    </w:p>
    <w:p w14:paraId="355E228F">
      <w:pPr>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1</w:t>
      </w:r>
      <w:r>
        <w:rPr>
          <w:rFonts w:hint="eastAsia" w:ascii="宋体" w:hAnsi="宋体"/>
          <w:color w:val="auto"/>
          <w:kern w:val="0"/>
          <w:szCs w:val="21"/>
          <w:highlight w:val="none"/>
        </w:rPr>
        <w:t>.中标人确定后，</w:t>
      </w:r>
      <w:r>
        <w:rPr>
          <w:rFonts w:ascii="宋体" w:hAnsi="宋体"/>
          <w:color w:val="auto"/>
          <w:kern w:val="0"/>
          <w:szCs w:val="21"/>
          <w:highlight w:val="none"/>
        </w:rPr>
        <w:t>采购人将</w:t>
      </w:r>
      <w:r>
        <w:rPr>
          <w:rFonts w:hint="eastAsia" w:ascii="宋体" w:hAnsi="宋体"/>
          <w:color w:val="auto"/>
          <w:kern w:val="0"/>
          <w:szCs w:val="21"/>
          <w:highlight w:val="none"/>
        </w:rPr>
        <w:t>中标</w:t>
      </w:r>
      <w:r>
        <w:rPr>
          <w:rFonts w:ascii="宋体" w:hAnsi="宋体"/>
          <w:color w:val="auto"/>
          <w:kern w:val="0"/>
          <w:szCs w:val="21"/>
          <w:highlight w:val="none"/>
        </w:rPr>
        <w:t>结果在</w:t>
      </w:r>
      <w:r>
        <w:rPr>
          <w:rFonts w:hint="eastAsia" w:ascii="宋体" w:hAnsi="宋体"/>
          <w:color w:val="auto"/>
          <w:kern w:val="0"/>
          <w:szCs w:val="21"/>
          <w:highlight w:val="none"/>
        </w:rPr>
        <w:t>江苏政府采购网</w:t>
      </w:r>
      <w:r>
        <w:rPr>
          <w:rFonts w:ascii="宋体" w:hAnsi="宋体"/>
          <w:color w:val="auto"/>
          <w:kern w:val="0"/>
          <w:szCs w:val="21"/>
          <w:highlight w:val="none"/>
        </w:rPr>
        <w:t>上公示1个工作日。</w:t>
      </w:r>
    </w:p>
    <w:p w14:paraId="33F52676">
      <w:pPr>
        <w:spacing w:line="360" w:lineRule="auto"/>
        <w:ind w:firstLine="424" w:firstLineChars="202"/>
        <w:rPr>
          <w:rFonts w:hint="eastAsia" w:ascii="宋体" w:hAnsi="宋体"/>
          <w:color w:val="auto"/>
          <w:kern w:val="0"/>
          <w:szCs w:val="21"/>
          <w:highlight w:val="none"/>
        </w:rPr>
      </w:pPr>
      <w:r>
        <w:rPr>
          <w:rFonts w:ascii="宋体" w:hAnsi="宋体"/>
          <w:color w:val="auto"/>
          <w:kern w:val="0"/>
          <w:szCs w:val="21"/>
          <w:highlight w:val="none"/>
        </w:rPr>
        <w:t>2</w:t>
      </w:r>
      <w:r>
        <w:rPr>
          <w:rFonts w:hint="eastAsia" w:ascii="宋体" w:hAnsi="宋体"/>
          <w:color w:val="auto"/>
          <w:kern w:val="0"/>
          <w:szCs w:val="21"/>
          <w:highlight w:val="none"/>
        </w:rPr>
        <w:t>.</w:t>
      </w:r>
      <w:r>
        <w:rPr>
          <w:rFonts w:ascii="宋体" w:hAnsi="宋体"/>
          <w:color w:val="auto"/>
          <w:kern w:val="0"/>
          <w:szCs w:val="21"/>
          <w:highlight w:val="none"/>
        </w:rPr>
        <w:t>公示期满，如无异议的，采购人向中标</w:t>
      </w:r>
      <w:r>
        <w:rPr>
          <w:rFonts w:hint="eastAsia" w:ascii="宋体" w:hAnsi="宋体"/>
          <w:color w:val="auto"/>
          <w:kern w:val="0"/>
          <w:szCs w:val="21"/>
          <w:highlight w:val="none"/>
        </w:rPr>
        <w:t>人</w:t>
      </w:r>
      <w:r>
        <w:rPr>
          <w:rFonts w:ascii="宋体" w:hAnsi="宋体"/>
          <w:color w:val="auto"/>
          <w:kern w:val="0"/>
          <w:szCs w:val="21"/>
          <w:highlight w:val="none"/>
        </w:rPr>
        <w:t>发出《中标通知书》。</w:t>
      </w:r>
    </w:p>
    <w:p w14:paraId="3A0CF72E">
      <w:pPr>
        <w:spacing w:line="360" w:lineRule="auto"/>
        <w:ind w:firstLine="424" w:firstLineChars="202"/>
        <w:jc w:val="left"/>
        <w:rPr>
          <w:rFonts w:ascii="宋体" w:hAnsi="宋体"/>
          <w:color w:val="auto"/>
          <w:highlight w:val="none"/>
        </w:rPr>
      </w:pPr>
      <w:r>
        <w:rPr>
          <w:rFonts w:ascii="宋体" w:hAnsi="宋体"/>
          <w:color w:val="auto"/>
          <w:kern w:val="0"/>
          <w:szCs w:val="21"/>
          <w:highlight w:val="none"/>
        </w:rPr>
        <w:t>3</w:t>
      </w:r>
      <w:r>
        <w:rPr>
          <w:rFonts w:hint="eastAsia" w:ascii="宋体" w:hAnsi="宋体"/>
          <w:color w:val="auto"/>
          <w:kern w:val="0"/>
          <w:szCs w:val="21"/>
          <w:highlight w:val="none"/>
        </w:rPr>
        <w:t>.</w:t>
      </w:r>
      <w:r>
        <w:rPr>
          <w:rFonts w:ascii="宋体" w:hAnsi="宋体"/>
          <w:color w:val="auto"/>
          <w:kern w:val="0"/>
          <w:szCs w:val="21"/>
          <w:highlight w:val="none"/>
        </w:rPr>
        <w:t>《中标通知书》一经发出，即具有法律效力。采购人、中标</w:t>
      </w:r>
      <w:r>
        <w:rPr>
          <w:rFonts w:hint="eastAsia" w:ascii="宋体" w:hAnsi="宋体"/>
          <w:color w:val="auto"/>
          <w:kern w:val="0"/>
          <w:szCs w:val="21"/>
          <w:highlight w:val="none"/>
        </w:rPr>
        <w:t>人</w:t>
      </w:r>
      <w:r>
        <w:rPr>
          <w:rFonts w:ascii="宋体" w:hAnsi="宋体"/>
          <w:color w:val="auto"/>
          <w:kern w:val="0"/>
          <w:szCs w:val="21"/>
          <w:highlight w:val="none"/>
        </w:rPr>
        <w:t>依法承担法律责任。</w:t>
      </w:r>
      <w:r>
        <w:rPr>
          <w:rFonts w:ascii="宋体" w:hAnsi="宋体"/>
          <w:color w:val="auto"/>
          <w:highlight w:val="none"/>
        </w:rPr>
        <w:br w:type="page"/>
      </w:r>
    </w:p>
    <w:p w14:paraId="640003ED">
      <w:pPr>
        <w:spacing w:line="360" w:lineRule="auto"/>
        <w:ind w:firstLine="560" w:firstLineChars="202"/>
        <w:jc w:val="center"/>
        <w:rPr>
          <w:rStyle w:val="80"/>
          <w:rFonts w:hint="default"/>
          <w:bCs/>
          <w:color w:val="auto"/>
          <w:sz w:val="28"/>
          <w:szCs w:val="28"/>
          <w:highlight w:val="none"/>
        </w:rPr>
      </w:pPr>
      <w:r>
        <w:rPr>
          <w:rStyle w:val="80"/>
          <w:rFonts w:hint="default"/>
          <w:bCs/>
          <w:color w:val="auto"/>
          <w:sz w:val="28"/>
          <w:szCs w:val="28"/>
          <w:highlight w:val="none"/>
        </w:rPr>
        <w:t>第五章  合同授予</w:t>
      </w:r>
    </w:p>
    <w:p w14:paraId="7CF90224">
      <w:pPr>
        <w:snapToGrid w:val="0"/>
        <w:spacing w:line="360" w:lineRule="auto"/>
        <w:ind w:firstLine="422" w:firstLineChars="200"/>
        <w:rPr>
          <w:rFonts w:hint="eastAsia" w:ascii="宋体" w:hAnsi="宋体"/>
          <w:color w:val="auto"/>
          <w:szCs w:val="21"/>
          <w:highlight w:val="none"/>
        </w:rPr>
      </w:pPr>
      <w:r>
        <w:rPr>
          <w:rFonts w:ascii="宋体" w:hAnsi="宋体"/>
          <w:b/>
          <w:color w:val="auto"/>
          <w:szCs w:val="21"/>
          <w:highlight w:val="none"/>
        </w:rPr>
        <w:t>一</w:t>
      </w:r>
      <w:r>
        <w:rPr>
          <w:rFonts w:ascii="宋体" w:hAnsi="宋体"/>
          <w:color w:val="auto"/>
          <w:szCs w:val="21"/>
          <w:highlight w:val="none"/>
        </w:rPr>
        <w:t>、中标</w:t>
      </w:r>
      <w:r>
        <w:rPr>
          <w:rFonts w:hint="eastAsia" w:ascii="宋体" w:hAnsi="宋体"/>
          <w:color w:val="auto"/>
          <w:szCs w:val="21"/>
          <w:highlight w:val="none"/>
        </w:rPr>
        <w:t>人</w:t>
      </w:r>
      <w:r>
        <w:rPr>
          <w:rFonts w:ascii="宋体" w:hAnsi="宋体"/>
          <w:color w:val="auto"/>
          <w:szCs w:val="21"/>
          <w:highlight w:val="none"/>
        </w:rPr>
        <w:t>和采购人在发出《中标通知书》后</w:t>
      </w:r>
      <w:r>
        <w:rPr>
          <w:rFonts w:hint="eastAsia" w:ascii="宋体" w:hAnsi="宋体"/>
          <w:color w:val="auto"/>
          <w:szCs w:val="21"/>
          <w:highlight w:val="none"/>
        </w:rPr>
        <w:t>30</w:t>
      </w:r>
      <w:r>
        <w:rPr>
          <w:rFonts w:ascii="宋体" w:hAnsi="宋体"/>
          <w:color w:val="auto"/>
          <w:szCs w:val="21"/>
          <w:highlight w:val="none"/>
        </w:rPr>
        <w:t>日内签订合同。合同签订后中标</w:t>
      </w:r>
      <w:r>
        <w:rPr>
          <w:rFonts w:hint="eastAsia" w:ascii="宋体" w:hAnsi="宋体"/>
          <w:color w:val="auto"/>
          <w:szCs w:val="21"/>
          <w:highlight w:val="none"/>
        </w:rPr>
        <w:t>人</w:t>
      </w:r>
      <w:r>
        <w:rPr>
          <w:rFonts w:ascii="宋体" w:hAnsi="宋体"/>
          <w:color w:val="auto"/>
          <w:szCs w:val="21"/>
          <w:highlight w:val="none"/>
        </w:rPr>
        <w:t>方可履约，否则引起的一切后果由中标</w:t>
      </w:r>
      <w:r>
        <w:rPr>
          <w:rFonts w:hint="eastAsia" w:ascii="宋体" w:hAnsi="宋体"/>
          <w:color w:val="auto"/>
          <w:szCs w:val="21"/>
          <w:highlight w:val="none"/>
        </w:rPr>
        <w:t>人</w:t>
      </w:r>
      <w:r>
        <w:rPr>
          <w:rFonts w:ascii="宋体" w:hAnsi="宋体"/>
          <w:color w:val="auto"/>
          <w:szCs w:val="21"/>
          <w:highlight w:val="none"/>
        </w:rPr>
        <w:t>自行承担。</w:t>
      </w:r>
      <w:r>
        <w:rPr>
          <w:rFonts w:ascii="宋体" w:hAnsi="宋体"/>
          <w:color w:val="auto"/>
          <w:szCs w:val="21"/>
          <w:highlight w:val="none"/>
          <w:lang w:val="zh-CN"/>
        </w:rPr>
        <w:t>所签合同不得对采购文件作实质性修改</w:t>
      </w:r>
      <w:r>
        <w:rPr>
          <w:rFonts w:ascii="宋体" w:hAnsi="宋体"/>
          <w:color w:val="auto"/>
          <w:szCs w:val="21"/>
          <w:highlight w:val="none"/>
        </w:rPr>
        <w:t>。采购人不得向中标</w:t>
      </w:r>
      <w:r>
        <w:rPr>
          <w:rFonts w:hint="eastAsia" w:ascii="宋体" w:hAnsi="宋体"/>
          <w:color w:val="auto"/>
          <w:szCs w:val="21"/>
          <w:highlight w:val="none"/>
        </w:rPr>
        <w:t>人</w:t>
      </w:r>
      <w:r>
        <w:rPr>
          <w:rFonts w:ascii="宋体" w:hAnsi="宋体"/>
          <w:color w:val="auto"/>
          <w:szCs w:val="21"/>
          <w:highlight w:val="none"/>
        </w:rPr>
        <w:t>提出不合理的要求作为签订合同的条件，不得与中标</w:t>
      </w:r>
      <w:r>
        <w:rPr>
          <w:rFonts w:hint="eastAsia" w:ascii="宋体" w:hAnsi="宋体"/>
          <w:color w:val="auto"/>
          <w:szCs w:val="21"/>
          <w:highlight w:val="none"/>
        </w:rPr>
        <w:t>人</w:t>
      </w:r>
      <w:r>
        <w:rPr>
          <w:rFonts w:ascii="宋体" w:hAnsi="宋体"/>
          <w:color w:val="auto"/>
          <w:szCs w:val="21"/>
          <w:highlight w:val="none"/>
        </w:rPr>
        <w:t>私下订立背离采购文件实质性内容的协议。</w:t>
      </w:r>
    </w:p>
    <w:p w14:paraId="54354D72">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采购人按合同约定积极配合中标人履约，中标人履约到位后，请以书面形式向采购人提出验收申请，采购人接到申请后原则上在7个工作日内及时组织相关专业技术人员，必要时邀请采购人、质检等部门共同参与验收或考核，并出具验收或考核报告，验收或考核合格后根据本合同支付条款支付相应款项。</w:t>
      </w:r>
    </w:p>
    <w:p w14:paraId="737FD130">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三、采购人故意推迟项目验收时间的，与中标</w:t>
      </w:r>
      <w:r>
        <w:rPr>
          <w:rFonts w:hint="eastAsia" w:ascii="宋体" w:hAnsi="宋体"/>
          <w:color w:val="auto"/>
          <w:szCs w:val="21"/>
          <w:highlight w:val="none"/>
        </w:rPr>
        <w:t>人</w:t>
      </w:r>
      <w:r>
        <w:rPr>
          <w:rFonts w:ascii="宋体" w:hAnsi="宋体"/>
          <w:color w:val="auto"/>
          <w:szCs w:val="21"/>
          <w:highlight w:val="none"/>
        </w:rPr>
        <w:t>串通或要求中标</w:t>
      </w:r>
      <w:r>
        <w:rPr>
          <w:rFonts w:hint="eastAsia" w:ascii="宋体" w:hAnsi="宋体"/>
          <w:color w:val="auto"/>
          <w:szCs w:val="21"/>
          <w:highlight w:val="none"/>
        </w:rPr>
        <w:t>人</w:t>
      </w:r>
      <w:r>
        <w:rPr>
          <w:rFonts w:ascii="宋体" w:hAnsi="宋体"/>
          <w:color w:val="auto"/>
          <w:szCs w:val="21"/>
          <w:highlight w:val="none"/>
        </w:rPr>
        <w:t>通过降低服务标准及要求中标</w:t>
      </w:r>
      <w:r>
        <w:rPr>
          <w:rFonts w:hint="eastAsia" w:ascii="宋体" w:hAnsi="宋体"/>
          <w:color w:val="auto"/>
          <w:szCs w:val="21"/>
          <w:highlight w:val="none"/>
        </w:rPr>
        <w:t>人</w:t>
      </w:r>
      <w:r>
        <w:rPr>
          <w:rFonts w:ascii="宋体" w:hAnsi="宋体"/>
          <w:color w:val="auto"/>
          <w:szCs w:val="21"/>
          <w:highlight w:val="none"/>
        </w:rPr>
        <w:t>出具虚假发票或任意更改销售发票的，谋取不正当利益的，承担相应的法律责任。</w:t>
      </w:r>
    </w:p>
    <w:p w14:paraId="1E3BFEC3">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四、中标</w:t>
      </w:r>
      <w:r>
        <w:rPr>
          <w:rFonts w:hint="eastAsia" w:ascii="宋体" w:hAnsi="宋体"/>
          <w:color w:val="auto"/>
          <w:szCs w:val="21"/>
          <w:highlight w:val="none"/>
        </w:rPr>
        <w:t>人</w:t>
      </w:r>
      <w:r>
        <w:rPr>
          <w:rFonts w:ascii="宋体" w:hAnsi="宋体"/>
          <w:color w:val="auto"/>
          <w:szCs w:val="21"/>
          <w:highlight w:val="none"/>
        </w:rPr>
        <w:t>出现违约情形，应当及时纠正或补偿；造成损失的，按合同约定追究违约责任；发现有假冒、伪劣、走私产品、商业贿赂等违法情形的，应由采购人移交工商、质监、公安等行政执法部门依法查处。</w:t>
      </w:r>
    </w:p>
    <w:p w14:paraId="465C06B2">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五、不响应付款方式的，视同无效投标处理。</w:t>
      </w:r>
    </w:p>
    <w:p w14:paraId="33EC2D18">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每次付款前，</w:t>
      </w:r>
      <w:r>
        <w:rPr>
          <w:rFonts w:hint="eastAsia" w:ascii="宋体" w:hAnsi="宋体"/>
          <w:color w:val="auto"/>
          <w:szCs w:val="21"/>
          <w:highlight w:val="none"/>
        </w:rPr>
        <w:t>中标人</w:t>
      </w:r>
      <w:r>
        <w:rPr>
          <w:rFonts w:ascii="宋体" w:hAnsi="宋体"/>
          <w:color w:val="auto"/>
          <w:szCs w:val="21"/>
          <w:highlight w:val="none"/>
        </w:rPr>
        <w:t>须根据结算金额按国家有关财税规定开出合法发票交采购</w:t>
      </w:r>
      <w:r>
        <w:rPr>
          <w:rFonts w:hint="eastAsia" w:ascii="宋体" w:hAnsi="宋体"/>
          <w:color w:val="auto"/>
          <w:szCs w:val="21"/>
          <w:highlight w:val="none"/>
        </w:rPr>
        <w:t>人</w:t>
      </w:r>
      <w:r>
        <w:rPr>
          <w:rFonts w:ascii="宋体" w:hAnsi="宋体"/>
          <w:color w:val="auto"/>
          <w:szCs w:val="21"/>
          <w:highlight w:val="none"/>
        </w:rPr>
        <w:t>办理付款手续。</w:t>
      </w:r>
    </w:p>
    <w:p w14:paraId="2E7934EA">
      <w:pPr>
        <w:snapToGrid w:val="0"/>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附：</w:t>
      </w:r>
      <w:r>
        <w:rPr>
          <w:rFonts w:hint="eastAsia" w:ascii="宋体" w:hAnsi="宋体"/>
          <w:color w:val="auto"/>
          <w:szCs w:val="21"/>
          <w:highlight w:val="none"/>
        </w:rPr>
        <w:t>合同主要条款</w:t>
      </w:r>
    </w:p>
    <w:p w14:paraId="649E8823">
      <w:pPr>
        <w:snapToGrid w:val="0"/>
        <w:spacing w:line="360" w:lineRule="auto"/>
        <w:ind w:firstLine="420" w:firstLineChars="200"/>
        <w:jc w:val="left"/>
        <w:rPr>
          <w:rFonts w:hint="eastAsia" w:ascii="宋体" w:hAnsi="宋体"/>
          <w:color w:val="auto"/>
          <w:szCs w:val="21"/>
          <w:highlight w:val="none"/>
        </w:rPr>
      </w:pPr>
    </w:p>
    <w:p w14:paraId="32265CD6">
      <w:pPr>
        <w:snapToGrid w:val="0"/>
        <w:spacing w:line="360" w:lineRule="auto"/>
        <w:ind w:firstLine="420" w:firstLineChars="200"/>
        <w:jc w:val="left"/>
        <w:rPr>
          <w:rFonts w:hint="eastAsia" w:ascii="宋体" w:hAnsi="宋体"/>
          <w:color w:val="auto"/>
          <w:szCs w:val="21"/>
          <w:highlight w:val="none"/>
        </w:rPr>
      </w:pPr>
    </w:p>
    <w:p w14:paraId="47D1947A">
      <w:pPr>
        <w:snapToGrid w:val="0"/>
        <w:spacing w:line="360" w:lineRule="auto"/>
        <w:ind w:firstLine="420" w:firstLineChars="200"/>
        <w:jc w:val="left"/>
        <w:rPr>
          <w:rFonts w:hint="eastAsia" w:ascii="宋体" w:hAnsi="宋体"/>
          <w:color w:val="auto"/>
          <w:szCs w:val="21"/>
          <w:highlight w:val="none"/>
        </w:rPr>
      </w:pPr>
    </w:p>
    <w:p w14:paraId="03A48E98">
      <w:pPr>
        <w:snapToGrid w:val="0"/>
        <w:spacing w:line="360" w:lineRule="auto"/>
        <w:ind w:firstLine="420" w:firstLineChars="200"/>
        <w:jc w:val="left"/>
        <w:rPr>
          <w:rFonts w:hint="eastAsia" w:ascii="宋体" w:hAnsi="宋体"/>
          <w:color w:val="auto"/>
          <w:szCs w:val="21"/>
          <w:highlight w:val="none"/>
        </w:rPr>
      </w:pPr>
    </w:p>
    <w:p w14:paraId="004B7AC5">
      <w:pPr>
        <w:snapToGrid w:val="0"/>
        <w:spacing w:line="360" w:lineRule="auto"/>
        <w:ind w:firstLine="420" w:firstLineChars="200"/>
        <w:jc w:val="left"/>
        <w:rPr>
          <w:rFonts w:hint="eastAsia" w:ascii="宋体" w:hAnsi="宋体"/>
          <w:color w:val="auto"/>
          <w:szCs w:val="21"/>
          <w:highlight w:val="none"/>
        </w:rPr>
      </w:pPr>
    </w:p>
    <w:p w14:paraId="2C4DD918">
      <w:pPr>
        <w:snapToGrid w:val="0"/>
        <w:spacing w:line="360" w:lineRule="auto"/>
        <w:ind w:firstLine="420" w:firstLineChars="200"/>
        <w:jc w:val="left"/>
        <w:rPr>
          <w:rFonts w:hint="eastAsia" w:ascii="宋体" w:hAnsi="宋体"/>
          <w:color w:val="auto"/>
          <w:szCs w:val="21"/>
          <w:highlight w:val="none"/>
        </w:rPr>
      </w:pPr>
    </w:p>
    <w:p w14:paraId="651773E2">
      <w:pPr>
        <w:snapToGrid w:val="0"/>
        <w:spacing w:line="360" w:lineRule="auto"/>
        <w:ind w:firstLine="420" w:firstLineChars="200"/>
        <w:jc w:val="left"/>
        <w:rPr>
          <w:rFonts w:hint="eastAsia" w:ascii="宋体" w:hAnsi="宋体"/>
          <w:color w:val="auto"/>
          <w:szCs w:val="21"/>
          <w:highlight w:val="none"/>
        </w:rPr>
      </w:pPr>
    </w:p>
    <w:p w14:paraId="30879621">
      <w:pPr>
        <w:snapToGrid w:val="0"/>
        <w:spacing w:line="360" w:lineRule="auto"/>
        <w:ind w:firstLine="420" w:firstLineChars="200"/>
        <w:jc w:val="left"/>
        <w:rPr>
          <w:rFonts w:hint="eastAsia" w:ascii="宋体" w:hAnsi="宋体"/>
          <w:color w:val="auto"/>
          <w:szCs w:val="21"/>
          <w:highlight w:val="none"/>
        </w:rPr>
      </w:pPr>
    </w:p>
    <w:p w14:paraId="2351E22D">
      <w:pPr>
        <w:snapToGrid w:val="0"/>
        <w:spacing w:line="360" w:lineRule="auto"/>
        <w:ind w:firstLine="420" w:firstLineChars="200"/>
        <w:jc w:val="left"/>
        <w:rPr>
          <w:rFonts w:hint="eastAsia" w:ascii="宋体" w:hAnsi="宋体"/>
          <w:color w:val="auto"/>
          <w:szCs w:val="21"/>
          <w:highlight w:val="none"/>
        </w:rPr>
      </w:pPr>
    </w:p>
    <w:p w14:paraId="48E40047">
      <w:pPr>
        <w:snapToGrid w:val="0"/>
        <w:spacing w:line="360" w:lineRule="auto"/>
        <w:ind w:firstLine="420" w:firstLineChars="200"/>
        <w:jc w:val="left"/>
        <w:rPr>
          <w:rFonts w:hint="eastAsia" w:ascii="宋体" w:hAnsi="宋体"/>
          <w:color w:val="auto"/>
          <w:szCs w:val="21"/>
          <w:highlight w:val="none"/>
        </w:rPr>
      </w:pPr>
    </w:p>
    <w:p w14:paraId="42E7080C">
      <w:pPr>
        <w:snapToGrid w:val="0"/>
        <w:spacing w:line="360" w:lineRule="auto"/>
        <w:ind w:firstLine="420" w:firstLineChars="200"/>
        <w:jc w:val="left"/>
        <w:rPr>
          <w:rFonts w:hint="eastAsia" w:ascii="宋体" w:hAnsi="宋体"/>
          <w:color w:val="auto"/>
          <w:szCs w:val="21"/>
          <w:highlight w:val="none"/>
        </w:rPr>
      </w:pPr>
    </w:p>
    <w:p w14:paraId="0AF2FF74">
      <w:pPr>
        <w:snapToGrid w:val="0"/>
        <w:spacing w:line="360" w:lineRule="auto"/>
        <w:ind w:firstLine="420" w:firstLineChars="200"/>
        <w:jc w:val="left"/>
        <w:rPr>
          <w:rFonts w:hint="eastAsia" w:ascii="宋体" w:hAnsi="宋体"/>
          <w:color w:val="auto"/>
          <w:szCs w:val="21"/>
          <w:highlight w:val="none"/>
        </w:rPr>
      </w:pPr>
    </w:p>
    <w:p w14:paraId="55229F90">
      <w:pPr>
        <w:snapToGrid w:val="0"/>
        <w:spacing w:line="360" w:lineRule="auto"/>
        <w:ind w:firstLine="420" w:firstLineChars="200"/>
        <w:jc w:val="left"/>
        <w:rPr>
          <w:rFonts w:hint="eastAsia" w:ascii="宋体" w:hAnsi="宋体"/>
          <w:color w:val="auto"/>
          <w:szCs w:val="21"/>
          <w:highlight w:val="none"/>
        </w:rPr>
      </w:pPr>
    </w:p>
    <w:p w14:paraId="1F25A614">
      <w:pPr>
        <w:snapToGrid w:val="0"/>
        <w:spacing w:line="360" w:lineRule="auto"/>
        <w:ind w:firstLine="420" w:firstLineChars="200"/>
        <w:jc w:val="left"/>
        <w:rPr>
          <w:rFonts w:hint="eastAsia" w:ascii="宋体" w:hAnsi="宋体"/>
          <w:color w:val="auto"/>
          <w:szCs w:val="21"/>
          <w:highlight w:val="none"/>
        </w:rPr>
      </w:pPr>
    </w:p>
    <w:p w14:paraId="155EDC5A">
      <w:pPr>
        <w:snapToGrid w:val="0"/>
        <w:spacing w:line="360" w:lineRule="auto"/>
        <w:ind w:firstLine="420" w:firstLineChars="200"/>
        <w:jc w:val="left"/>
        <w:rPr>
          <w:rFonts w:hint="eastAsia" w:ascii="宋体" w:hAnsi="宋体"/>
          <w:color w:val="auto"/>
          <w:szCs w:val="21"/>
          <w:highlight w:val="none"/>
        </w:rPr>
      </w:pPr>
    </w:p>
    <w:p w14:paraId="411BBE7D">
      <w:pPr>
        <w:snapToGrid w:val="0"/>
        <w:spacing w:line="360" w:lineRule="auto"/>
        <w:ind w:firstLine="420" w:firstLineChars="200"/>
        <w:jc w:val="left"/>
        <w:rPr>
          <w:rFonts w:hint="eastAsia" w:ascii="宋体" w:hAnsi="宋体"/>
          <w:color w:val="auto"/>
          <w:szCs w:val="21"/>
          <w:highlight w:val="none"/>
        </w:rPr>
      </w:pPr>
    </w:p>
    <w:p w14:paraId="6057BF91">
      <w:pPr>
        <w:snapToGrid w:val="0"/>
        <w:spacing w:line="360" w:lineRule="auto"/>
        <w:ind w:firstLine="420" w:firstLineChars="200"/>
        <w:jc w:val="left"/>
        <w:rPr>
          <w:rFonts w:hint="eastAsia" w:ascii="宋体" w:hAnsi="宋体"/>
          <w:color w:val="auto"/>
          <w:szCs w:val="21"/>
          <w:highlight w:val="none"/>
        </w:rPr>
      </w:pPr>
    </w:p>
    <w:p w14:paraId="1B333D7A">
      <w:pPr>
        <w:snapToGrid w:val="0"/>
        <w:spacing w:line="360" w:lineRule="auto"/>
        <w:ind w:firstLine="420" w:firstLineChars="200"/>
        <w:jc w:val="left"/>
        <w:rPr>
          <w:rFonts w:hint="eastAsia" w:ascii="宋体" w:hAnsi="宋体"/>
          <w:color w:val="auto"/>
          <w:szCs w:val="21"/>
          <w:highlight w:val="none"/>
        </w:rPr>
      </w:pPr>
    </w:p>
    <w:p w14:paraId="7D202CFA">
      <w:pPr>
        <w:tabs>
          <w:tab w:val="left" w:pos="1050"/>
          <w:tab w:val="right" w:leader="dot" w:pos="9402"/>
        </w:tabs>
        <w:spacing w:line="360" w:lineRule="auto"/>
        <w:jc w:val="center"/>
        <w:rPr>
          <w:rFonts w:cs="宋体"/>
          <w:b/>
          <w:bCs/>
          <w:color w:val="auto"/>
          <w:w w:val="80"/>
          <w:sz w:val="36"/>
          <w:szCs w:val="36"/>
          <w:highlight w:val="none"/>
        </w:rPr>
      </w:pPr>
      <w:r>
        <w:rPr>
          <w:rFonts w:hint="eastAsia" w:cs="宋体"/>
          <w:b/>
          <w:bCs/>
          <w:color w:val="auto"/>
          <w:w w:val="80"/>
          <w:sz w:val="36"/>
          <w:szCs w:val="36"/>
          <w:highlight w:val="none"/>
        </w:rPr>
        <w:t>南通市崇川区城市工程建设管理中心</w:t>
      </w:r>
    </w:p>
    <w:p w14:paraId="2E081DD7">
      <w:pPr>
        <w:tabs>
          <w:tab w:val="left" w:pos="1050"/>
          <w:tab w:val="right" w:leader="dot" w:pos="9402"/>
        </w:tabs>
        <w:spacing w:line="360" w:lineRule="auto"/>
        <w:jc w:val="center"/>
        <w:outlineLvl w:val="1"/>
        <w:rPr>
          <w:b/>
          <w:bCs/>
          <w:color w:val="auto"/>
          <w:w w:val="80"/>
          <w:sz w:val="44"/>
          <w:szCs w:val="44"/>
          <w:highlight w:val="none"/>
        </w:rPr>
      </w:pPr>
      <w:r>
        <w:rPr>
          <w:rFonts w:hint="eastAsia" w:cs="宋体"/>
          <w:b/>
          <w:bCs/>
          <w:color w:val="auto"/>
          <w:w w:val="80"/>
          <w:sz w:val="36"/>
          <w:szCs w:val="36"/>
          <w:highlight w:val="none"/>
        </w:rPr>
        <w:t>2025-2027年崇川区市政设施养护维修项目合同书</w:t>
      </w:r>
    </w:p>
    <w:p w14:paraId="2D5272E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年</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月</w:t>
      </w:r>
      <w:r>
        <w:rPr>
          <w:rFonts w:hint="eastAsia" w:ascii="宋体" w:hAnsi="宋体" w:eastAsia="宋体" w:cs="宋体"/>
          <w:color w:val="auto"/>
          <w:szCs w:val="21"/>
          <w:highlight w:val="none"/>
          <w:u w:val="single"/>
          <w:lang w:val="zh-CN"/>
        </w:rPr>
        <w:t xml:space="preserve">    </w:t>
      </w:r>
      <w:r>
        <w:rPr>
          <w:rFonts w:hint="eastAsia" w:ascii="宋体" w:hAnsi="宋体" w:eastAsia="宋体" w:cs="宋体"/>
          <w:color w:val="auto"/>
          <w:szCs w:val="21"/>
          <w:highlight w:val="none"/>
          <w:lang w:val="zh-CN"/>
        </w:rPr>
        <w:t>日</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u w:val="single"/>
        </w:rPr>
        <w:t xml:space="preserve">   （采购人名称）   </w:t>
      </w:r>
      <w:r>
        <w:rPr>
          <w:rFonts w:hint="eastAsia" w:ascii="宋体" w:hAnsi="宋体" w:eastAsia="宋体" w:cs="宋体"/>
          <w:color w:val="auto"/>
          <w:szCs w:val="21"/>
          <w:highlight w:val="none"/>
        </w:rPr>
        <w:t>以</w:t>
      </w:r>
      <w:r>
        <w:rPr>
          <w:rFonts w:hint="eastAsia" w:ascii="宋体" w:hAnsi="宋体" w:eastAsia="宋体" w:cs="宋体"/>
          <w:color w:val="auto"/>
          <w:szCs w:val="21"/>
          <w:highlight w:val="none"/>
          <w:u w:val="single"/>
        </w:rPr>
        <w:t xml:space="preserve">   （采购方式）  </w:t>
      </w:r>
      <w:r>
        <w:rPr>
          <w:rFonts w:hint="eastAsia" w:ascii="宋体" w:hAnsi="宋体" w:eastAsia="宋体" w:cs="宋体"/>
          <w:color w:val="auto"/>
          <w:szCs w:val="21"/>
          <w:highlight w:val="none"/>
        </w:rPr>
        <w:t>对</w:t>
      </w:r>
      <w:r>
        <w:rPr>
          <w:rFonts w:hint="eastAsia" w:ascii="宋体" w:hAnsi="宋体" w:eastAsia="宋体" w:cs="宋体"/>
          <w:color w:val="auto"/>
          <w:szCs w:val="21"/>
          <w:highlight w:val="none"/>
          <w:u w:val="single"/>
        </w:rPr>
        <w:t xml:space="preserve">   （项目名称）   </w:t>
      </w:r>
      <w:r>
        <w:rPr>
          <w:rFonts w:hint="eastAsia" w:ascii="宋体" w:hAnsi="宋体" w:eastAsia="宋体" w:cs="宋体"/>
          <w:color w:val="auto"/>
          <w:szCs w:val="21"/>
          <w:highlight w:val="none"/>
        </w:rPr>
        <w:t>项目进行了采购。经评标委员会评定，</w:t>
      </w:r>
      <w:r>
        <w:rPr>
          <w:rFonts w:hint="eastAsia" w:ascii="宋体" w:hAnsi="宋体" w:eastAsia="宋体" w:cs="宋体"/>
          <w:color w:val="auto"/>
          <w:szCs w:val="21"/>
          <w:highlight w:val="none"/>
          <w:u w:val="single"/>
        </w:rPr>
        <w:t xml:space="preserve">   （中标供应商名称） </w:t>
      </w:r>
      <w:r>
        <w:rPr>
          <w:rFonts w:hint="eastAsia" w:ascii="宋体" w:hAnsi="宋体" w:eastAsia="宋体" w:cs="宋体"/>
          <w:color w:val="auto"/>
          <w:szCs w:val="21"/>
          <w:highlight w:val="none"/>
        </w:rPr>
        <w:t>为该项目</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标段中标供应商。现于中标通知书发出之日起30日内，按照采购文件确定的事项签订本合同。</w:t>
      </w:r>
    </w:p>
    <w:p w14:paraId="6DAE7EA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zh-CN"/>
        </w:rPr>
        <w:t>按照平等、自愿、公平和诚实信用的原则，经</w:t>
      </w:r>
      <w:r>
        <w:rPr>
          <w:rFonts w:hint="eastAsia" w:ascii="宋体" w:hAnsi="宋体" w:eastAsia="宋体" w:cs="宋体"/>
          <w:color w:val="auto"/>
          <w:szCs w:val="21"/>
          <w:highlight w:val="none"/>
          <w:u w:val="single"/>
        </w:rPr>
        <w:t xml:space="preserve">   （采购人名称）   </w:t>
      </w:r>
      <w:r>
        <w:rPr>
          <w:rFonts w:hint="eastAsia" w:ascii="宋体" w:hAnsi="宋体" w:eastAsia="宋体" w:cs="宋体"/>
          <w:color w:val="auto"/>
          <w:szCs w:val="21"/>
          <w:highlight w:val="none"/>
          <w:lang w:val="zh-CN"/>
        </w:rPr>
        <w:t>(以下简称：甲方)和</w:t>
      </w:r>
      <w:r>
        <w:rPr>
          <w:rFonts w:hint="eastAsia" w:ascii="宋体" w:hAnsi="宋体" w:eastAsia="宋体" w:cs="宋体"/>
          <w:color w:val="auto"/>
          <w:szCs w:val="21"/>
          <w:highlight w:val="none"/>
          <w:u w:val="single"/>
        </w:rPr>
        <w:t xml:space="preserve"> （中标供应商名称）   </w:t>
      </w:r>
      <w:r>
        <w:rPr>
          <w:rFonts w:hint="eastAsia" w:ascii="宋体" w:hAnsi="宋体" w:eastAsia="宋体" w:cs="宋体"/>
          <w:color w:val="auto"/>
          <w:szCs w:val="21"/>
          <w:highlight w:val="none"/>
          <w:lang w:val="zh-CN"/>
        </w:rPr>
        <w:t>(以下简称：乙方)协商一致，约定以下合同</w:t>
      </w:r>
      <w:r>
        <w:rPr>
          <w:rFonts w:hint="eastAsia" w:ascii="宋体" w:hAnsi="宋体" w:eastAsia="宋体" w:cs="宋体"/>
          <w:color w:val="auto"/>
          <w:szCs w:val="21"/>
          <w:highlight w:val="none"/>
        </w:rPr>
        <w:t>条款，以兹共同遵守、全面履行。</w:t>
      </w:r>
    </w:p>
    <w:p w14:paraId="75D2270F">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一、项目简介（加清单）</w:t>
      </w:r>
    </w:p>
    <w:p w14:paraId="61B2CC2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1.项目名称：</w:t>
      </w:r>
      <w:r>
        <w:rPr>
          <w:rFonts w:hint="eastAsia" w:ascii="宋体" w:hAnsi="宋体" w:cs="宋体"/>
          <w:color w:val="auto"/>
          <w:szCs w:val="21"/>
          <w:highlight w:val="none"/>
        </w:rPr>
        <w:t>南通市崇川区城市工程建设管理中心2025-2027年崇川区市政道路养护维修项目</w:t>
      </w:r>
    </w:p>
    <w:p w14:paraId="0401385C">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2.承包区域：</w:t>
      </w:r>
      <w:r>
        <w:rPr>
          <w:rFonts w:hint="eastAsia" w:hAnsi="宋体" w:cs="宋体"/>
          <w:color w:val="auto"/>
          <w:szCs w:val="21"/>
          <w:highlight w:val="none"/>
          <w:u w:val="single"/>
        </w:rPr>
        <w:t xml:space="preserve">              </w:t>
      </w:r>
      <w:r>
        <w:rPr>
          <w:rFonts w:hint="eastAsia" w:hAnsi="宋体" w:cs="宋体"/>
          <w:color w:val="auto"/>
          <w:szCs w:val="21"/>
          <w:highlight w:val="none"/>
        </w:rPr>
        <w:t>街道范围内的区管市政设施巡查、养护维修。</w:t>
      </w:r>
    </w:p>
    <w:p w14:paraId="097DA3CA">
      <w:pPr>
        <w:spacing w:line="420" w:lineRule="exact"/>
        <w:ind w:firstLine="420" w:firstLineChars="200"/>
        <w:jc w:val="left"/>
        <w:rPr>
          <w:rFonts w:hint="eastAsia" w:hAnsi="宋体" w:cs="宋体"/>
          <w:color w:val="auto"/>
          <w:szCs w:val="21"/>
          <w:highlight w:val="none"/>
          <w:u w:val="single"/>
        </w:rPr>
      </w:pPr>
      <w:r>
        <w:rPr>
          <w:rFonts w:hint="eastAsia" w:hAnsi="宋体" w:cs="宋体"/>
          <w:color w:val="auto"/>
          <w:szCs w:val="21"/>
          <w:highlight w:val="none"/>
        </w:rPr>
        <w:t>3.工程立项批准文号：</w:t>
      </w:r>
      <w:r>
        <w:rPr>
          <w:rFonts w:hint="eastAsia" w:hAnsi="宋体" w:cs="宋体"/>
          <w:color w:val="auto"/>
          <w:szCs w:val="21"/>
          <w:highlight w:val="none"/>
          <w:u w:val="single"/>
        </w:rPr>
        <w:t xml:space="preserve">               </w:t>
      </w:r>
    </w:p>
    <w:p w14:paraId="7F2C559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4.资金来源：</w:t>
      </w:r>
      <w:r>
        <w:rPr>
          <w:rFonts w:hint="eastAsia" w:hAnsi="宋体" w:cs="宋体"/>
          <w:color w:val="auto"/>
          <w:szCs w:val="21"/>
          <w:highlight w:val="none"/>
          <w:u w:val="single"/>
        </w:rPr>
        <w:t></w:t>
      </w:r>
      <w:r>
        <w:rPr>
          <w:rFonts w:hint="eastAsia" w:hAnsi="宋体" w:cs="宋体"/>
          <w:b/>
          <w:bCs/>
          <w:color w:val="auto"/>
          <w:szCs w:val="21"/>
          <w:highlight w:val="none"/>
          <w:u w:val="single"/>
          <w:lang w:val="zh-CN"/>
        </w:rPr>
        <w:t>财政</w:t>
      </w:r>
      <w:r>
        <w:rPr>
          <w:rFonts w:hint="eastAsia" w:hAnsi="宋体" w:cs="宋体"/>
          <w:b/>
          <w:bCs/>
          <w:color w:val="auto"/>
          <w:szCs w:val="21"/>
          <w:highlight w:val="none"/>
          <w:u w:val="single"/>
        </w:rPr>
        <w:t xml:space="preserve">  </w:t>
      </w:r>
    </w:p>
    <w:p w14:paraId="0C6D7BE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 xml:space="preserve">5.承包内容： </w:t>
      </w:r>
    </w:p>
    <w:p w14:paraId="4970693D">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5.1设施巡查</w:t>
      </w:r>
    </w:p>
    <w:p w14:paraId="6D08BB8C">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（1）承包人应按月排定桥梁巡查计划，巡查频次不得低于6日一巡，应对桥梁及桥梁保护区域施工作业情况和桥面系、限载标志、限高标志、交通标志及其它附属设施等状况进行日常巡检。将巡查问题上传</w:t>
      </w:r>
      <w:r>
        <w:rPr>
          <w:rFonts w:hint="eastAsia" w:hAnsi="宋体" w:cs="宋体"/>
          <w:bCs/>
          <w:color w:val="auto"/>
          <w:szCs w:val="21"/>
          <w:highlight w:val="none"/>
          <w:lang w:val="en-US" w:eastAsia="zh-CN"/>
        </w:rPr>
        <w:t>相关</w:t>
      </w:r>
      <w:r>
        <w:rPr>
          <w:rFonts w:hint="eastAsia" w:hAnsi="宋体" w:cs="宋体"/>
          <w:bCs/>
          <w:color w:val="auto"/>
          <w:szCs w:val="21"/>
          <w:highlight w:val="none"/>
        </w:rPr>
        <w:t>系统，并对桥梁损坏类型、损坏程度、损坏位置进行准确记录。</w:t>
      </w:r>
    </w:p>
    <w:p w14:paraId="52D58348">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2）承包人应按月排定道路巡查计划，巡查频次不得低于3日一巡（医院、学校、菜场、商业综合体、车站、地铁出入口及重点或特殊部位等周边区管道路增加巡查频次，具体按业主要求），应对路面外观变化、道路施工作业及附属设施等状况进行检查。将巡查问题上传GIS系统，并对道路及附属设施的病害与缺陷类型、规模、位置准确记录。</w:t>
      </w:r>
    </w:p>
    <w:p w14:paraId="1360CB8E">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（3）巡查中发现明显影响车辆和行人安全的情况（如道路异常沉陷、空洞、大于5cm的错台、桥梁栏杆缺失等），应立即设置警示防护标志；其他综合管线井盖损坏等有较大安全隐患应及时上报啄木鸟平台，</w:t>
      </w:r>
      <w:bookmarkStart w:id="19" w:name="_Hlk120004219"/>
      <w:r>
        <w:rPr>
          <w:rFonts w:hint="eastAsia" w:hAnsi="宋体" w:cs="宋体"/>
          <w:bCs/>
          <w:color w:val="auto"/>
          <w:szCs w:val="21"/>
          <w:highlight w:val="none"/>
        </w:rPr>
        <w:t>应立即设置警示防护标志</w:t>
      </w:r>
      <w:bookmarkEnd w:id="19"/>
      <w:r>
        <w:rPr>
          <w:rFonts w:hint="eastAsia" w:hAnsi="宋体" w:cs="宋体"/>
          <w:bCs/>
          <w:color w:val="auto"/>
          <w:szCs w:val="21"/>
          <w:highlight w:val="none"/>
        </w:rPr>
        <w:t>。</w:t>
      </w:r>
    </w:p>
    <w:p w14:paraId="672F77AE">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（4）12345、数字化城管等平台案件应在规定时间内进行现场核实并回复。</w:t>
      </w:r>
    </w:p>
    <w:p w14:paraId="3BBBA95D">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（5）承包人应提前做好应急准备，在大雨、暴雨、台风等半小时后，应立即全面开展路段巡查，发现积水路段及次生灾害应及时上报发包人应急领导小组。</w:t>
      </w:r>
    </w:p>
    <w:p w14:paraId="31D07644">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（6）承包人应提前做好应急准备，冬季降温、降雪后应加强巡查，发现桥面积雪（结冰）后，应及时安排人员扫雪除冰或者撒盐融雪。</w:t>
      </w:r>
    </w:p>
    <w:p w14:paraId="70B2092E">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（7）承包人应按发包人通知，参加设施移交验收，并自接管之日起全面履行巡查责任。</w:t>
      </w:r>
    </w:p>
    <w:p w14:paraId="2C0750CA">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8）承包人应配合发包人开展道路占用、挖掘现场勘验与恢复工程量统计；承包人应做好道路占用、挖掘期间的监管工作，确保申请人严格履行审批手续约定；申请人道路占用期满，完成挖掘审批约定的作业任务后，承包人应督促其立即进行工作面交接，并全面负责现场的安全管护责任；承包人应主动劝阻未经审批违法挖掘、违章占用道路、私开道口等破坏市政设施的行为，同时督促对方依法办理审批手续。劝阻无效的应留好证据，及时向发包人汇报。</w:t>
      </w:r>
    </w:p>
    <w:p w14:paraId="4676E084">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（9）承包人在日常巡查中，要及时清除人行道表面青苔以及道板、侧缘石缝间杂草，保持桥面泄水孔畅通。</w:t>
      </w:r>
    </w:p>
    <w:p w14:paraId="275A1FD7">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（10）承包人应做好上述巡查工作的记录，并按“一桥一挡”、“一路一档”装订成册。</w:t>
      </w:r>
    </w:p>
    <w:p w14:paraId="404D476B">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（11）道路</w:t>
      </w:r>
      <w:r>
        <w:rPr>
          <w:rFonts w:hAnsi="宋体" w:cs="宋体"/>
          <w:bCs/>
          <w:color w:val="auto"/>
          <w:szCs w:val="21"/>
          <w:highlight w:val="none"/>
        </w:rPr>
        <w:t>占用</w:t>
      </w:r>
      <w:r>
        <w:rPr>
          <w:rFonts w:hint="eastAsia" w:hAnsi="宋体" w:cs="宋体"/>
          <w:bCs/>
          <w:color w:val="auto"/>
          <w:szCs w:val="21"/>
          <w:highlight w:val="none"/>
        </w:rPr>
        <w:t>挖掘等的</w:t>
      </w:r>
      <w:r>
        <w:rPr>
          <w:rFonts w:hAnsi="宋体" w:cs="宋体"/>
          <w:bCs/>
          <w:color w:val="auto"/>
          <w:szCs w:val="21"/>
          <w:highlight w:val="none"/>
        </w:rPr>
        <w:t>封闭</w:t>
      </w:r>
      <w:r>
        <w:rPr>
          <w:rFonts w:hint="eastAsia" w:hAnsi="宋体" w:cs="宋体"/>
          <w:bCs/>
          <w:color w:val="auto"/>
          <w:szCs w:val="21"/>
          <w:highlight w:val="none"/>
        </w:rPr>
        <w:t>围挡</w:t>
      </w:r>
      <w:r>
        <w:rPr>
          <w:rFonts w:hAnsi="宋体" w:cs="宋体"/>
          <w:bCs/>
          <w:color w:val="auto"/>
          <w:szCs w:val="21"/>
          <w:highlight w:val="none"/>
        </w:rPr>
        <w:t>拆除后</w:t>
      </w:r>
      <w:r>
        <w:rPr>
          <w:rFonts w:hint="eastAsia" w:hAnsi="宋体" w:cs="宋体"/>
          <w:bCs/>
          <w:color w:val="auto"/>
          <w:szCs w:val="21"/>
          <w:highlight w:val="none"/>
        </w:rPr>
        <w:t>，</w:t>
      </w:r>
      <w:r>
        <w:rPr>
          <w:rFonts w:hAnsi="宋体" w:cs="宋体"/>
          <w:bCs/>
          <w:color w:val="auto"/>
          <w:szCs w:val="21"/>
          <w:highlight w:val="none"/>
        </w:rPr>
        <w:t>应将埋地膨胀螺丝等构件拆除并填平</w:t>
      </w:r>
      <w:r>
        <w:rPr>
          <w:rFonts w:hint="eastAsia" w:hAnsi="宋体" w:cs="宋体"/>
          <w:bCs/>
          <w:color w:val="auto"/>
          <w:szCs w:val="21"/>
          <w:highlight w:val="none"/>
        </w:rPr>
        <w:t>孔</w:t>
      </w:r>
      <w:r>
        <w:rPr>
          <w:rFonts w:hAnsi="宋体" w:cs="宋体"/>
          <w:bCs/>
          <w:color w:val="auto"/>
          <w:szCs w:val="21"/>
          <w:highlight w:val="none"/>
        </w:rPr>
        <w:t>洞</w:t>
      </w:r>
      <w:r>
        <w:rPr>
          <w:rFonts w:hint="eastAsia" w:hAnsi="宋体" w:cs="宋体"/>
          <w:bCs/>
          <w:color w:val="auto"/>
          <w:szCs w:val="21"/>
          <w:highlight w:val="none"/>
        </w:rPr>
        <w:t>，</w:t>
      </w:r>
      <w:r>
        <w:rPr>
          <w:rFonts w:hAnsi="宋体" w:cs="宋体"/>
          <w:bCs/>
          <w:color w:val="auto"/>
          <w:szCs w:val="21"/>
          <w:highlight w:val="none"/>
        </w:rPr>
        <w:t>难以拆除的应切割磨平，消除安全隐患。</w:t>
      </w:r>
    </w:p>
    <w:p w14:paraId="7C65C6ED">
      <w:pPr>
        <w:spacing w:line="420" w:lineRule="exact"/>
        <w:ind w:firstLine="420" w:firstLineChars="200"/>
        <w:jc w:val="left"/>
        <w:rPr>
          <w:rFonts w:hint="eastAsia" w:hAnsi="宋体" w:cs="宋体"/>
          <w:bCs/>
          <w:color w:val="auto"/>
          <w:szCs w:val="21"/>
          <w:highlight w:val="none"/>
        </w:rPr>
      </w:pPr>
      <w:r>
        <w:rPr>
          <w:rFonts w:hint="eastAsia" w:hAnsi="宋体" w:cs="宋体"/>
          <w:bCs/>
          <w:color w:val="auto"/>
          <w:szCs w:val="21"/>
          <w:highlight w:val="none"/>
        </w:rPr>
        <w:t>5.2设施养护维修</w:t>
      </w:r>
    </w:p>
    <w:p w14:paraId="38EFBF96">
      <w:pPr>
        <w:spacing w:line="420" w:lineRule="exact"/>
        <w:ind w:firstLine="420" w:firstLineChars="200"/>
        <w:jc w:val="left"/>
        <w:rPr>
          <w:rFonts w:hint="eastAsia" w:hAnsi="宋体" w:cs="宋体"/>
          <w:b/>
          <w:color w:val="auto"/>
          <w:szCs w:val="21"/>
          <w:highlight w:val="none"/>
        </w:rPr>
      </w:pPr>
      <w:r>
        <w:rPr>
          <w:rFonts w:hint="eastAsia" w:hAnsi="宋体" w:cs="宋体"/>
          <w:color w:val="auto"/>
          <w:szCs w:val="21"/>
          <w:highlight w:val="none"/>
        </w:rPr>
        <w:t>城市支路（背街后巷）、桥梁 等中心管养的市政设施养护维修，包括：</w:t>
      </w:r>
      <w:r>
        <w:rPr>
          <w:rFonts w:hAnsi="宋体" w:cs="宋体"/>
          <w:color w:val="auto"/>
          <w:szCs w:val="21"/>
          <w:highlight w:val="none"/>
        </w:rPr>
        <w:t>路面及路基维修、人行道</w:t>
      </w:r>
      <w:r>
        <w:rPr>
          <w:rFonts w:hint="eastAsia" w:hAnsi="宋体" w:cs="宋体"/>
          <w:color w:val="auto"/>
          <w:szCs w:val="21"/>
          <w:highlight w:val="none"/>
        </w:rPr>
        <w:t>维修、路缘石</w:t>
      </w:r>
      <w:r>
        <w:rPr>
          <w:rFonts w:hAnsi="宋体" w:cs="宋体"/>
          <w:color w:val="auto"/>
          <w:szCs w:val="21"/>
          <w:highlight w:val="none"/>
        </w:rPr>
        <w:t>维修</w:t>
      </w:r>
      <w:r>
        <w:rPr>
          <w:rFonts w:hint="eastAsia" w:hAnsi="宋体" w:cs="宋体"/>
          <w:color w:val="auto"/>
          <w:szCs w:val="21"/>
          <w:highlight w:val="none"/>
        </w:rPr>
        <w:t>、镶边石维修、检查井翻修、雨水口翻修、排水管道翻修、道路挖掘恢复，以及市政设施抢修等事项。</w:t>
      </w:r>
    </w:p>
    <w:p w14:paraId="2D566531">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二、养护维修期限</w:t>
      </w:r>
    </w:p>
    <w:p w14:paraId="202E3C2A">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本项目承包期</w:t>
      </w:r>
      <w:r>
        <w:rPr>
          <w:rFonts w:hAnsi="宋体" w:cs="宋体"/>
          <w:color w:val="auto"/>
          <w:szCs w:val="21"/>
          <w:highlight w:val="none"/>
        </w:rPr>
        <w:t>2年</w:t>
      </w:r>
      <w:r>
        <w:rPr>
          <w:rFonts w:hint="eastAsia" w:hAnsi="宋体" w:cs="宋体"/>
          <w:color w:val="auto"/>
          <w:szCs w:val="21"/>
          <w:highlight w:val="none"/>
        </w:rPr>
        <w:t>，自2025</w:t>
      </w:r>
      <w:r>
        <w:rPr>
          <w:rFonts w:hAnsi="宋体" w:cs="宋体"/>
          <w:color w:val="auto"/>
          <w:szCs w:val="21"/>
          <w:highlight w:val="none"/>
        </w:rPr>
        <w:t xml:space="preserve"> 年</w:t>
      </w:r>
      <w:r>
        <w:rPr>
          <w:rFonts w:hint="eastAsia" w:hAnsi="宋体" w:cs="宋体"/>
          <w:color w:val="auto"/>
          <w:szCs w:val="21"/>
          <w:highlight w:val="none"/>
        </w:rPr>
        <w:t>4</w:t>
      </w:r>
      <w:r>
        <w:rPr>
          <w:rFonts w:hAnsi="宋体" w:cs="宋体"/>
          <w:color w:val="auto"/>
          <w:szCs w:val="21"/>
          <w:highlight w:val="none"/>
        </w:rPr>
        <w:t>月</w:t>
      </w:r>
      <w:r>
        <w:rPr>
          <w:rFonts w:hint="eastAsia" w:hAnsi="宋体" w:cs="宋体"/>
          <w:color w:val="auto"/>
          <w:szCs w:val="21"/>
          <w:highlight w:val="none"/>
        </w:rPr>
        <w:t>1</w:t>
      </w:r>
      <w:r>
        <w:rPr>
          <w:rFonts w:hAnsi="宋体" w:cs="宋体"/>
          <w:color w:val="auto"/>
          <w:szCs w:val="21"/>
          <w:highlight w:val="none"/>
        </w:rPr>
        <w:t>日</w:t>
      </w:r>
      <w:r>
        <w:rPr>
          <w:rFonts w:hint="eastAsia" w:hAnsi="宋体" w:cs="宋体"/>
          <w:color w:val="auto"/>
          <w:szCs w:val="21"/>
          <w:highlight w:val="none"/>
        </w:rPr>
        <w:t>起</w:t>
      </w:r>
      <w:r>
        <w:rPr>
          <w:rFonts w:hAnsi="宋体" w:cs="宋体"/>
          <w:color w:val="auto"/>
          <w:szCs w:val="21"/>
          <w:highlight w:val="none"/>
        </w:rPr>
        <w:t>至 20</w:t>
      </w:r>
      <w:r>
        <w:rPr>
          <w:rFonts w:hint="eastAsia" w:hAnsi="宋体" w:cs="宋体"/>
          <w:color w:val="auto"/>
          <w:szCs w:val="21"/>
          <w:highlight w:val="none"/>
        </w:rPr>
        <w:t>27</w:t>
      </w:r>
      <w:r>
        <w:rPr>
          <w:rFonts w:hAnsi="宋体" w:cs="宋体"/>
          <w:color w:val="auto"/>
          <w:szCs w:val="21"/>
          <w:highlight w:val="none"/>
        </w:rPr>
        <w:t>年</w:t>
      </w:r>
      <w:r>
        <w:rPr>
          <w:rFonts w:hint="eastAsia" w:hAnsi="宋体" w:cs="宋体"/>
          <w:color w:val="auto"/>
          <w:szCs w:val="21"/>
          <w:highlight w:val="none"/>
        </w:rPr>
        <w:t>3</w:t>
      </w:r>
      <w:r>
        <w:rPr>
          <w:rFonts w:hAnsi="宋体" w:cs="宋体"/>
          <w:color w:val="auto"/>
          <w:szCs w:val="21"/>
          <w:highlight w:val="none"/>
        </w:rPr>
        <w:t>月</w:t>
      </w:r>
      <w:r>
        <w:rPr>
          <w:rFonts w:hint="eastAsia" w:hAnsi="宋体" w:cs="宋体"/>
          <w:color w:val="auto"/>
          <w:szCs w:val="21"/>
          <w:highlight w:val="none"/>
        </w:rPr>
        <w:t>31</w:t>
      </w:r>
      <w:r>
        <w:rPr>
          <w:rFonts w:hAnsi="宋体" w:cs="宋体"/>
          <w:color w:val="auto"/>
          <w:szCs w:val="21"/>
          <w:highlight w:val="none"/>
        </w:rPr>
        <w:t>日</w:t>
      </w:r>
      <w:r>
        <w:rPr>
          <w:rFonts w:hint="eastAsia" w:hAnsi="宋体" w:cs="宋体"/>
          <w:color w:val="auto"/>
          <w:szCs w:val="21"/>
          <w:highlight w:val="none"/>
        </w:rPr>
        <w:t>止，单项维修任务必须在发包人及信访平台规定的时间内完成。</w:t>
      </w:r>
    </w:p>
    <w:p w14:paraId="04BE3141">
      <w:pPr>
        <w:spacing w:line="420" w:lineRule="exact"/>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三、质量标准</w:t>
      </w:r>
    </w:p>
    <w:p w14:paraId="32C84DA3">
      <w:pPr>
        <w:spacing w:line="420" w:lineRule="exact"/>
        <w:ind w:firstLine="420" w:firstLineChars="200"/>
        <w:jc w:val="left"/>
        <w:rPr>
          <w:rFonts w:hint="eastAsia" w:hAnsi="宋体" w:cs="宋体"/>
          <w:bCs/>
          <w:color w:val="auto"/>
          <w:szCs w:val="21"/>
          <w:highlight w:val="none"/>
        </w:rPr>
      </w:pPr>
      <w:r>
        <w:rPr>
          <w:rFonts w:hint="eastAsia" w:hAnsi="宋体" w:cs="宋体"/>
          <w:color w:val="auto"/>
          <w:szCs w:val="21"/>
          <w:highlight w:val="none"/>
        </w:rPr>
        <w:t>1、设施巡查质量执行</w:t>
      </w:r>
      <w:r>
        <w:rPr>
          <w:rFonts w:hint="eastAsia" w:hAnsi="宋体" w:cs="宋体"/>
          <w:bCs/>
          <w:color w:val="auto"/>
          <w:szCs w:val="21"/>
          <w:highlight w:val="none"/>
        </w:rPr>
        <w:t>《崇川区市政设施巡查考核评价标准》。</w:t>
      </w:r>
    </w:p>
    <w:p w14:paraId="1CFAB74A">
      <w:pPr>
        <w:spacing w:line="420" w:lineRule="exact"/>
        <w:ind w:firstLine="420" w:firstLineChars="200"/>
        <w:jc w:val="left"/>
        <w:rPr>
          <w:rFonts w:hint="eastAsia" w:hAnsi="宋体" w:cs="宋体"/>
          <w:color w:val="auto"/>
          <w:szCs w:val="21"/>
          <w:highlight w:val="none"/>
        </w:rPr>
      </w:pPr>
      <w:r>
        <w:rPr>
          <w:rFonts w:hint="eastAsia" w:hAnsi="宋体" w:cs="宋体"/>
          <w:bCs/>
          <w:color w:val="auto"/>
          <w:szCs w:val="21"/>
          <w:highlight w:val="none"/>
        </w:rPr>
        <w:t>2、设施养护维修质量</w:t>
      </w:r>
      <w:r>
        <w:rPr>
          <w:rFonts w:hint="eastAsia" w:ascii="宋体" w:hAnsi="宋体" w:cs="Calibri"/>
          <w:color w:val="auto"/>
          <w:szCs w:val="21"/>
          <w:highlight w:val="none"/>
        </w:rPr>
        <w:t>目标合格，</w:t>
      </w:r>
      <w:r>
        <w:rPr>
          <w:rFonts w:hint="eastAsia" w:ascii="宋体" w:hAnsi="宋体"/>
          <w:color w:val="auto"/>
          <w:szCs w:val="21"/>
          <w:highlight w:val="none"/>
        </w:rPr>
        <w:t>符合《城镇道路养护技术规范》（CJJ36-2016）、《城镇道路工程施工与质量验收规范》（CJJ1-2008）、《沥青路面施工及验收规范》（GB50092-96）、《城镇给水排水技术规范》（GB50788-2012）、《城市桥梁养护技术规范》（CJJ99-2017）、《给水排水管道工程施工及验收规范》（GB 50268-2008）等规范要求，以及《崇川区市政设施养护维修技术标准》、《崇川区市政设施巡查考核评价标准》、《崇川区市政设施养护维修考核评价标准》的要求。</w:t>
      </w:r>
    </w:p>
    <w:p w14:paraId="74AF1A77">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四、签约合同价与合同价格形式</w:t>
      </w:r>
      <w:r>
        <w:rPr>
          <w:rFonts w:hint="eastAsia" w:ascii="宋体" w:hAnsi="宋体" w:cs="宋体"/>
          <w:b/>
          <w:bCs/>
          <w:color w:val="auto"/>
          <w:sz w:val="24"/>
          <w:highlight w:val="none"/>
        </w:rPr>
        <w:tab/>
      </w:r>
    </w:p>
    <w:p w14:paraId="7FE3B2DA">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本合同采用</w:t>
      </w:r>
      <w:r>
        <w:rPr>
          <w:rFonts w:hint="eastAsia" w:ascii="宋体" w:hAnsi="宋体" w:cs="Calibri"/>
          <w:b/>
          <w:color w:val="auto"/>
          <w:szCs w:val="21"/>
          <w:highlight w:val="none"/>
          <w:u w:val="single"/>
        </w:rPr>
        <w:t xml:space="preserve"> </w:t>
      </w:r>
      <w:r>
        <w:rPr>
          <w:rFonts w:ascii="宋体" w:hAnsi="宋体" w:cs="Calibri"/>
          <w:b/>
          <w:color w:val="auto"/>
          <w:szCs w:val="21"/>
          <w:highlight w:val="none"/>
          <w:u w:val="single"/>
        </w:rPr>
        <w:t xml:space="preserve"> </w:t>
      </w:r>
      <w:r>
        <w:rPr>
          <w:rFonts w:hint="eastAsia" w:ascii="宋体" w:hAnsi="宋体" w:cs="Calibri"/>
          <w:b/>
          <w:color w:val="auto"/>
          <w:szCs w:val="21"/>
          <w:highlight w:val="none"/>
          <w:u w:val="single"/>
        </w:rPr>
        <w:t>全费用综合</w:t>
      </w:r>
      <w:r>
        <w:rPr>
          <w:rFonts w:ascii="宋体" w:hAnsi="宋体" w:cs="Calibri"/>
          <w:b/>
          <w:color w:val="auto"/>
          <w:szCs w:val="21"/>
          <w:highlight w:val="none"/>
          <w:u w:val="single"/>
        </w:rPr>
        <w:t>单价</w:t>
      </w:r>
      <w:r>
        <w:rPr>
          <w:rFonts w:hint="eastAsia" w:ascii="宋体" w:hAnsi="宋体" w:cs="Calibri"/>
          <w:b/>
          <w:color w:val="auto"/>
          <w:szCs w:val="21"/>
          <w:highlight w:val="none"/>
          <w:u w:val="single"/>
        </w:rPr>
        <w:t xml:space="preserve">  </w:t>
      </w:r>
      <w:r>
        <w:rPr>
          <w:rFonts w:hint="eastAsia" w:ascii="宋体" w:hAnsi="宋体" w:cs="Calibri"/>
          <w:b/>
          <w:color w:val="auto"/>
          <w:szCs w:val="21"/>
          <w:highlight w:val="none"/>
        </w:rPr>
        <w:t>方式，承包人投标时已按发包人提供的工程量清单进行</w:t>
      </w:r>
      <w:r>
        <w:rPr>
          <w:rFonts w:hint="eastAsia" w:ascii="宋体" w:hAnsi="宋体" w:cs="Calibri"/>
          <w:b/>
          <w:color w:val="auto"/>
          <w:szCs w:val="21"/>
          <w:highlight w:val="none"/>
          <w:lang w:val="en-US" w:eastAsia="zh-CN"/>
        </w:rPr>
        <w:t>优惠率</w:t>
      </w:r>
      <w:r>
        <w:rPr>
          <w:rFonts w:hint="eastAsia" w:ascii="宋体" w:hAnsi="宋体" w:cs="Calibri"/>
          <w:b/>
          <w:color w:val="auto"/>
          <w:szCs w:val="21"/>
          <w:highlight w:val="none"/>
        </w:rPr>
        <w:t>报价，中标</w:t>
      </w:r>
      <w:r>
        <w:rPr>
          <w:rFonts w:hint="eastAsia" w:ascii="宋体" w:hAnsi="宋体" w:cs="Calibri"/>
          <w:b/>
          <w:color w:val="auto"/>
          <w:szCs w:val="21"/>
          <w:highlight w:val="none"/>
          <w:lang w:val="en-US" w:eastAsia="zh-CN"/>
        </w:rPr>
        <w:t>优惠率</w:t>
      </w:r>
      <w:r>
        <w:rPr>
          <w:rFonts w:hint="eastAsia" w:ascii="宋体" w:hAnsi="宋体" w:cs="Calibri"/>
          <w:b/>
          <w:color w:val="auto"/>
          <w:szCs w:val="21"/>
          <w:highlight w:val="none"/>
        </w:rPr>
        <w:t>为</w:t>
      </w:r>
      <w:r>
        <w:rPr>
          <w:rFonts w:hint="eastAsia" w:ascii="宋体" w:hAnsi="宋体" w:cs="Calibri"/>
          <w:b/>
          <w:color w:val="auto"/>
          <w:szCs w:val="21"/>
          <w:highlight w:val="none"/>
          <w:u w:val="single"/>
        </w:rPr>
        <w:t xml:space="preserve"> </w:t>
      </w:r>
      <w:r>
        <w:rPr>
          <w:rFonts w:ascii="宋体" w:hAnsi="宋体" w:cs="Calibri"/>
          <w:b/>
          <w:color w:val="auto"/>
          <w:szCs w:val="21"/>
          <w:highlight w:val="none"/>
          <w:u w:val="single"/>
        </w:rPr>
        <w:t xml:space="preserve"> </w:t>
      </w:r>
      <w:r>
        <w:rPr>
          <w:rFonts w:hint="eastAsia" w:ascii="宋体" w:hAnsi="宋体" w:cs="Calibri"/>
          <w:b/>
          <w:color w:val="auto"/>
          <w:szCs w:val="21"/>
          <w:highlight w:val="none"/>
          <w:u w:val="single"/>
        </w:rPr>
        <w:t xml:space="preserve">     </w:t>
      </w:r>
      <w:r>
        <w:rPr>
          <w:rFonts w:ascii="宋体" w:hAnsi="宋体" w:cs="Calibri"/>
          <w:b/>
          <w:color w:val="auto"/>
          <w:szCs w:val="21"/>
          <w:highlight w:val="none"/>
          <w:u w:val="single"/>
        </w:rPr>
        <w:t xml:space="preserve"> </w:t>
      </w:r>
      <w:r>
        <w:rPr>
          <w:rFonts w:hint="eastAsia" w:ascii="宋体" w:hAnsi="宋体" w:cs="Calibri"/>
          <w:b/>
          <w:color w:val="auto"/>
          <w:szCs w:val="21"/>
          <w:highlight w:val="none"/>
          <w:u w:val="single"/>
        </w:rPr>
        <w:t>%</w:t>
      </w:r>
      <w:r>
        <w:rPr>
          <w:rFonts w:hint="eastAsia" w:ascii="宋体" w:hAnsi="宋体" w:cs="Calibri"/>
          <w:b/>
          <w:color w:val="auto"/>
          <w:szCs w:val="21"/>
          <w:highlight w:val="none"/>
        </w:rPr>
        <w:t>。</w:t>
      </w:r>
    </w:p>
    <w:p w14:paraId="3A7D4256">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五、项目负责人</w:t>
      </w:r>
    </w:p>
    <w:p w14:paraId="49EC9C22">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承包人项目负责人：</w:t>
      </w:r>
      <w:r>
        <w:rPr>
          <w:rFonts w:hint="eastAsia" w:hAnsi="宋体" w:cs="宋体"/>
          <w:color w:val="auto"/>
          <w:szCs w:val="21"/>
          <w:highlight w:val="none"/>
          <w:u w:val="single"/>
        </w:rPr>
        <w:t xml:space="preserve">      </w:t>
      </w:r>
      <w:r>
        <w:rPr>
          <w:rFonts w:hint="eastAsia" w:hAnsi="宋体" w:cs="宋体"/>
          <w:color w:val="auto"/>
          <w:szCs w:val="21"/>
          <w:highlight w:val="none"/>
        </w:rPr>
        <w:t>。</w:t>
      </w:r>
    </w:p>
    <w:p w14:paraId="1B6C842F">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六、合同文件构成</w:t>
      </w:r>
    </w:p>
    <w:p w14:paraId="65BA39C8">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本协议书与下列文件一起构成合同文件：</w:t>
      </w:r>
    </w:p>
    <w:p w14:paraId="4573CB6C">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（1）中标通知书（如果有）；</w:t>
      </w:r>
    </w:p>
    <w:p w14:paraId="3AF6A218">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 xml:space="preserve">（2）投标函及其附录（如果有）； </w:t>
      </w:r>
    </w:p>
    <w:p w14:paraId="7A1C189C">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（3）专用合同条款及其附件；</w:t>
      </w:r>
    </w:p>
    <w:p w14:paraId="02D1121D">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（4）通用合同条款；</w:t>
      </w:r>
    </w:p>
    <w:p w14:paraId="67895D71">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（5）技术标准和要求；</w:t>
      </w:r>
      <w:bookmarkStart w:id="30" w:name="_GoBack"/>
      <w:bookmarkEnd w:id="30"/>
    </w:p>
    <w:p w14:paraId="7C368174">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（6）图纸；</w:t>
      </w:r>
    </w:p>
    <w:p w14:paraId="163B6427">
      <w:pPr>
        <w:autoSpaceDE w:val="0"/>
        <w:autoSpaceDN w:val="0"/>
        <w:adjustRightInd w:val="0"/>
        <w:spacing w:line="420" w:lineRule="exact"/>
        <w:ind w:firstLine="480"/>
        <w:jc w:val="left"/>
        <w:rPr>
          <w:rFonts w:hint="eastAsia" w:hAnsi="宋体" w:cs="宋体"/>
          <w:color w:val="auto"/>
          <w:szCs w:val="21"/>
          <w:highlight w:val="none"/>
          <w:lang w:val="zh-CN"/>
        </w:rPr>
      </w:pPr>
      <w:r>
        <w:rPr>
          <w:rFonts w:hint="eastAsia" w:hAnsi="宋体" w:cs="宋体"/>
          <w:color w:val="auto"/>
          <w:szCs w:val="21"/>
          <w:highlight w:val="none"/>
          <w:lang w:val="zh-CN"/>
        </w:rPr>
        <w:t>（7）已标价工程量清单或预算书；</w:t>
      </w:r>
    </w:p>
    <w:p w14:paraId="54392FE1">
      <w:pPr>
        <w:autoSpaceDE w:val="0"/>
        <w:autoSpaceDN w:val="0"/>
        <w:adjustRightInd w:val="0"/>
        <w:spacing w:line="420" w:lineRule="exact"/>
        <w:ind w:firstLine="480"/>
        <w:jc w:val="left"/>
        <w:rPr>
          <w:rFonts w:hint="eastAsia" w:hAnsi="宋体" w:cs="宋体"/>
          <w:bCs/>
          <w:color w:val="auto"/>
          <w:szCs w:val="21"/>
          <w:highlight w:val="none"/>
        </w:rPr>
      </w:pPr>
      <w:r>
        <w:rPr>
          <w:rFonts w:hint="eastAsia" w:hAnsi="宋体" w:cs="宋体"/>
          <w:color w:val="auto"/>
          <w:szCs w:val="21"/>
          <w:highlight w:val="none"/>
          <w:lang w:val="zh-CN"/>
        </w:rPr>
        <w:t>（8）其他合同文件。</w:t>
      </w:r>
    </w:p>
    <w:p w14:paraId="7FAFCB2C">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在合同订立及履行过程中形成的与合同有关的文件均构成合同文件组成部分。</w:t>
      </w:r>
    </w:p>
    <w:p w14:paraId="6A35DB9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上述各项合同文件包括合同当事人就该项合同文件所作出的补充和修改，属于同一类内容的文件，应以最新签署的为准。专用合同条款及其附件须经合同当事人签字或盖章。</w:t>
      </w:r>
    </w:p>
    <w:p w14:paraId="26E8AB2A">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七、承诺</w:t>
      </w:r>
    </w:p>
    <w:p w14:paraId="4E682D31">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1.发包人承诺按照法律规定履行项目审批手续、筹集工程建设资金并按照合同约定的期限和方式支付合同价款。</w:t>
      </w:r>
    </w:p>
    <w:p w14:paraId="41A100F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2.承包人承诺按照法律规定及合同约定组织完成经批准实施的工程施工，确保工程质量和安全，不进行转包及违法分包，并在缺陷责任期及保修期内承担相应的工程维修责任。</w:t>
      </w:r>
    </w:p>
    <w:p w14:paraId="1955E9D6">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3.遇下列情形，中标单位必须无条件服从业主单位在各区域间调配养护队伍：</w:t>
      </w:r>
    </w:p>
    <w:p w14:paraId="6F768D32">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a.中标单位未能在区域范围按规定时间完成交办任务时；</w:t>
      </w:r>
    </w:p>
    <w:p w14:paraId="7F86D5B0">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b.根据技术力量、设备、人员或其他原因，中标单位不能完成交办任务时；</w:t>
      </w:r>
    </w:p>
    <w:p w14:paraId="4E1E0AA3">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c.特殊情况下的应急抢修、应急抢险等；</w:t>
      </w:r>
    </w:p>
    <w:p w14:paraId="02A7E4BA">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d.其他经建设主管部门认可确需调配的情况。</w:t>
      </w:r>
    </w:p>
    <w:p w14:paraId="7D42CC54">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4.发包人和承包人通过招投标形式签订合同的，双方理解并承诺不再就同一工程另行签订与合同实质性内容相背离的协议。</w:t>
      </w:r>
    </w:p>
    <w:p w14:paraId="20D1AD31">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八、词语含义</w:t>
      </w:r>
    </w:p>
    <w:p w14:paraId="20DEFD91">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本协议书中词语含义与第二部分通用合同条款中赋予的含义相同。</w:t>
      </w:r>
    </w:p>
    <w:p w14:paraId="63A9FF07">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九、签订时间</w:t>
      </w:r>
    </w:p>
    <w:p w14:paraId="5FF81A43">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本合同于</w:t>
      </w:r>
      <w:r>
        <w:rPr>
          <w:rFonts w:hint="eastAsia" w:hAnsi="宋体" w:cs="宋体"/>
          <w:color w:val="auto"/>
          <w:szCs w:val="21"/>
          <w:highlight w:val="none"/>
          <w:u w:val="single"/>
        </w:rPr>
        <w:t xml:space="preserve"> 202</w:t>
      </w:r>
      <w:r>
        <w:rPr>
          <w:rFonts w:hint="eastAsia" w:hAnsi="宋体" w:cs="宋体"/>
          <w:color w:val="auto"/>
          <w:szCs w:val="21"/>
          <w:highlight w:val="none"/>
          <w:u w:val="single"/>
          <w:lang w:val="en-US" w:eastAsia="zh-CN"/>
        </w:rPr>
        <w:t>5</w:t>
      </w:r>
      <w:r>
        <w:rPr>
          <w:rFonts w:hint="eastAsia" w:hAnsi="宋体" w:cs="宋体"/>
          <w:color w:val="auto"/>
          <w:szCs w:val="21"/>
          <w:highlight w:val="none"/>
          <w:u w:val="single"/>
        </w:rPr>
        <w:t xml:space="preserve"> </w:t>
      </w:r>
      <w:r>
        <w:rPr>
          <w:rFonts w:hint="eastAsia" w:hAnsi="宋体" w:cs="宋体"/>
          <w:color w:val="auto"/>
          <w:szCs w:val="21"/>
          <w:highlight w:val="none"/>
        </w:rPr>
        <w:t>年</w:t>
      </w:r>
      <w:r>
        <w:rPr>
          <w:rFonts w:hint="eastAsia" w:hAnsi="宋体" w:cs="宋体"/>
          <w:color w:val="auto"/>
          <w:szCs w:val="21"/>
          <w:highlight w:val="none"/>
          <w:u w:val="single"/>
        </w:rPr>
        <w:t xml:space="preserve">    </w:t>
      </w:r>
      <w:r>
        <w:rPr>
          <w:rFonts w:hint="eastAsia" w:hAnsi="宋体" w:cs="宋体"/>
          <w:color w:val="auto"/>
          <w:szCs w:val="21"/>
          <w:highlight w:val="none"/>
        </w:rPr>
        <w:t>月</w:t>
      </w:r>
      <w:r>
        <w:rPr>
          <w:rFonts w:hint="eastAsia" w:hAnsi="宋体" w:cs="宋体"/>
          <w:color w:val="auto"/>
          <w:szCs w:val="21"/>
          <w:highlight w:val="none"/>
          <w:u w:val="single"/>
        </w:rPr>
        <w:t xml:space="preserve">    </w:t>
      </w:r>
      <w:r>
        <w:rPr>
          <w:rFonts w:hint="eastAsia" w:hAnsi="宋体" w:cs="宋体"/>
          <w:color w:val="auto"/>
          <w:szCs w:val="21"/>
          <w:highlight w:val="none"/>
        </w:rPr>
        <w:t>日签订。</w:t>
      </w:r>
    </w:p>
    <w:p w14:paraId="0EE82283">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十、签订地点</w:t>
      </w:r>
    </w:p>
    <w:p w14:paraId="01F64AD8">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本合同在</w:t>
      </w:r>
      <w:r>
        <w:rPr>
          <w:rFonts w:hint="eastAsia" w:hAnsi="宋体" w:cs="宋体"/>
          <w:color w:val="auto"/>
          <w:szCs w:val="21"/>
          <w:highlight w:val="none"/>
          <w:u w:val="single"/>
        </w:rPr>
        <w:t xml:space="preserve">  南通市崇川区城市工程建设管理中心  </w:t>
      </w:r>
      <w:r>
        <w:rPr>
          <w:rFonts w:hint="eastAsia" w:hAnsi="宋体" w:cs="宋体"/>
          <w:color w:val="auto"/>
          <w:szCs w:val="21"/>
          <w:highlight w:val="none"/>
        </w:rPr>
        <w:t>签订。</w:t>
      </w:r>
    </w:p>
    <w:p w14:paraId="1575E110">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十一、补充协议</w:t>
      </w:r>
    </w:p>
    <w:p w14:paraId="42303C0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合同未尽事宜，合同当事人另行签订补充协议，补充协议是合同的组成部分。</w:t>
      </w:r>
    </w:p>
    <w:p w14:paraId="003F630D">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十二、合同生效</w:t>
      </w:r>
    </w:p>
    <w:p w14:paraId="498AE518">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本合同自</w:t>
      </w:r>
      <w:r>
        <w:rPr>
          <w:rFonts w:hint="eastAsia" w:hAnsi="宋体" w:cs="宋体"/>
          <w:color w:val="auto"/>
          <w:szCs w:val="21"/>
          <w:highlight w:val="none"/>
          <w:u w:val="single"/>
        </w:rPr>
        <w:t xml:space="preserve"> </w:t>
      </w:r>
      <w:r>
        <w:rPr>
          <w:rFonts w:hint="eastAsia" w:hAnsi="宋体" w:cs="宋体"/>
          <w:color w:val="auto"/>
          <w:szCs w:val="21"/>
          <w:highlight w:val="none"/>
          <w:u w:val="single"/>
          <w:lang w:val="zh-CN"/>
        </w:rPr>
        <w:t>承包人交纳履约保证金，承包人法定代表人与发包人代表当面签字、双方盖章后</w:t>
      </w:r>
      <w:r>
        <w:rPr>
          <w:rFonts w:hint="eastAsia" w:hAnsi="宋体" w:cs="宋体"/>
          <w:color w:val="auto"/>
          <w:szCs w:val="21"/>
          <w:highlight w:val="none"/>
          <w:u w:val="single"/>
        </w:rPr>
        <w:t xml:space="preserve"> </w:t>
      </w:r>
      <w:r>
        <w:rPr>
          <w:rFonts w:hint="eastAsia" w:hAnsi="宋体" w:cs="宋体"/>
          <w:color w:val="auto"/>
          <w:szCs w:val="21"/>
          <w:highlight w:val="none"/>
        </w:rPr>
        <w:t>生效。</w:t>
      </w:r>
    </w:p>
    <w:p w14:paraId="15FDD6AD">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十三、合同份数</w:t>
      </w:r>
    </w:p>
    <w:p w14:paraId="0E6BF1C1">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本合同一式</w:t>
      </w:r>
      <w:r>
        <w:rPr>
          <w:rFonts w:hint="eastAsia" w:hAnsi="宋体" w:cs="宋体"/>
          <w:color w:val="auto"/>
          <w:szCs w:val="21"/>
          <w:highlight w:val="none"/>
          <w:u w:val="single"/>
        </w:rPr>
        <w:t xml:space="preserve"> 陆 </w:t>
      </w:r>
      <w:r>
        <w:rPr>
          <w:rFonts w:hint="eastAsia" w:hAnsi="宋体" w:cs="宋体"/>
          <w:color w:val="auto"/>
          <w:szCs w:val="21"/>
          <w:highlight w:val="none"/>
        </w:rPr>
        <w:t>份，均具有同等法律效力，发包人执</w:t>
      </w:r>
      <w:r>
        <w:rPr>
          <w:rFonts w:hint="eastAsia" w:hAnsi="宋体" w:cs="宋体"/>
          <w:color w:val="auto"/>
          <w:szCs w:val="21"/>
          <w:highlight w:val="none"/>
          <w:u w:val="single"/>
        </w:rPr>
        <w:t xml:space="preserve"> 叁 </w:t>
      </w:r>
      <w:r>
        <w:rPr>
          <w:rFonts w:hint="eastAsia" w:hAnsi="宋体" w:cs="宋体"/>
          <w:color w:val="auto"/>
          <w:szCs w:val="21"/>
          <w:highlight w:val="none"/>
        </w:rPr>
        <w:t>份，承包人执</w:t>
      </w:r>
      <w:r>
        <w:rPr>
          <w:rFonts w:hint="eastAsia" w:hAnsi="宋体" w:cs="宋体"/>
          <w:color w:val="auto"/>
          <w:szCs w:val="21"/>
          <w:highlight w:val="none"/>
          <w:u w:val="single"/>
        </w:rPr>
        <w:t xml:space="preserve"> 叁 </w:t>
      </w:r>
      <w:r>
        <w:rPr>
          <w:rFonts w:hint="eastAsia" w:hAnsi="宋体" w:cs="宋体"/>
          <w:color w:val="auto"/>
          <w:szCs w:val="21"/>
          <w:highlight w:val="none"/>
        </w:rPr>
        <w:t>份。</w:t>
      </w:r>
    </w:p>
    <w:p w14:paraId="3F9F6FF0">
      <w:pPr>
        <w:spacing w:line="420" w:lineRule="exact"/>
        <w:ind w:firstLine="420" w:firstLineChars="200"/>
        <w:jc w:val="left"/>
        <w:rPr>
          <w:rFonts w:hint="eastAsia" w:hAnsi="宋体" w:cs="宋体"/>
          <w:bCs/>
          <w:color w:val="auto"/>
          <w:szCs w:val="21"/>
          <w:highlight w:val="none"/>
        </w:rPr>
      </w:pPr>
    </w:p>
    <w:p w14:paraId="27DE56C2">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发包人：  (公章)                         承包人：  (公章)</w:t>
      </w:r>
    </w:p>
    <w:p w14:paraId="4A53B19F">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法定代表人或其委托代理人：               法定代表人或其委托代理人：</w:t>
      </w:r>
    </w:p>
    <w:p w14:paraId="1F05DDD7">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（签字）                                 （签字）</w:t>
      </w:r>
    </w:p>
    <w:p w14:paraId="23771648">
      <w:pPr>
        <w:spacing w:line="420" w:lineRule="exact"/>
        <w:ind w:firstLine="420" w:firstLineChars="200"/>
        <w:jc w:val="left"/>
        <w:rPr>
          <w:rFonts w:hint="eastAsia" w:hAnsi="宋体" w:cs="宋体"/>
          <w:color w:val="auto"/>
          <w:szCs w:val="21"/>
          <w:highlight w:val="none"/>
          <w:u w:val="single"/>
        </w:rPr>
      </w:pPr>
    </w:p>
    <w:p w14:paraId="73EA2B86">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组织机构代码：</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组织机构代码：</w:t>
      </w:r>
      <w:r>
        <w:rPr>
          <w:rFonts w:hint="eastAsia" w:hAnsi="宋体" w:cs="宋体"/>
          <w:color w:val="auto"/>
          <w:szCs w:val="21"/>
          <w:highlight w:val="none"/>
          <w:u w:val="single"/>
        </w:rPr>
        <w:t xml:space="preserve">           </w:t>
      </w:r>
      <w:r>
        <w:rPr>
          <w:rFonts w:hint="eastAsia" w:hAnsi="宋体" w:cs="宋体"/>
          <w:color w:val="auto"/>
          <w:szCs w:val="21"/>
          <w:highlight w:val="none"/>
        </w:rPr>
        <w:t xml:space="preserve"> </w:t>
      </w:r>
    </w:p>
    <w:p w14:paraId="1C146A9F">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地  址：</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地  址：</w:t>
      </w:r>
      <w:r>
        <w:rPr>
          <w:rFonts w:hint="eastAsia" w:hAnsi="宋体" w:cs="宋体"/>
          <w:color w:val="auto"/>
          <w:szCs w:val="21"/>
          <w:highlight w:val="none"/>
          <w:u w:val="single"/>
        </w:rPr>
        <w:t>                 </w:t>
      </w:r>
    </w:p>
    <w:p w14:paraId="22514349">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邮政编码：</w:t>
      </w:r>
      <w:r>
        <w:rPr>
          <w:rFonts w:hint="eastAsia" w:hAnsi="宋体" w:cs="宋体"/>
          <w:color w:val="auto"/>
          <w:szCs w:val="21"/>
          <w:highlight w:val="none"/>
          <w:u w:val="single"/>
        </w:rPr>
        <w:t xml:space="preserve">                </w:t>
      </w:r>
      <w:r>
        <w:rPr>
          <w:rFonts w:hint="eastAsia" w:hAnsi="宋体" w:cs="宋体"/>
          <w:color w:val="auto"/>
          <w:szCs w:val="21"/>
          <w:highlight w:val="none"/>
        </w:rPr>
        <w:t xml:space="preserve">              邮政编码：</w:t>
      </w:r>
      <w:r>
        <w:rPr>
          <w:rFonts w:hint="eastAsia" w:hAnsi="宋体" w:cs="宋体"/>
          <w:color w:val="auto"/>
          <w:szCs w:val="21"/>
          <w:highlight w:val="none"/>
          <w:u w:val="single"/>
        </w:rPr>
        <w:t xml:space="preserve">                    </w:t>
      </w:r>
    </w:p>
    <w:p w14:paraId="29F38F02">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法定代表人：</w:t>
      </w:r>
      <w:r>
        <w:rPr>
          <w:rFonts w:hint="eastAsia" w:hAnsi="宋体" w:cs="宋体"/>
          <w:color w:val="auto"/>
          <w:szCs w:val="21"/>
          <w:highlight w:val="none"/>
          <w:u w:val="single"/>
        </w:rPr>
        <w:t xml:space="preserve">            </w:t>
      </w:r>
      <w:r>
        <w:rPr>
          <w:rFonts w:hint="eastAsia" w:hAnsi="宋体" w:cs="宋体"/>
          <w:color w:val="auto"/>
          <w:szCs w:val="21"/>
          <w:highlight w:val="none"/>
        </w:rPr>
        <w:t xml:space="preserve">               法定代表人：</w:t>
      </w:r>
      <w:r>
        <w:rPr>
          <w:rFonts w:hint="eastAsia" w:hAnsi="宋体" w:cs="宋体"/>
          <w:color w:val="auto"/>
          <w:szCs w:val="21"/>
          <w:highlight w:val="none"/>
          <w:u w:val="single"/>
        </w:rPr>
        <w:t xml:space="preserve">             </w:t>
      </w:r>
    </w:p>
    <w:p w14:paraId="24587D59">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委托代理人：</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委托代理人：</w:t>
      </w:r>
      <w:r>
        <w:rPr>
          <w:rFonts w:hint="eastAsia" w:hAnsi="宋体" w:cs="宋体"/>
          <w:color w:val="auto"/>
          <w:szCs w:val="21"/>
          <w:highlight w:val="none"/>
          <w:u w:val="single"/>
        </w:rPr>
        <w:t xml:space="preserve">             </w:t>
      </w:r>
    </w:p>
    <w:p w14:paraId="098747C3">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电  话：</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电  话：</w:t>
      </w:r>
      <w:r>
        <w:rPr>
          <w:rFonts w:hint="eastAsia" w:hAnsi="宋体" w:cs="宋体"/>
          <w:color w:val="auto"/>
          <w:szCs w:val="21"/>
          <w:highlight w:val="none"/>
          <w:u w:val="single"/>
        </w:rPr>
        <w:t xml:space="preserve">                     </w:t>
      </w:r>
    </w:p>
    <w:p w14:paraId="6FA9FA5F">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传  真：</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传  真：</w:t>
      </w:r>
      <w:r>
        <w:rPr>
          <w:rFonts w:hint="eastAsia" w:hAnsi="宋体" w:cs="宋体"/>
          <w:color w:val="auto"/>
          <w:szCs w:val="21"/>
          <w:highlight w:val="none"/>
          <w:u w:val="single"/>
        </w:rPr>
        <w:t xml:space="preserve">                    </w:t>
      </w:r>
    </w:p>
    <w:p w14:paraId="659A76ED">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电子信箱：</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电子信箱：</w:t>
      </w:r>
      <w:r>
        <w:rPr>
          <w:rFonts w:hint="eastAsia" w:hAnsi="宋体" w:cs="宋体"/>
          <w:color w:val="auto"/>
          <w:szCs w:val="21"/>
          <w:highlight w:val="none"/>
          <w:u w:val="single"/>
        </w:rPr>
        <w:t xml:space="preserve">                    </w:t>
      </w:r>
    </w:p>
    <w:p w14:paraId="25A38704">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开户银行：</w:t>
      </w:r>
      <w:r>
        <w:rPr>
          <w:rFonts w:hint="eastAsia" w:hAnsi="宋体" w:cs="宋体"/>
          <w:color w:val="auto"/>
          <w:szCs w:val="21"/>
          <w:highlight w:val="none"/>
          <w:u w:val="single"/>
        </w:rPr>
        <w:t xml:space="preserve">                 </w:t>
      </w:r>
      <w:r>
        <w:rPr>
          <w:rFonts w:hint="eastAsia" w:hAnsi="宋体" w:cs="宋体"/>
          <w:color w:val="auto"/>
          <w:szCs w:val="21"/>
          <w:highlight w:val="none"/>
        </w:rPr>
        <w:t xml:space="preserve">               开户银行：</w:t>
      </w:r>
      <w:r>
        <w:rPr>
          <w:rFonts w:hint="eastAsia" w:hAnsi="宋体" w:cs="宋体"/>
          <w:color w:val="auto"/>
          <w:szCs w:val="21"/>
          <w:highlight w:val="none"/>
          <w:u w:val="single"/>
        </w:rPr>
        <w:t xml:space="preserve">                    </w:t>
      </w:r>
    </w:p>
    <w:p w14:paraId="30C0BE45">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账  号：</w:t>
      </w:r>
      <w:r>
        <w:rPr>
          <w:rFonts w:hint="eastAsia" w:hAnsi="宋体" w:cs="宋体"/>
          <w:color w:val="auto"/>
          <w:szCs w:val="21"/>
          <w:highlight w:val="none"/>
          <w:u w:val="single"/>
        </w:rPr>
        <w:t xml:space="preserve">                 </w:t>
      </w:r>
      <w:r>
        <w:rPr>
          <w:rFonts w:hint="eastAsia" w:hAnsi="宋体" w:cs="宋体"/>
          <w:color w:val="auto"/>
          <w:szCs w:val="21"/>
          <w:highlight w:val="none"/>
        </w:rPr>
        <w:t xml:space="preserve">               账  号：</w:t>
      </w:r>
      <w:r>
        <w:rPr>
          <w:rFonts w:hint="eastAsia" w:hAnsi="宋体" w:cs="宋体"/>
          <w:color w:val="auto"/>
          <w:szCs w:val="21"/>
          <w:highlight w:val="none"/>
          <w:u w:val="single"/>
        </w:rPr>
        <w:t xml:space="preserve">                      </w:t>
      </w:r>
    </w:p>
    <w:p w14:paraId="21CEBA3C">
      <w:pPr>
        <w:keepNext/>
        <w:keepLines/>
        <w:spacing w:before="260" w:after="260"/>
        <w:jc w:val="center"/>
        <w:outlineLvl w:val="1"/>
        <w:rPr>
          <w:rFonts w:hint="eastAsia" w:ascii="宋体" w:hAnsi="宋体" w:cs="宋体"/>
          <w:b/>
          <w:bCs/>
          <w:color w:val="auto"/>
          <w:sz w:val="30"/>
          <w:szCs w:val="30"/>
          <w:highlight w:val="none"/>
        </w:rPr>
      </w:pPr>
      <w:r>
        <w:rPr>
          <w:rFonts w:hint="eastAsia" w:ascii="Cambria" w:hAnsi="宋体" w:cs="宋体"/>
          <w:b/>
          <w:bCs/>
          <w:color w:val="auto"/>
          <w:sz w:val="32"/>
          <w:szCs w:val="32"/>
          <w:highlight w:val="none"/>
        </w:rPr>
        <w:br w:type="page"/>
      </w:r>
      <w:r>
        <w:rPr>
          <w:rFonts w:hint="eastAsia" w:ascii="宋体" w:hAnsi="宋体" w:cs="宋体"/>
          <w:b/>
          <w:bCs/>
          <w:color w:val="auto"/>
          <w:sz w:val="30"/>
          <w:szCs w:val="30"/>
          <w:highlight w:val="none"/>
        </w:rPr>
        <w:t>第二节　通用条款(略)</w:t>
      </w:r>
    </w:p>
    <w:p w14:paraId="6886DE1A">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采用《建设工程施工合同（示范文本）》（GF—2017—0201）</w:t>
      </w:r>
    </w:p>
    <w:p w14:paraId="70803806">
      <w:pPr>
        <w:spacing w:line="440" w:lineRule="exact"/>
        <w:rPr>
          <w:rFonts w:hint="eastAsia" w:hAnsi="宋体" w:cs="宋体"/>
          <w:b/>
          <w:bCs/>
          <w:color w:val="auto"/>
          <w:sz w:val="30"/>
          <w:szCs w:val="21"/>
          <w:highlight w:val="none"/>
        </w:rPr>
      </w:pPr>
    </w:p>
    <w:p w14:paraId="53D16907">
      <w:pPr>
        <w:keepNext/>
        <w:keepLines/>
        <w:spacing w:before="260" w:after="260"/>
        <w:jc w:val="center"/>
        <w:outlineLvl w:val="1"/>
        <w:rPr>
          <w:rFonts w:hint="eastAsia" w:ascii="宋体" w:hAnsi="宋体" w:cs="宋体"/>
          <w:b/>
          <w:bCs/>
          <w:color w:val="auto"/>
          <w:sz w:val="30"/>
          <w:szCs w:val="30"/>
          <w:highlight w:val="none"/>
        </w:rPr>
      </w:pPr>
      <w:r>
        <w:rPr>
          <w:rFonts w:hint="eastAsia" w:ascii="宋体" w:hAnsi="宋体" w:cs="宋体"/>
          <w:b/>
          <w:bCs/>
          <w:color w:val="auto"/>
          <w:sz w:val="30"/>
          <w:szCs w:val="30"/>
          <w:highlight w:val="none"/>
        </w:rPr>
        <w:t>第三节　专用条款</w:t>
      </w:r>
    </w:p>
    <w:p w14:paraId="07D69D91">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1.一般约定</w:t>
      </w:r>
    </w:p>
    <w:p w14:paraId="17F45DC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 词语定义</w:t>
      </w:r>
    </w:p>
    <w:p w14:paraId="221AA39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1.1.1</w:t>
      </w:r>
      <w:r>
        <w:rPr>
          <w:rFonts w:hint="eastAsia" w:hAnsi="宋体" w:cs="宋体"/>
          <w:color w:val="auto"/>
          <w:szCs w:val="21"/>
          <w:highlight w:val="none"/>
          <w:lang w:val="en-US" w:eastAsia="zh-CN"/>
        </w:rPr>
        <w:t xml:space="preserve"> </w:t>
      </w:r>
      <w:r>
        <w:rPr>
          <w:rFonts w:hint="eastAsia" w:hAnsi="宋体" w:cs="宋体"/>
          <w:color w:val="auto"/>
          <w:szCs w:val="21"/>
          <w:highlight w:val="none"/>
          <w:lang w:val="zh-CN"/>
        </w:rPr>
        <w:t>合同</w:t>
      </w:r>
    </w:p>
    <w:p w14:paraId="1FF6E4F3">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其他合同文件包括：</w:t>
      </w:r>
      <w:r>
        <w:rPr>
          <w:rFonts w:hint="eastAsia" w:hAnsi="宋体" w:cs="宋体"/>
          <w:color w:val="auto"/>
          <w:szCs w:val="21"/>
          <w:highlight w:val="none"/>
          <w:u w:val="single"/>
        </w:rPr>
        <w:t xml:space="preserve"> </w:t>
      </w:r>
      <w:r>
        <w:rPr>
          <w:rFonts w:hint="eastAsia" w:hAnsi="宋体" w:cs="宋体"/>
          <w:b/>
          <w:bCs/>
          <w:color w:val="auto"/>
          <w:szCs w:val="21"/>
          <w:highlight w:val="none"/>
          <w:u w:val="single"/>
          <w:lang w:val="zh-CN"/>
        </w:rPr>
        <w:t>（1）发包人与承包人协商备忘、合同补充文件；（2）采购文件有书面答疑等补充修改文件；（3）全费用综合单</w:t>
      </w:r>
      <w:r>
        <w:rPr>
          <w:rFonts w:hAnsi="宋体" w:cs="宋体"/>
          <w:b/>
          <w:bCs/>
          <w:color w:val="auto"/>
          <w:szCs w:val="21"/>
          <w:highlight w:val="none"/>
          <w:u w:val="single"/>
          <w:lang w:val="zh-CN"/>
        </w:rPr>
        <w:t>价工程量清单</w:t>
      </w:r>
      <w:r>
        <w:rPr>
          <w:rFonts w:hint="eastAsia" w:hAnsi="宋体" w:cs="宋体"/>
          <w:b/>
          <w:bCs/>
          <w:color w:val="auto"/>
          <w:szCs w:val="21"/>
          <w:highlight w:val="none"/>
          <w:u w:val="single"/>
          <w:lang w:val="zh-CN"/>
        </w:rPr>
        <w:t>；（4）经发包人确认有效的工程签证单</w:t>
      </w:r>
      <w:r>
        <w:rPr>
          <w:rFonts w:hint="eastAsia" w:hAnsi="宋体" w:cs="宋体"/>
          <w:color w:val="auto"/>
          <w:szCs w:val="21"/>
          <w:highlight w:val="none"/>
          <w:u w:val="single"/>
        </w:rPr>
        <w:t xml:space="preserve"> </w:t>
      </w:r>
      <w:r>
        <w:rPr>
          <w:rFonts w:hint="eastAsia" w:hAnsi="宋体" w:cs="宋体"/>
          <w:color w:val="auto"/>
          <w:szCs w:val="21"/>
          <w:highlight w:val="none"/>
          <w:lang w:val="zh-CN"/>
        </w:rPr>
        <w:t>。</w:t>
      </w:r>
    </w:p>
    <w:p w14:paraId="2ADEA3A3">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1.1.2 合同当事人及其他相关方</w:t>
      </w:r>
    </w:p>
    <w:p w14:paraId="6E4A0947">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1.1.2.</w:t>
      </w:r>
      <w:r>
        <w:rPr>
          <w:rFonts w:hint="eastAsia" w:hAnsi="宋体" w:cs="宋体"/>
          <w:color w:val="auto"/>
          <w:szCs w:val="21"/>
          <w:highlight w:val="none"/>
          <w:lang w:val="en-US" w:eastAsia="zh-CN"/>
        </w:rPr>
        <w:t xml:space="preserve">1 </w:t>
      </w:r>
      <w:r>
        <w:rPr>
          <w:rFonts w:hint="eastAsia" w:hAnsi="宋体" w:cs="宋体"/>
          <w:color w:val="auto"/>
          <w:szCs w:val="21"/>
          <w:highlight w:val="none"/>
          <w:lang w:val="zh-CN"/>
        </w:rPr>
        <w:t>监理人：</w:t>
      </w:r>
    </w:p>
    <w:p w14:paraId="28D58B7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名    称：</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1ABB3C5">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资质类别和等级：</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763C005C">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联系电话：</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344AEDD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电子信箱：</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A2F4C46">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通信地址：</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FC5F72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1.1.2.</w:t>
      </w:r>
      <w:r>
        <w:rPr>
          <w:rFonts w:hint="eastAsia" w:hAnsi="宋体" w:cs="宋体"/>
          <w:color w:val="auto"/>
          <w:szCs w:val="21"/>
          <w:highlight w:val="none"/>
          <w:lang w:val="en-US" w:eastAsia="zh-CN"/>
        </w:rPr>
        <w:t>2</w:t>
      </w:r>
      <w:r>
        <w:rPr>
          <w:rFonts w:hint="eastAsia" w:hAnsi="宋体" w:cs="宋体"/>
          <w:color w:val="auto"/>
          <w:szCs w:val="21"/>
          <w:highlight w:val="none"/>
          <w:lang w:val="zh-CN"/>
        </w:rPr>
        <w:t xml:space="preserve"> 设计人：</w:t>
      </w:r>
    </w:p>
    <w:p w14:paraId="55F49E65">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名    称：</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77CF82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资质类别和等级：</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F98E52F">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联系电话：</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60BCEC8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电子信箱：</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78B5B9E1">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通信地址：</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74F78D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1.1.3 工程和设备</w:t>
      </w:r>
    </w:p>
    <w:p w14:paraId="751E5002">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1.1.3.</w:t>
      </w:r>
      <w:r>
        <w:rPr>
          <w:rFonts w:hint="eastAsia" w:hAnsi="宋体" w:cs="宋体"/>
          <w:color w:val="auto"/>
          <w:szCs w:val="21"/>
          <w:highlight w:val="none"/>
          <w:lang w:val="en-US" w:eastAsia="zh-CN"/>
        </w:rPr>
        <w:t xml:space="preserve">1 </w:t>
      </w:r>
      <w:r>
        <w:rPr>
          <w:rFonts w:hint="eastAsia" w:hAnsi="宋体" w:cs="宋体"/>
          <w:color w:val="auto"/>
          <w:szCs w:val="21"/>
          <w:highlight w:val="none"/>
          <w:lang w:val="zh-CN"/>
        </w:rPr>
        <w:t>作为施工现场组成部分的其他场所包括：</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28606AF">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1.1.3.</w:t>
      </w:r>
      <w:r>
        <w:rPr>
          <w:rFonts w:hint="eastAsia" w:hAnsi="宋体" w:cs="宋体"/>
          <w:color w:val="auto"/>
          <w:szCs w:val="21"/>
          <w:highlight w:val="none"/>
          <w:lang w:val="en-US" w:eastAsia="zh-CN"/>
        </w:rPr>
        <w:t>2</w:t>
      </w:r>
      <w:r>
        <w:rPr>
          <w:rFonts w:hint="eastAsia" w:hAnsi="宋体" w:cs="宋体"/>
          <w:color w:val="auto"/>
          <w:szCs w:val="21"/>
          <w:highlight w:val="none"/>
          <w:lang w:val="zh-CN"/>
        </w:rPr>
        <w:t xml:space="preserve"> 永久占地包括：</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79BA41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1.1.3.</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临时占地包括：</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6516F9DC">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 xml:space="preserve">2 </w:t>
      </w:r>
      <w:r>
        <w:rPr>
          <w:rFonts w:hint="eastAsia" w:hAnsi="宋体" w:cs="宋体"/>
          <w:color w:val="auto"/>
          <w:szCs w:val="21"/>
          <w:highlight w:val="none"/>
          <w:lang w:val="zh-CN"/>
        </w:rPr>
        <w:t xml:space="preserve">法律 </w:t>
      </w:r>
    </w:p>
    <w:p w14:paraId="06610F74">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lang w:val="zh-CN"/>
        </w:rPr>
        <w:t>适用于合同的其他规范性文件：</w:t>
      </w:r>
      <w:r>
        <w:rPr>
          <w:rFonts w:hint="eastAsia" w:hAnsi="宋体" w:cs="宋体"/>
          <w:b/>
          <w:bCs/>
          <w:color w:val="auto"/>
          <w:szCs w:val="21"/>
          <w:highlight w:val="none"/>
          <w:u w:val="single"/>
          <w:lang w:val="zh-CN"/>
        </w:rPr>
        <w:t>《中华人民共和国建筑法》、《中华人民共和国民法典》、《中华人民共和国招标投标法》、七部委第12号令《评标委员会和评标方法暂行规定》 、建设部第89号令《房屋建筑和市政基础设施工程施工招标投标管理办法》、七部委第30号令《建设工程质量管理条例》（国务院第279号令）、《江苏省工程建设管理条例》、《江苏省建筑市场管理条例》、《中华人民共和国环境噪声污染防治法》等。</w:t>
      </w:r>
    </w:p>
    <w:p w14:paraId="3A0727B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标准和规范</w:t>
      </w:r>
    </w:p>
    <w:p w14:paraId="2277A2C6">
      <w:pPr>
        <w:spacing w:line="420" w:lineRule="exact"/>
        <w:ind w:firstLine="420" w:firstLineChars="200"/>
        <w:rPr>
          <w:rFonts w:hint="eastAsia" w:hAnsi="宋体" w:cs="宋体"/>
          <w:b/>
          <w:color w:val="auto"/>
          <w:szCs w:val="21"/>
          <w:highlight w:val="none"/>
          <w:u w:val="single"/>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3</w:t>
      </w:r>
      <w:r>
        <w:rPr>
          <w:rFonts w:hint="eastAsia" w:hAnsi="宋体" w:cs="宋体"/>
          <w:color w:val="auto"/>
          <w:szCs w:val="21"/>
          <w:highlight w:val="none"/>
          <w:lang w:val="zh-CN"/>
        </w:rPr>
        <w:t>.1适用于工程的标准规范包括：</w:t>
      </w:r>
      <w:r>
        <w:rPr>
          <w:rFonts w:hint="eastAsia" w:hAnsi="宋体" w:cs="Calibri"/>
          <w:color w:val="auto"/>
          <w:szCs w:val="21"/>
          <w:highlight w:val="none"/>
          <w:u w:val="single"/>
        </w:rPr>
        <w:t>国家、地方、行业现行的建设工程规范和标准；国家、地方、行业现行的有关材料、设备的规范和标准；现行的江苏省工程预算定额及相关规定</w:t>
      </w:r>
      <w:r>
        <w:rPr>
          <w:rFonts w:hint="eastAsia" w:hAnsi="宋体" w:cs="宋体"/>
          <w:color w:val="auto"/>
          <w:szCs w:val="21"/>
          <w:highlight w:val="none"/>
          <w:lang w:val="zh-CN"/>
        </w:rPr>
        <w:t>；</w:t>
      </w:r>
    </w:p>
    <w:p w14:paraId="72EF97DE">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3</w:t>
      </w:r>
      <w:r>
        <w:rPr>
          <w:rFonts w:hint="eastAsia" w:hAnsi="宋体" w:cs="宋体"/>
          <w:color w:val="auto"/>
          <w:szCs w:val="21"/>
          <w:highlight w:val="none"/>
          <w:lang w:val="zh-CN"/>
        </w:rPr>
        <w:t>.2 发包人提供国外标准、规范的名称：</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07B9B96">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发包人提供国外标准、规范的份数：</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65333F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发包人提供国外标准、规范的名称：</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F19E6E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3</w:t>
      </w:r>
      <w:r>
        <w:rPr>
          <w:rFonts w:hint="eastAsia" w:hAnsi="宋体" w:cs="宋体"/>
          <w:color w:val="auto"/>
          <w:szCs w:val="21"/>
          <w:highlight w:val="none"/>
          <w:lang w:val="zh-CN"/>
        </w:rPr>
        <w:t>.3</w:t>
      </w:r>
      <w:r>
        <w:rPr>
          <w:rFonts w:hint="eastAsia" w:hAnsi="宋体" w:cs="宋体"/>
          <w:color w:val="auto"/>
          <w:szCs w:val="21"/>
          <w:highlight w:val="none"/>
          <w:lang w:val="en-US" w:eastAsia="zh-CN"/>
        </w:rPr>
        <w:t xml:space="preserve"> </w:t>
      </w:r>
      <w:r>
        <w:rPr>
          <w:rFonts w:hint="eastAsia" w:hAnsi="宋体" w:cs="宋体"/>
          <w:color w:val="auto"/>
          <w:szCs w:val="21"/>
          <w:highlight w:val="none"/>
          <w:lang w:val="zh-CN"/>
        </w:rPr>
        <w:t>发包人对工程的技术标准和功能要求的特殊要求：</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7DC7C8AB">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4</w:t>
      </w:r>
      <w:r>
        <w:rPr>
          <w:rFonts w:hint="eastAsia" w:hAnsi="宋体" w:cs="宋体"/>
          <w:color w:val="auto"/>
          <w:szCs w:val="21"/>
          <w:highlight w:val="none"/>
          <w:lang w:val="zh-CN"/>
        </w:rPr>
        <w:t xml:space="preserve"> 合同文件的优先顺序</w:t>
      </w:r>
    </w:p>
    <w:p w14:paraId="7376B0E7">
      <w:pPr>
        <w:autoSpaceDE w:val="0"/>
        <w:autoSpaceDN w:val="0"/>
        <w:adjustRightInd w:val="0"/>
        <w:spacing w:line="420" w:lineRule="exact"/>
        <w:ind w:firstLine="480"/>
        <w:rPr>
          <w:rFonts w:hint="eastAsia" w:hAnsi="宋体" w:cs="宋体"/>
          <w:b/>
          <w:color w:val="auto"/>
          <w:szCs w:val="21"/>
          <w:highlight w:val="none"/>
          <w:u w:val="single"/>
          <w:lang w:val="zh-CN"/>
        </w:rPr>
      </w:pPr>
      <w:r>
        <w:rPr>
          <w:rFonts w:hint="eastAsia" w:hAnsi="宋体" w:cs="宋体"/>
          <w:color w:val="auto"/>
          <w:szCs w:val="21"/>
          <w:highlight w:val="none"/>
          <w:lang w:val="zh-CN"/>
        </w:rPr>
        <w:t>合同文件组成及优先顺序为：</w:t>
      </w:r>
      <w:r>
        <w:rPr>
          <w:rFonts w:hint="eastAsia" w:hAnsi="宋体" w:cs="宋体"/>
          <w:b/>
          <w:color w:val="auto"/>
          <w:szCs w:val="21"/>
          <w:highlight w:val="none"/>
          <w:u w:val="single"/>
          <w:lang w:val="zh-CN"/>
        </w:rPr>
        <w:t>（1）合同协议书；（2）中标通知书；（3）采购文件及修改、补充文件；（4）投标函及其附录；（5）专用合同条款及其附件；（6）通用合同条款；（7）技术标准和要求；（8）图纸；（9）工程量清单；（10）响应文件；（11）其他合同文件。</w:t>
      </w:r>
    </w:p>
    <w:p w14:paraId="759C5C9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5</w:t>
      </w:r>
      <w:r>
        <w:rPr>
          <w:rFonts w:hint="eastAsia" w:hAnsi="宋体" w:cs="宋体"/>
          <w:color w:val="auto"/>
          <w:szCs w:val="21"/>
          <w:highlight w:val="none"/>
          <w:lang w:val="zh-CN"/>
        </w:rPr>
        <w:t xml:space="preserve"> 图纸和承包人文件</w:t>
      </w:r>
      <w:r>
        <w:rPr>
          <w:rFonts w:hint="eastAsia" w:hAnsi="宋体" w:cs="宋体"/>
          <w:color w:val="auto"/>
          <w:szCs w:val="21"/>
          <w:highlight w:val="none"/>
          <w:lang w:val="zh-CN"/>
        </w:rPr>
        <w:tab/>
      </w:r>
    </w:p>
    <w:p w14:paraId="570AE62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5</w:t>
      </w:r>
      <w:r>
        <w:rPr>
          <w:rFonts w:hint="eastAsia" w:hAnsi="宋体" w:cs="宋体"/>
          <w:color w:val="auto"/>
          <w:szCs w:val="21"/>
          <w:highlight w:val="none"/>
          <w:lang w:val="zh-CN"/>
        </w:rPr>
        <w:t>.1 图纸的提供（如有）</w:t>
      </w:r>
    </w:p>
    <w:p w14:paraId="08EB7577">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发包人向承包人提供图纸的期限：</w:t>
      </w:r>
      <w:r>
        <w:rPr>
          <w:rFonts w:hint="eastAsia" w:hAnsi="宋体" w:cs="宋体"/>
          <w:b/>
          <w:bCs/>
          <w:color w:val="auto"/>
          <w:szCs w:val="21"/>
          <w:highlight w:val="none"/>
          <w:u w:val="single"/>
          <w:lang w:val="zh-CN"/>
        </w:rPr>
        <w:t>根据实际需要</w:t>
      </w:r>
      <w:r>
        <w:rPr>
          <w:rFonts w:hint="eastAsia" w:hAnsi="宋体" w:cs="宋体"/>
          <w:color w:val="auto"/>
          <w:szCs w:val="21"/>
          <w:highlight w:val="none"/>
          <w:lang w:val="zh-CN"/>
        </w:rPr>
        <w:t>；</w:t>
      </w:r>
    </w:p>
    <w:p w14:paraId="40368DB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发包人向承包人提供图纸的数量：</w:t>
      </w:r>
      <w:r>
        <w:rPr>
          <w:rFonts w:hint="eastAsia" w:hAnsi="宋体" w:cs="宋体"/>
          <w:b/>
          <w:bCs/>
          <w:color w:val="auto"/>
          <w:szCs w:val="21"/>
          <w:highlight w:val="none"/>
          <w:u w:val="single"/>
          <w:lang w:val="zh-CN"/>
        </w:rPr>
        <w:t>肆套；</w:t>
      </w:r>
    </w:p>
    <w:p w14:paraId="577E75DC">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lang w:val="zh-CN"/>
        </w:rPr>
        <w:t>发包人向承包人提供图纸的内容：</w:t>
      </w:r>
      <w:r>
        <w:rPr>
          <w:rFonts w:hint="eastAsia" w:hAnsi="宋体" w:cs="宋体"/>
          <w:b/>
          <w:bCs/>
          <w:color w:val="auto"/>
          <w:szCs w:val="21"/>
          <w:highlight w:val="none"/>
          <w:u w:val="single"/>
          <w:lang w:val="zh-CN"/>
        </w:rPr>
        <w:t>道路维修工程施工图或施工现场签证。</w:t>
      </w:r>
    </w:p>
    <w:p w14:paraId="093FDDF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5</w:t>
      </w:r>
      <w:r>
        <w:rPr>
          <w:rFonts w:hint="eastAsia" w:hAnsi="宋体" w:cs="宋体"/>
          <w:color w:val="auto"/>
          <w:szCs w:val="21"/>
          <w:highlight w:val="none"/>
          <w:lang w:val="zh-CN"/>
        </w:rPr>
        <w:t>.</w:t>
      </w:r>
      <w:r>
        <w:rPr>
          <w:rFonts w:hint="eastAsia" w:hAnsi="宋体" w:cs="宋体"/>
          <w:color w:val="auto"/>
          <w:szCs w:val="21"/>
          <w:highlight w:val="none"/>
          <w:lang w:val="en-US" w:eastAsia="zh-CN"/>
        </w:rPr>
        <w:t>2</w:t>
      </w:r>
      <w:r>
        <w:rPr>
          <w:rFonts w:hint="eastAsia" w:hAnsi="宋体" w:cs="宋体"/>
          <w:color w:val="auto"/>
          <w:szCs w:val="21"/>
          <w:highlight w:val="none"/>
          <w:lang w:val="zh-CN"/>
        </w:rPr>
        <w:t xml:space="preserve"> 承包人文件</w:t>
      </w:r>
    </w:p>
    <w:p w14:paraId="2A6E727F">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rPr>
        <w:t>需要由承包人提供的文件，包括：</w:t>
      </w:r>
      <w:r>
        <w:rPr>
          <w:rFonts w:hint="eastAsia" w:hAnsi="宋体" w:cs="宋体"/>
          <w:b/>
          <w:bCs/>
          <w:color w:val="auto"/>
          <w:szCs w:val="21"/>
          <w:highlight w:val="none"/>
          <w:u w:val="single"/>
          <w:lang w:val="zh-CN"/>
        </w:rPr>
        <w:t>根据实际维修情况提供必要的施工组织设计、工程总进度计划及人员、机械、材料安排计划。</w:t>
      </w:r>
    </w:p>
    <w:p w14:paraId="4A922FB5">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承包人提供的文件的数量为：</w:t>
      </w:r>
      <w:r>
        <w:rPr>
          <w:rFonts w:hint="eastAsia" w:hAnsi="宋体" w:cs="宋体"/>
          <w:b/>
          <w:bCs/>
          <w:color w:val="auto"/>
          <w:szCs w:val="21"/>
          <w:highlight w:val="none"/>
          <w:u w:val="single"/>
          <w:lang w:val="zh-CN"/>
        </w:rPr>
        <w:t>按发包人要求</w:t>
      </w:r>
      <w:r>
        <w:rPr>
          <w:rFonts w:hint="eastAsia" w:hAnsi="宋体" w:cs="宋体"/>
          <w:color w:val="auto"/>
          <w:szCs w:val="21"/>
          <w:highlight w:val="none"/>
          <w:lang w:val="zh-CN"/>
        </w:rPr>
        <w:t>；</w:t>
      </w:r>
    </w:p>
    <w:p w14:paraId="1D5E479C">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承包人提供的文件的形式为：</w:t>
      </w:r>
      <w:r>
        <w:rPr>
          <w:rFonts w:hint="eastAsia" w:hAnsi="宋体" w:cs="宋体"/>
          <w:b/>
          <w:bCs/>
          <w:color w:val="auto"/>
          <w:szCs w:val="21"/>
          <w:highlight w:val="none"/>
          <w:u w:val="single"/>
          <w:lang w:val="zh-CN"/>
        </w:rPr>
        <w:t>书面形式</w:t>
      </w:r>
      <w:r>
        <w:rPr>
          <w:rFonts w:hint="eastAsia" w:hAnsi="宋体" w:cs="宋体"/>
          <w:color w:val="auto"/>
          <w:szCs w:val="21"/>
          <w:highlight w:val="none"/>
          <w:lang w:val="zh-CN"/>
        </w:rPr>
        <w:t>；</w:t>
      </w:r>
    </w:p>
    <w:p w14:paraId="7F4063B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发包人审批承包人文件的期限：</w:t>
      </w:r>
      <w:r>
        <w:rPr>
          <w:rFonts w:hint="eastAsia" w:hAnsi="宋体" w:cs="宋体"/>
          <w:b/>
          <w:bCs/>
          <w:color w:val="auto"/>
          <w:szCs w:val="21"/>
          <w:highlight w:val="none"/>
          <w:u w:val="single"/>
          <w:lang w:val="zh-CN"/>
        </w:rPr>
        <w:t>收到文件后</w:t>
      </w:r>
      <w:r>
        <w:rPr>
          <w:rFonts w:hint="eastAsia" w:hAnsi="宋体" w:cs="宋体"/>
          <w:b/>
          <w:bCs/>
          <w:color w:val="auto"/>
          <w:szCs w:val="21"/>
          <w:highlight w:val="none"/>
          <w:u w:val="single"/>
        </w:rPr>
        <w:t>7</w:t>
      </w:r>
      <w:r>
        <w:rPr>
          <w:rFonts w:hint="eastAsia" w:hAnsi="宋体" w:cs="宋体"/>
          <w:b/>
          <w:bCs/>
          <w:color w:val="auto"/>
          <w:szCs w:val="21"/>
          <w:highlight w:val="none"/>
          <w:u w:val="single"/>
          <w:lang w:val="zh-CN"/>
        </w:rPr>
        <w:t>天内</w:t>
      </w:r>
      <w:r>
        <w:rPr>
          <w:rFonts w:hint="eastAsia" w:hAnsi="宋体" w:cs="宋体"/>
          <w:color w:val="auto"/>
          <w:szCs w:val="21"/>
          <w:highlight w:val="none"/>
          <w:lang w:val="zh-CN"/>
        </w:rPr>
        <w:t>。</w:t>
      </w:r>
    </w:p>
    <w:p w14:paraId="7D4AA325">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5</w:t>
      </w:r>
      <w:r>
        <w:rPr>
          <w:rFonts w:hint="eastAsia" w:hAnsi="宋体" w:cs="宋体"/>
          <w:color w:val="auto"/>
          <w:szCs w:val="21"/>
          <w:highlight w:val="none"/>
          <w:lang w:val="zh-CN"/>
        </w:rPr>
        <w:t>.</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现场图纸准备（如有）</w:t>
      </w:r>
    </w:p>
    <w:p w14:paraId="701F6936">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关于现场图纸准备的约定：</w:t>
      </w:r>
      <w:r>
        <w:rPr>
          <w:rFonts w:hint="eastAsia" w:hAnsi="宋体" w:cs="宋体"/>
          <w:b/>
          <w:bCs/>
          <w:color w:val="auto"/>
          <w:szCs w:val="21"/>
          <w:highlight w:val="none"/>
          <w:u w:val="single"/>
          <w:lang w:val="zh-CN"/>
        </w:rPr>
        <w:t>施工现场保留一套完整图纸供发包人、监理人及有关人员使用。</w:t>
      </w:r>
    </w:p>
    <w:p w14:paraId="794A04B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6</w:t>
      </w:r>
      <w:r>
        <w:rPr>
          <w:rFonts w:hint="eastAsia" w:hAnsi="宋体" w:cs="宋体"/>
          <w:color w:val="auto"/>
          <w:szCs w:val="21"/>
          <w:highlight w:val="none"/>
          <w:lang w:val="zh-CN"/>
        </w:rPr>
        <w:t xml:space="preserve"> 联络</w:t>
      </w:r>
    </w:p>
    <w:p w14:paraId="25926D5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6</w:t>
      </w:r>
      <w:r>
        <w:rPr>
          <w:rFonts w:hint="eastAsia" w:hAnsi="宋体" w:cs="宋体"/>
          <w:color w:val="auto"/>
          <w:szCs w:val="21"/>
          <w:highlight w:val="none"/>
          <w:lang w:val="zh-CN"/>
        </w:rPr>
        <w:t>.1</w:t>
      </w:r>
      <w:r>
        <w:rPr>
          <w:rFonts w:hint="eastAsia" w:hAnsi="宋体" w:cs="宋体"/>
          <w:color w:val="auto"/>
          <w:szCs w:val="21"/>
          <w:highlight w:val="none"/>
          <w:lang w:val="en-US" w:eastAsia="zh-CN"/>
        </w:rPr>
        <w:t xml:space="preserve"> </w:t>
      </w:r>
      <w:r>
        <w:rPr>
          <w:rFonts w:hint="eastAsia" w:hAnsi="宋体" w:cs="宋体"/>
          <w:color w:val="auto"/>
          <w:szCs w:val="21"/>
          <w:highlight w:val="none"/>
          <w:lang w:val="zh-CN"/>
        </w:rPr>
        <w:t>发包人和承包人应当在</w:t>
      </w:r>
      <w:r>
        <w:rPr>
          <w:rFonts w:hint="eastAsia" w:hAnsi="宋体" w:cs="宋体"/>
          <w:b/>
          <w:bCs/>
          <w:color w:val="auto"/>
          <w:szCs w:val="21"/>
          <w:highlight w:val="none"/>
          <w:u w:val="single"/>
        </w:rPr>
        <w:t xml:space="preserve"> 3 </w:t>
      </w:r>
      <w:r>
        <w:rPr>
          <w:rFonts w:hint="eastAsia" w:hAnsi="宋体" w:cs="宋体"/>
          <w:color w:val="auto"/>
          <w:szCs w:val="21"/>
          <w:highlight w:val="none"/>
          <w:lang w:val="zh-CN"/>
        </w:rPr>
        <w:t>天内将与合同有关的通知、批准、证明、证书、指示、指令、要求、请求、同意、意见、确定和决定等书面函件送达对方当事人。</w:t>
      </w:r>
    </w:p>
    <w:p w14:paraId="3828AAE6">
      <w:pPr>
        <w:spacing w:line="420" w:lineRule="exact"/>
        <w:ind w:firstLine="420" w:firstLineChars="200"/>
        <w:rPr>
          <w:rFonts w:hint="eastAsia" w:hAnsi="宋体" w:cs="宋体"/>
          <w:color w:val="auto"/>
          <w:szCs w:val="21"/>
          <w:highlight w:val="none"/>
        </w:rPr>
      </w:pPr>
      <w:r>
        <w:rPr>
          <w:rFonts w:hint="eastAsia" w:hAnsi="宋体" w:cs="宋体"/>
          <w:color w:val="auto"/>
          <w:szCs w:val="21"/>
          <w:highlight w:val="none"/>
        </w:rPr>
        <w:t>1.</w:t>
      </w:r>
      <w:r>
        <w:rPr>
          <w:rFonts w:hint="eastAsia" w:hAnsi="宋体" w:cs="宋体"/>
          <w:color w:val="auto"/>
          <w:szCs w:val="21"/>
          <w:highlight w:val="none"/>
          <w:lang w:val="en-US" w:eastAsia="zh-CN"/>
        </w:rPr>
        <w:t>6</w:t>
      </w:r>
      <w:r>
        <w:rPr>
          <w:rFonts w:hint="eastAsia" w:hAnsi="宋体" w:cs="宋体"/>
          <w:color w:val="auto"/>
          <w:szCs w:val="21"/>
          <w:highlight w:val="none"/>
        </w:rPr>
        <w:t>.2 发包人接收文件的地点：</w:t>
      </w:r>
      <w:r>
        <w:rPr>
          <w:rFonts w:hint="eastAsia" w:hAnsi="宋体" w:cs="宋体"/>
          <w:color w:val="auto"/>
          <w:szCs w:val="21"/>
          <w:highlight w:val="none"/>
          <w:u w:val="single"/>
        </w:rPr>
        <w:t>南通市崇川区城市工程建设管理中心</w:t>
      </w:r>
      <w:r>
        <w:rPr>
          <w:rFonts w:hint="eastAsia" w:hAnsi="宋体" w:cs="宋体"/>
          <w:color w:val="auto"/>
          <w:szCs w:val="21"/>
          <w:highlight w:val="none"/>
        </w:rPr>
        <w:t>；</w:t>
      </w:r>
    </w:p>
    <w:p w14:paraId="27C2541E">
      <w:pPr>
        <w:spacing w:line="420" w:lineRule="exact"/>
        <w:ind w:firstLine="420" w:firstLineChars="200"/>
        <w:rPr>
          <w:rFonts w:hint="eastAsia" w:hAnsi="宋体" w:cs="宋体"/>
          <w:color w:val="auto"/>
          <w:szCs w:val="21"/>
          <w:highlight w:val="none"/>
        </w:rPr>
      </w:pPr>
      <w:r>
        <w:rPr>
          <w:rFonts w:hint="eastAsia" w:hAnsi="宋体" w:cs="宋体"/>
          <w:color w:val="auto"/>
          <w:szCs w:val="21"/>
          <w:highlight w:val="none"/>
        </w:rPr>
        <w:t>发包人指定的接收人为：</w:t>
      </w:r>
      <w:r>
        <w:rPr>
          <w:rFonts w:hint="eastAsia" w:hAnsi="宋体" w:cs="宋体"/>
          <w:color w:val="auto"/>
          <w:szCs w:val="21"/>
          <w:highlight w:val="none"/>
          <w:u w:val="single"/>
        </w:rPr>
        <w:t>发包人代表</w:t>
      </w:r>
      <w:r>
        <w:rPr>
          <w:rFonts w:hint="eastAsia" w:hAnsi="宋体" w:cs="宋体"/>
          <w:color w:val="auto"/>
          <w:szCs w:val="21"/>
          <w:highlight w:val="none"/>
        </w:rPr>
        <w:t>。</w:t>
      </w:r>
    </w:p>
    <w:p w14:paraId="5D7C6DD5">
      <w:pPr>
        <w:spacing w:line="420" w:lineRule="exact"/>
        <w:ind w:firstLine="420" w:firstLineChars="200"/>
        <w:rPr>
          <w:rFonts w:hint="eastAsia" w:hAnsi="宋体" w:cs="宋体"/>
          <w:color w:val="auto"/>
          <w:szCs w:val="21"/>
          <w:highlight w:val="none"/>
        </w:rPr>
      </w:pPr>
      <w:r>
        <w:rPr>
          <w:rFonts w:hint="eastAsia" w:hAnsi="宋体" w:cs="宋体"/>
          <w:color w:val="auto"/>
          <w:szCs w:val="21"/>
          <w:highlight w:val="none"/>
        </w:rPr>
        <w:t>承包人接收文件的地点：</w:t>
      </w:r>
      <w:r>
        <w:rPr>
          <w:rFonts w:hint="eastAsia" w:hAnsi="宋体" w:cs="宋体"/>
          <w:color w:val="auto"/>
          <w:szCs w:val="21"/>
          <w:highlight w:val="none"/>
          <w:u w:val="single"/>
        </w:rPr>
        <w:t>工地项目部项目负责人办公室</w:t>
      </w:r>
      <w:r>
        <w:rPr>
          <w:rFonts w:hint="eastAsia" w:hAnsi="宋体" w:cs="宋体"/>
          <w:color w:val="auto"/>
          <w:szCs w:val="21"/>
          <w:highlight w:val="none"/>
        </w:rPr>
        <w:t>；</w:t>
      </w:r>
    </w:p>
    <w:p w14:paraId="3233B417">
      <w:pPr>
        <w:spacing w:line="420" w:lineRule="exact"/>
        <w:ind w:firstLine="420" w:firstLineChars="200"/>
        <w:rPr>
          <w:rFonts w:hint="eastAsia" w:hAnsi="宋体" w:cs="宋体"/>
          <w:color w:val="auto"/>
          <w:szCs w:val="21"/>
          <w:highlight w:val="none"/>
        </w:rPr>
      </w:pPr>
      <w:r>
        <w:rPr>
          <w:rFonts w:hint="eastAsia" w:hAnsi="宋体" w:cs="宋体"/>
          <w:color w:val="auto"/>
          <w:szCs w:val="21"/>
          <w:highlight w:val="none"/>
        </w:rPr>
        <w:t>承包人指定的接收人为：</w:t>
      </w:r>
      <w:r>
        <w:rPr>
          <w:rFonts w:hint="eastAsia" w:hAnsi="宋体" w:cs="宋体"/>
          <w:color w:val="auto"/>
          <w:szCs w:val="21"/>
          <w:highlight w:val="none"/>
          <w:u w:val="single"/>
        </w:rPr>
        <w:t xml:space="preserve">项目负责人 </w:t>
      </w:r>
      <w:r>
        <w:rPr>
          <w:rFonts w:hint="eastAsia" w:hAnsi="宋体" w:cs="宋体"/>
          <w:color w:val="auto"/>
          <w:szCs w:val="21"/>
          <w:highlight w:val="none"/>
        </w:rPr>
        <w:t>。</w:t>
      </w:r>
    </w:p>
    <w:p w14:paraId="7F2A4801">
      <w:pPr>
        <w:spacing w:line="420" w:lineRule="exact"/>
        <w:ind w:firstLine="420" w:firstLineChars="200"/>
        <w:rPr>
          <w:rFonts w:hint="eastAsia" w:hAnsi="宋体" w:cs="宋体"/>
          <w:color w:val="auto"/>
          <w:szCs w:val="21"/>
          <w:highlight w:val="none"/>
        </w:rPr>
      </w:pPr>
      <w:r>
        <w:rPr>
          <w:rFonts w:hint="eastAsia" w:hAnsi="宋体" w:cs="宋体"/>
          <w:color w:val="auto"/>
          <w:szCs w:val="21"/>
          <w:highlight w:val="none"/>
        </w:rPr>
        <w:t>监理人接收文件的地点：</w:t>
      </w:r>
      <w:r>
        <w:rPr>
          <w:rFonts w:hint="eastAsia" w:hAnsi="宋体" w:cs="宋体"/>
          <w:color w:val="auto"/>
          <w:szCs w:val="21"/>
          <w:highlight w:val="none"/>
          <w:u w:val="single"/>
        </w:rPr>
        <w:t>工地项目监理部总监理工程师办公室</w:t>
      </w:r>
      <w:r>
        <w:rPr>
          <w:rFonts w:hint="eastAsia" w:hAnsi="宋体" w:cs="宋体"/>
          <w:color w:val="auto"/>
          <w:szCs w:val="21"/>
          <w:highlight w:val="none"/>
        </w:rPr>
        <w:t>；</w:t>
      </w:r>
    </w:p>
    <w:p w14:paraId="5B8E285F">
      <w:pPr>
        <w:spacing w:line="420" w:lineRule="exact"/>
        <w:ind w:firstLine="420" w:firstLineChars="200"/>
        <w:rPr>
          <w:rFonts w:hint="eastAsia" w:hAnsi="宋体" w:cs="宋体"/>
          <w:color w:val="auto"/>
          <w:szCs w:val="21"/>
          <w:highlight w:val="none"/>
        </w:rPr>
      </w:pPr>
      <w:r>
        <w:rPr>
          <w:rFonts w:hint="eastAsia" w:hAnsi="宋体" w:cs="宋体"/>
          <w:color w:val="auto"/>
          <w:szCs w:val="21"/>
          <w:highlight w:val="none"/>
        </w:rPr>
        <w:t>监理人指定的接收人为：</w:t>
      </w:r>
      <w:r>
        <w:rPr>
          <w:rFonts w:hint="eastAsia" w:hAnsi="宋体" w:cs="宋体"/>
          <w:color w:val="auto"/>
          <w:szCs w:val="21"/>
          <w:highlight w:val="none"/>
          <w:u w:val="single"/>
        </w:rPr>
        <w:t>总监理工程师</w:t>
      </w:r>
      <w:r>
        <w:rPr>
          <w:rFonts w:hint="eastAsia" w:hAnsi="宋体" w:cs="宋体"/>
          <w:color w:val="auto"/>
          <w:szCs w:val="21"/>
          <w:highlight w:val="none"/>
        </w:rPr>
        <w:t>。</w:t>
      </w:r>
    </w:p>
    <w:p w14:paraId="44E8FEF6">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7</w:t>
      </w:r>
      <w:r>
        <w:rPr>
          <w:rFonts w:hint="eastAsia" w:hAnsi="宋体" w:cs="宋体"/>
          <w:color w:val="auto"/>
          <w:szCs w:val="21"/>
          <w:highlight w:val="none"/>
          <w:lang w:val="zh-CN"/>
        </w:rPr>
        <w:t xml:space="preserve"> 交通运输</w:t>
      </w:r>
    </w:p>
    <w:p w14:paraId="1F250CFB">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7</w:t>
      </w:r>
      <w:r>
        <w:rPr>
          <w:rFonts w:hint="eastAsia" w:hAnsi="宋体" w:cs="宋体"/>
          <w:color w:val="auto"/>
          <w:szCs w:val="21"/>
          <w:highlight w:val="none"/>
          <w:lang w:val="zh-CN"/>
        </w:rPr>
        <w:t>.1 出入现场的权利</w:t>
      </w:r>
    </w:p>
    <w:p w14:paraId="5AEE853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关于出入现场的权利的约定：</w:t>
      </w:r>
      <w:r>
        <w:rPr>
          <w:rFonts w:hint="eastAsia" w:hAnsi="宋体" w:cs="宋体"/>
          <w:b/>
          <w:bCs/>
          <w:color w:val="auto"/>
          <w:szCs w:val="21"/>
          <w:highlight w:val="none"/>
          <w:u w:val="single"/>
          <w:lang w:val="zh-CN"/>
        </w:rPr>
        <w:t xml:space="preserve">     /         </w:t>
      </w:r>
      <w:r>
        <w:rPr>
          <w:rFonts w:hint="eastAsia" w:hAnsi="宋体" w:cs="宋体"/>
          <w:color w:val="auto"/>
          <w:szCs w:val="21"/>
          <w:highlight w:val="none"/>
          <w:lang w:val="zh-CN"/>
        </w:rPr>
        <w:t>。</w:t>
      </w:r>
    </w:p>
    <w:p w14:paraId="54A939C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7</w:t>
      </w:r>
      <w:r>
        <w:rPr>
          <w:rFonts w:hint="eastAsia" w:hAnsi="宋体" w:cs="宋体"/>
          <w:color w:val="auto"/>
          <w:szCs w:val="21"/>
          <w:highlight w:val="none"/>
          <w:lang w:val="zh-CN"/>
        </w:rPr>
        <w:t>.</w:t>
      </w:r>
      <w:r>
        <w:rPr>
          <w:rFonts w:hint="eastAsia" w:hAnsi="宋体" w:cs="宋体"/>
          <w:color w:val="auto"/>
          <w:szCs w:val="21"/>
          <w:highlight w:val="none"/>
          <w:lang w:val="en-US" w:eastAsia="zh-CN"/>
        </w:rPr>
        <w:t>2</w:t>
      </w:r>
      <w:r>
        <w:rPr>
          <w:rFonts w:hint="eastAsia" w:hAnsi="宋体" w:cs="宋体"/>
          <w:color w:val="auto"/>
          <w:szCs w:val="21"/>
          <w:highlight w:val="none"/>
          <w:lang w:val="zh-CN"/>
        </w:rPr>
        <w:t xml:space="preserve"> 场内交通</w:t>
      </w:r>
    </w:p>
    <w:p w14:paraId="4573AEDF">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关于场外交通和场内交通的边界的约定：</w:t>
      </w:r>
      <w:r>
        <w:rPr>
          <w:rFonts w:hint="eastAsia" w:hAnsi="宋体" w:cs="宋体"/>
          <w:color w:val="auto"/>
          <w:szCs w:val="21"/>
          <w:highlight w:val="none"/>
          <w:u w:val="single"/>
        </w:rPr>
        <w:t xml:space="preserve">               </w:t>
      </w:r>
      <w:r>
        <w:rPr>
          <w:rFonts w:hint="eastAsia" w:hAnsi="宋体" w:cs="宋体"/>
          <w:color w:val="auto"/>
          <w:szCs w:val="21"/>
          <w:highlight w:val="none"/>
          <w:lang w:val="zh-CN"/>
        </w:rPr>
        <w:t>。</w:t>
      </w:r>
    </w:p>
    <w:p w14:paraId="006D088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关于发包人向承包人免费提供满足工程施工需要的场内道路和交通设施的约定：</w:t>
      </w:r>
      <w:r>
        <w:rPr>
          <w:rFonts w:hint="eastAsia" w:hAnsi="宋体" w:cs="宋体"/>
          <w:b/>
          <w:bCs/>
          <w:color w:val="auto"/>
          <w:szCs w:val="21"/>
          <w:highlight w:val="none"/>
          <w:u w:val="single"/>
          <w:lang w:val="zh-CN"/>
        </w:rPr>
        <w:t>无</w:t>
      </w:r>
      <w:r>
        <w:rPr>
          <w:rFonts w:hint="eastAsia" w:hAnsi="宋体" w:cs="宋体"/>
          <w:color w:val="auto"/>
          <w:szCs w:val="21"/>
          <w:highlight w:val="none"/>
          <w:lang w:val="zh-CN"/>
        </w:rPr>
        <w:t xml:space="preserve">。  </w:t>
      </w:r>
    </w:p>
    <w:p w14:paraId="6132D61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7</w:t>
      </w:r>
      <w:r>
        <w:rPr>
          <w:rFonts w:hint="eastAsia" w:hAnsi="宋体" w:cs="宋体"/>
          <w:color w:val="auto"/>
          <w:szCs w:val="21"/>
          <w:highlight w:val="none"/>
          <w:lang w:val="zh-CN"/>
        </w:rPr>
        <w:t>.</w:t>
      </w:r>
      <w:r>
        <w:rPr>
          <w:rFonts w:hint="eastAsia" w:hAnsi="宋体" w:cs="宋体"/>
          <w:color w:val="auto"/>
          <w:szCs w:val="21"/>
          <w:highlight w:val="none"/>
          <w:lang w:val="en-US" w:eastAsia="zh-CN"/>
        </w:rPr>
        <w:t>3</w:t>
      </w:r>
      <w:r>
        <w:rPr>
          <w:rFonts w:hint="eastAsia" w:hAnsi="宋体" w:cs="宋体"/>
          <w:color w:val="auto"/>
          <w:szCs w:val="21"/>
          <w:highlight w:val="none"/>
          <w:lang w:val="zh-CN"/>
        </w:rPr>
        <w:t>超大件和超重件的运输</w:t>
      </w:r>
    </w:p>
    <w:p w14:paraId="4D9699E4">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运输超大件或超重件所需的道路和桥梁临时加固改造费用和其他有关费用由</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承包人</w:t>
      </w:r>
      <w:r>
        <w:rPr>
          <w:rFonts w:hint="eastAsia" w:hAnsi="宋体" w:cs="宋体"/>
          <w:b/>
          <w:bCs/>
          <w:color w:val="auto"/>
          <w:szCs w:val="21"/>
          <w:highlight w:val="none"/>
          <w:u w:val="single"/>
        </w:rPr>
        <w:t xml:space="preserve"> </w:t>
      </w:r>
      <w:r>
        <w:rPr>
          <w:rFonts w:hint="eastAsia" w:hAnsi="宋体" w:cs="宋体"/>
          <w:color w:val="auto"/>
          <w:szCs w:val="21"/>
          <w:highlight w:val="none"/>
          <w:lang w:val="zh-CN"/>
        </w:rPr>
        <w:t>承担。</w:t>
      </w:r>
    </w:p>
    <w:p w14:paraId="58D5223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8</w:t>
      </w:r>
      <w:r>
        <w:rPr>
          <w:rFonts w:hint="eastAsia" w:hAnsi="宋体" w:cs="宋体"/>
          <w:color w:val="auto"/>
          <w:szCs w:val="21"/>
          <w:highlight w:val="none"/>
          <w:lang w:val="zh-CN"/>
        </w:rPr>
        <w:t xml:space="preserve"> 知识产权</w:t>
      </w:r>
    </w:p>
    <w:p w14:paraId="7BEE172F">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8</w:t>
      </w:r>
      <w:r>
        <w:rPr>
          <w:rFonts w:hint="eastAsia" w:hAnsi="宋体" w:cs="宋体"/>
          <w:color w:val="auto"/>
          <w:szCs w:val="21"/>
          <w:highlight w:val="none"/>
          <w:lang w:val="zh-CN"/>
        </w:rPr>
        <w:t>.1关于发包人提供给承包人的图纸、发包人为实施工程自行编制或委托编制的技术规范以及反映发包人关于合同要求或其他类似性质的文件的著作权的归属：</w:t>
      </w:r>
      <w:r>
        <w:rPr>
          <w:rFonts w:hint="eastAsia" w:hAnsi="宋体" w:cs="宋体"/>
          <w:b/>
          <w:bCs/>
          <w:color w:val="auto"/>
          <w:szCs w:val="21"/>
          <w:highlight w:val="none"/>
          <w:u w:val="single"/>
          <w:lang w:val="zh-CN"/>
        </w:rPr>
        <w:t>著作权属发包人。承包人未经发包人同意不得将本工程图纸转给第三人，不得进行复制，不得向承包人以外的人泄露有关图纸内容。</w:t>
      </w:r>
    </w:p>
    <w:p w14:paraId="61C0D91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关于发包人提供的上述文件的使用限制的要求：</w:t>
      </w:r>
      <w:r>
        <w:rPr>
          <w:rFonts w:hint="eastAsia" w:hAnsi="宋体" w:cs="宋体"/>
          <w:b/>
          <w:bCs/>
          <w:color w:val="auto"/>
          <w:szCs w:val="21"/>
          <w:highlight w:val="none"/>
          <w:u w:val="single"/>
          <w:lang w:val="zh-CN"/>
        </w:rPr>
        <w:t>按通用条款执行</w:t>
      </w:r>
      <w:r>
        <w:rPr>
          <w:rFonts w:hint="eastAsia" w:hAnsi="宋体" w:cs="宋体"/>
          <w:b/>
          <w:bCs/>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2AFE7E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8</w:t>
      </w:r>
      <w:r>
        <w:rPr>
          <w:rFonts w:hint="eastAsia" w:hAnsi="宋体" w:cs="宋体"/>
          <w:color w:val="auto"/>
          <w:szCs w:val="21"/>
          <w:highlight w:val="none"/>
          <w:lang w:val="zh-CN"/>
        </w:rPr>
        <w:t>.2 关于承包人为实施工程所编制文件的著作权的归属：</w:t>
      </w:r>
      <w:r>
        <w:rPr>
          <w:rFonts w:hint="eastAsia" w:hAnsi="宋体" w:cs="宋体"/>
          <w:b/>
          <w:bCs/>
          <w:color w:val="auto"/>
          <w:szCs w:val="21"/>
          <w:highlight w:val="none"/>
          <w:u w:val="single"/>
          <w:lang w:val="zh-CN"/>
        </w:rPr>
        <w:t>按通用条款执行</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61E51685">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关于承包人提供的上述文件的使用限制的要求：</w:t>
      </w:r>
      <w:r>
        <w:rPr>
          <w:rFonts w:hint="eastAsia" w:hAnsi="宋体" w:cs="宋体"/>
          <w:b/>
          <w:bCs/>
          <w:color w:val="auto"/>
          <w:szCs w:val="21"/>
          <w:highlight w:val="none"/>
          <w:u w:val="single"/>
          <w:lang w:val="zh-CN"/>
        </w:rPr>
        <w:t>按通用条款执行</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59D4DA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1.</w:t>
      </w:r>
      <w:r>
        <w:rPr>
          <w:rFonts w:hint="eastAsia" w:hAnsi="宋体" w:cs="宋体"/>
          <w:color w:val="auto"/>
          <w:szCs w:val="21"/>
          <w:highlight w:val="none"/>
          <w:lang w:val="en-US" w:eastAsia="zh-CN"/>
        </w:rPr>
        <w:t>8</w:t>
      </w:r>
      <w:r>
        <w:rPr>
          <w:rFonts w:hint="eastAsia" w:hAnsi="宋体" w:cs="宋体"/>
          <w:color w:val="auto"/>
          <w:szCs w:val="21"/>
          <w:highlight w:val="none"/>
          <w:lang w:val="zh-CN"/>
        </w:rPr>
        <w:t>.</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承包人在施工过程中所采用的专利、专有技术、技术秘密的使用费的承担方式：</w:t>
      </w:r>
      <w:r>
        <w:rPr>
          <w:rFonts w:hint="eastAsia" w:hAnsi="宋体" w:cs="宋体"/>
          <w:b/>
          <w:bCs/>
          <w:color w:val="auto"/>
          <w:szCs w:val="21"/>
          <w:highlight w:val="none"/>
          <w:u w:val="single"/>
          <w:lang w:val="zh-CN"/>
        </w:rPr>
        <w:t>已含在合同价中。</w:t>
      </w:r>
    </w:p>
    <w:p w14:paraId="65BE595C">
      <w:pPr>
        <w:spacing w:line="420" w:lineRule="exact"/>
        <w:ind w:firstLine="420" w:firstLineChars="200"/>
        <w:jc w:val="left"/>
        <w:rPr>
          <w:rFonts w:hint="eastAsia" w:hAnsi="宋体" w:cs="宋体"/>
          <w:color w:val="auto"/>
          <w:szCs w:val="21"/>
          <w:highlight w:val="none"/>
        </w:rPr>
      </w:pPr>
      <w:r>
        <w:rPr>
          <w:rFonts w:hint="eastAsia" w:hAnsi="宋体" w:cs="宋体"/>
          <w:color w:val="auto"/>
          <w:szCs w:val="21"/>
          <w:highlight w:val="none"/>
        </w:rPr>
        <w:t>1.</w:t>
      </w:r>
      <w:r>
        <w:rPr>
          <w:rFonts w:hint="eastAsia" w:hAnsi="宋体" w:cs="宋体"/>
          <w:color w:val="auto"/>
          <w:szCs w:val="21"/>
          <w:highlight w:val="none"/>
          <w:lang w:val="en-US" w:eastAsia="zh-CN"/>
        </w:rPr>
        <w:t>9</w:t>
      </w:r>
      <w:r>
        <w:rPr>
          <w:rFonts w:hint="eastAsia" w:hAnsi="宋体" w:cs="宋体"/>
          <w:color w:val="auto"/>
          <w:szCs w:val="21"/>
          <w:highlight w:val="none"/>
        </w:rPr>
        <w:t>工程量清单错误的修正</w:t>
      </w:r>
    </w:p>
    <w:p w14:paraId="06A312CF">
      <w:pPr>
        <w:spacing w:line="420" w:lineRule="exact"/>
        <w:ind w:firstLine="422" w:firstLineChars="200"/>
        <w:jc w:val="left"/>
        <w:rPr>
          <w:rFonts w:hint="eastAsia" w:hAnsi="宋体" w:cs="宋体"/>
          <w:b/>
          <w:color w:val="auto"/>
          <w:szCs w:val="21"/>
          <w:highlight w:val="none"/>
          <w:u w:val="single"/>
        </w:rPr>
      </w:pPr>
      <w:r>
        <w:rPr>
          <w:rFonts w:hint="eastAsia" w:ascii="宋体" w:hAnsi="宋体" w:cs="宋体"/>
          <w:b/>
          <w:color w:val="auto"/>
          <w:szCs w:val="21"/>
          <w:highlight w:val="none"/>
          <w:u w:val="single"/>
        </w:rPr>
        <w:t>竣工结算的工程量按发承包双方在合同中约定应予计量且实际完成并验收合格的工程量和项目确定，完成采购人要求的合同以外的零星工作或发生非供应商责任事件的工程量按现场签证确定。</w:t>
      </w:r>
    </w:p>
    <w:p w14:paraId="62E4E876">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2.发包人</w:t>
      </w:r>
    </w:p>
    <w:p w14:paraId="02B88623">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2.</w:t>
      </w:r>
      <w:r>
        <w:rPr>
          <w:rFonts w:hint="eastAsia" w:hAnsi="宋体" w:cs="宋体"/>
          <w:color w:val="auto"/>
          <w:szCs w:val="21"/>
          <w:highlight w:val="none"/>
          <w:lang w:val="en-US" w:eastAsia="zh-CN"/>
        </w:rPr>
        <w:t>1</w:t>
      </w:r>
      <w:r>
        <w:rPr>
          <w:rFonts w:hint="eastAsia" w:hAnsi="宋体" w:cs="宋体"/>
          <w:color w:val="auto"/>
          <w:szCs w:val="21"/>
          <w:highlight w:val="none"/>
          <w:lang w:val="zh-CN"/>
        </w:rPr>
        <w:t xml:space="preserve"> 发包人代表</w:t>
      </w:r>
    </w:p>
    <w:p w14:paraId="26B36A51">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发包人代表：</w:t>
      </w:r>
    </w:p>
    <w:p w14:paraId="5FB4222B">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姓    名：</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530BE1E8">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身份证号：</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E92513F">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职    务：</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79E4477C">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联系电话：</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7E27B28C">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电子信箱：</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6C75F85">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通信地址：</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64BC061B">
      <w:pPr>
        <w:autoSpaceDE w:val="0"/>
        <w:autoSpaceDN w:val="0"/>
        <w:adjustRightInd w:val="0"/>
        <w:spacing w:line="420" w:lineRule="exact"/>
        <w:ind w:firstLine="480"/>
        <w:rPr>
          <w:rFonts w:hint="eastAsia" w:hAnsi="宋体" w:cs="宋体"/>
          <w:b/>
          <w:bCs/>
          <w:color w:val="auto"/>
          <w:szCs w:val="21"/>
          <w:highlight w:val="none"/>
          <w:lang w:val="zh-CN"/>
        </w:rPr>
      </w:pPr>
      <w:r>
        <w:rPr>
          <w:rFonts w:hint="eastAsia" w:hAnsi="宋体" w:cs="宋体"/>
          <w:color w:val="auto"/>
          <w:szCs w:val="21"/>
          <w:highlight w:val="none"/>
          <w:lang w:val="zh-CN"/>
        </w:rPr>
        <w:t>发包人对发包人代表的授权范围如下：</w:t>
      </w:r>
      <w:r>
        <w:rPr>
          <w:rFonts w:hint="eastAsia" w:hAnsi="宋体" w:cs="宋体"/>
          <w:b/>
          <w:bCs/>
          <w:color w:val="auto"/>
          <w:szCs w:val="21"/>
          <w:highlight w:val="none"/>
          <w:u w:val="single"/>
          <w:lang w:val="zh-CN"/>
        </w:rPr>
        <w:t>代表发包方行使发包方的权力和监理人需要取得发包人批准的权力。</w:t>
      </w:r>
    </w:p>
    <w:p w14:paraId="5F2150C4">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2.</w:t>
      </w:r>
      <w:r>
        <w:rPr>
          <w:rFonts w:hint="eastAsia" w:hAnsi="宋体" w:cs="宋体"/>
          <w:color w:val="auto"/>
          <w:szCs w:val="21"/>
          <w:highlight w:val="none"/>
          <w:lang w:val="en-US" w:eastAsia="zh-CN"/>
        </w:rPr>
        <w:t>2</w:t>
      </w:r>
      <w:r>
        <w:rPr>
          <w:rFonts w:hint="eastAsia" w:hAnsi="宋体" w:cs="宋体"/>
          <w:color w:val="auto"/>
          <w:szCs w:val="21"/>
          <w:highlight w:val="none"/>
          <w:lang w:val="zh-CN"/>
        </w:rPr>
        <w:t xml:space="preserve"> 施工现场、施工条件和基础资料的提供</w:t>
      </w:r>
    </w:p>
    <w:p w14:paraId="536DC04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2.</w:t>
      </w:r>
      <w:r>
        <w:rPr>
          <w:rFonts w:hint="eastAsia" w:hAnsi="宋体" w:cs="宋体"/>
          <w:color w:val="auto"/>
          <w:szCs w:val="21"/>
          <w:highlight w:val="none"/>
          <w:lang w:val="en-US" w:eastAsia="zh-CN"/>
        </w:rPr>
        <w:t>2</w:t>
      </w:r>
      <w:r>
        <w:rPr>
          <w:rFonts w:hint="eastAsia" w:hAnsi="宋体" w:cs="宋体"/>
          <w:color w:val="auto"/>
          <w:szCs w:val="21"/>
          <w:highlight w:val="none"/>
          <w:lang w:val="zh-CN"/>
        </w:rPr>
        <w:t>.1 提供施工现场</w:t>
      </w:r>
    </w:p>
    <w:p w14:paraId="5588394C">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关于发包人移交施工现场的期限要求：</w:t>
      </w:r>
      <w:r>
        <w:rPr>
          <w:rFonts w:hint="eastAsia" w:hAnsi="宋体" w:cs="宋体"/>
          <w:b/>
          <w:bCs/>
          <w:color w:val="auto"/>
          <w:szCs w:val="21"/>
          <w:highlight w:val="none"/>
          <w:u w:val="single"/>
          <w:lang w:val="zh-CN"/>
        </w:rPr>
        <w:t>以施工现场的现状为准</w:t>
      </w:r>
      <w:r>
        <w:rPr>
          <w:rFonts w:hint="eastAsia" w:hAnsi="宋体" w:cs="宋体"/>
          <w:color w:val="auto"/>
          <w:szCs w:val="21"/>
          <w:highlight w:val="none"/>
          <w:lang w:val="zh-CN"/>
        </w:rPr>
        <w:t>。</w:t>
      </w:r>
    </w:p>
    <w:p w14:paraId="7E5F4834">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2.</w:t>
      </w:r>
      <w:r>
        <w:rPr>
          <w:rFonts w:hint="eastAsia" w:hAnsi="宋体" w:cs="宋体"/>
          <w:color w:val="auto"/>
          <w:szCs w:val="21"/>
          <w:highlight w:val="none"/>
          <w:lang w:val="en-US" w:eastAsia="zh-CN"/>
        </w:rPr>
        <w:t>2</w:t>
      </w:r>
      <w:r>
        <w:rPr>
          <w:rFonts w:hint="eastAsia" w:hAnsi="宋体" w:cs="宋体"/>
          <w:color w:val="auto"/>
          <w:szCs w:val="21"/>
          <w:highlight w:val="none"/>
          <w:lang w:val="zh-CN"/>
        </w:rPr>
        <w:t>.2 提供施工条件</w:t>
      </w:r>
    </w:p>
    <w:p w14:paraId="766F267A">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关于发包人应负责提供施工所需要的条件，包括：</w:t>
      </w:r>
      <w:r>
        <w:rPr>
          <w:rFonts w:hint="eastAsia" w:hAnsi="宋体" w:cs="宋体"/>
          <w:b/>
          <w:bCs/>
          <w:color w:val="auto"/>
          <w:szCs w:val="21"/>
          <w:highlight w:val="none"/>
          <w:u w:val="single"/>
          <w:lang w:val="zh-CN"/>
        </w:rPr>
        <w:t>发包人于开工前办理好施工所需证件、批件（承包人自身资质证件除外）。施工过程中承包人不得因发包人前期手续的原因而出现不进行施工准备、索赔、消极施工等情形，应积极配合，保证工程按计划进行，否则按违约处理。</w:t>
      </w:r>
    </w:p>
    <w:p w14:paraId="6DD60B9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2.</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资金来源证明及支付担保</w:t>
      </w:r>
    </w:p>
    <w:p w14:paraId="18EFEE0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发包人提供资金来源证明的期限要求：</w:t>
      </w:r>
      <w:r>
        <w:rPr>
          <w:rFonts w:hint="eastAsia" w:hAnsi="宋体" w:cs="宋体"/>
          <w:b/>
          <w:bCs/>
          <w:color w:val="auto"/>
          <w:szCs w:val="21"/>
          <w:highlight w:val="none"/>
          <w:u w:val="single"/>
          <w:lang w:val="zh-CN"/>
        </w:rPr>
        <w:t>不需提供</w:t>
      </w:r>
      <w:r>
        <w:rPr>
          <w:rFonts w:hint="eastAsia" w:hAnsi="宋体" w:cs="宋体"/>
          <w:color w:val="auto"/>
          <w:szCs w:val="21"/>
          <w:highlight w:val="none"/>
          <w:lang w:val="zh-CN"/>
        </w:rPr>
        <w:t>。</w:t>
      </w:r>
    </w:p>
    <w:p w14:paraId="71400EBE">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发包人是否提供支付担保：</w:t>
      </w:r>
      <w:r>
        <w:rPr>
          <w:rFonts w:hint="eastAsia" w:hAnsi="宋体" w:cs="宋体"/>
          <w:b/>
          <w:bCs/>
          <w:color w:val="auto"/>
          <w:szCs w:val="21"/>
          <w:highlight w:val="none"/>
          <w:u w:val="single"/>
          <w:lang w:val="zh-CN"/>
        </w:rPr>
        <w:t>不提供</w:t>
      </w:r>
      <w:r>
        <w:rPr>
          <w:rFonts w:hint="eastAsia" w:hAnsi="宋体" w:cs="宋体"/>
          <w:color w:val="auto"/>
          <w:szCs w:val="21"/>
          <w:highlight w:val="none"/>
          <w:lang w:val="zh-CN"/>
        </w:rPr>
        <w:t>。</w:t>
      </w:r>
    </w:p>
    <w:p w14:paraId="6F18D414">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发包人提供支付担保的形式：</w:t>
      </w:r>
      <w:r>
        <w:rPr>
          <w:rFonts w:hint="eastAsia" w:hAnsi="宋体" w:cs="宋体"/>
          <w:b/>
          <w:bCs/>
          <w:color w:val="auto"/>
          <w:szCs w:val="21"/>
          <w:highlight w:val="none"/>
          <w:u w:val="single"/>
          <w:lang w:val="zh-CN"/>
        </w:rPr>
        <w:t xml:space="preserve"> / </w:t>
      </w:r>
      <w:r>
        <w:rPr>
          <w:rFonts w:hint="eastAsia" w:hAnsi="宋体" w:cs="宋体"/>
          <w:color w:val="auto"/>
          <w:szCs w:val="21"/>
          <w:highlight w:val="none"/>
          <w:lang w:val="zh-CN"/>
        </w:rPr>
        <w:t>。</w:t>
      </w:r>
    </w:p>
    <w:p w14:paraId="45757BC1">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3.承包人</w:t>
      </w:r>
    </w:p>
    <w:p w14:paraId="3EBA2BE3">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3.1 承包人的一般义务</w:t>
      </w:r>
    </w:p>
    <w:p w14:paraId="747C54FE">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3.1.1承包人自行解决施工现场的水、电、通讯与通行，现场移交条件以现状为准。</w:t>
      </w:r>
    </w:p>
    <w:p w14:paraId="7D3217B0">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3.1.2承包人项目负责人、巡查人员、管理人员必须按发包人要求在手机、电脑上安装发包人开发的GIS系统，及时接收发包人工作指令，并按照</w:t>
      </w:r>
      <w:bookmarkStart w:id="20" w:name="_Hlk64286675"/>
      <w:r>
        <w:rPr>
          <w:rFonts w:hint="eastAsia" w:hAnsi="宋体" w:cs="宋体"/>
          <w:color w:val="auto"/>
          <w:szCs w:val="21"/>
          <w:highlight w:val="none"/>
          <w:lang w:val="zh-CN"/>
        </w:rPr>
        <w:t>《崇川区市政设施巡查考核评价标准》、《崇川区市政设施养护维修考核评价标准》</w:t>
      </w:r>
      <w:bookmarkEnd w:id="20"/>
      <w:r>
        <w:rPr>
          <w:rFonts w:hint="eastAsia" w:hAnsi="宋体" w:cs="宋体"/>
          <w:color w:val="auto"/>
          <w:szCs w:val="21"/>
          <w:highlight w:val="none"/>
          <w:lang w:val="zh-CN"/>
        </w:rPr>
        <w:t>的要求及时将设施巡查与设施养护维修情况上传GIS系统。</w:t>
      </w:r>
    </w:p>
    <w:p w14:paraId="0B88958C">
      <w:pPr>
        <w:autoSpaceDE w:val="0"/>
        <w:autoSpaceDN w:val="0"/>
        <w:adjustRightInd w:val="0"/>
        <w:spacing w:line="420" w:lineRule="exact"/>
        <w:ind w:firstLine="482"/>
        <w:rPr>
          <w:rFonts w:hint="eastAsia" w:cs="宋体"/>
          <w:color w:val="auto"/>
          <w:kern w:val="2"/>
          <w:sz w:val="21"/>
          <w:szCs w:val="21"/>
          <w:highlight w:val="none"/>
          <w:lang w:val="en-US" w:eastAsia="zh-CN" w:bidi="ar-SA"/>
        </w:rPr>
      </w:pPr>
      <w:r>
        <w:rPr>
          <w:rFonts w:hint="eastAsia" w:hAnsi="宋体" w:cs="宋体"/>
          <w:color w:val="auto"/>
          <w:kern w:val="2"/>
          <w:sz w:val="21"/>
          <w:szCs w:val="21"/>
          <w:highlight w:val="none"/>
          <w:lang w:val="en-US" w:eastAsia="zh-CN" w:bidi="ar-SA"/>
        </w:rPr>
        <w:t>3.1.3</w:t>
      </w:r>
      <w:r>
        <w:rPr>
          <w:rFonts w:hint="eastAsia" w:cs="宋体" w:asciiTheme="minorHAnsi" w:eastAsiaTheme="minorEastAsia"/>
          <w:color w:val="auto"/>
          <w:kern w:val="2"/>
          <w:sz w:val="21"/>
          <w:szCs w:val="21"/>
          <w:highlight w:val="none"/>
          <w:lang w:val="en-US" w:eastAsia="zh-CN" w:bidi="ar-SA"/>
        </w:rPr>
        <w:t>巡查车辆上须</w:t>
      </w:r>
      <w:r>
        <w:rPr>
          <w:rFonts w:hint="eastAsia" w:cs="宋体"/>
          <w:color w:val="auto"/>
          <w:kern w:val="2"/>
          <w:sz w:val="21"/>
          <w:szCs w:val="21"/>
          <w:highlight w:val="none"/>
          <w:lang w:val="en-US" w:eastAsia="zh-CN" w:bidi="ar-SA"/>
        </w:rPr>
        <w:t>按照采购人要求</w:t>
      </w:r>
      <w:r>
        <w:rPr>
          <w:rFonts w:hint="eastAsia" w:cs="宋体" w:asciiTheme="minorHAnsi" w:eastAsiaTheme="minorEastAsia"/>
          <w:color w:val="auto"/>
          <w:kern w:val="2"/>
          <w:sz w:val="21"/>
          <w:szCs w:val="21"/>
          <w:highlight w:val="none"/>
          <w:lang w:val="en-US" w:eastAsia="zh-CN" w:bidi="ar-SA"/>
        </w:rPr>
        <w:t>安装GPS并按要求提交GPS巡查记录。</w:t>
      </w:r>
      <w:r>
        <w:rPr>
          <w:rFonts w:hint="eastAsia" w:cs="宋体"/>
          <w:color w:val="auto"/>
          <w:kern w:val="2"/>
          <w:sz w:val="21"/>
          <w:szCs w:val="21"/>
          <w:highlight w:val="none"/>
          <w:lang w:val="en-US" w:eastAsia="zh-CN" w:bidi="ar-SA"/>
        </w:rPr>
        <w:t>巡查汽车须按照采购人要求配置移动监控设备不少于2台。（移动监控设备要求：5MP高清摄像头(含流量)，配置存储卡，保证全天候监控，且内存卡足够保存7*24少时监控内容；具有云数据上传及回放功能；全彩夜视；其他参数需符合设计及甲方要求）。</w:t>
      </w:r>
    </w:p>
    <w:p w14:paraId="0120748F">
      <w:pPr>
        <w:autoSpaceDE w:val="0"/>
        <w:autoSpaceDN w:val="0"/>
        <w:adjustRightInd w:val="0"/>
        <w:spacing w:line="420" w:lineRule="exact"/>
        <w:ind w:firstLine="482"/>
        <w:rPr>
          <w:rFonts w:hint="eastAsia"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3.1.4现场维修时须按照采购人要求配置移动监控设备不少于2台（移动监控设备要求：5MP高清摄像头(含流量)，配置存储卡，保证全天候监控，且内存卡足够保存7*24少时监控内容；具有云数据上传及回放功能；全彩夜视；其他参数需符合设计及甲方要求）。</w:t>
      </w:r>
    </w:p>
    <w:p w14:paraId="2538814B">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5</w:t>
      </w:r>
      <w:r>
        <w:rPr>
          <w:rFonts w:hint="eastAsia" w:hAnsi="宋体" w:cs="宋体"/>
          <w:color w:val="auto"/>
          <w:szCs w:val="21"/>
          <w:highlight w:val="none"/>
          <w:lang w:val="zh-CN"/>
        </w:rPr>
        <w:t>承包人必须在本承包辖区范围内设立项目部，必须长期保持巡查人员不少于</w:t>
      </w:r>
      <w:r>
        <w:rPr>
          <w:rFonts w:hint="eastAsia" w:hAnsi="宋体" w:cs="宋体"/>
          <w:color w:val="auto"/>
          <w:szCs w:val="21"/>
          <w:highlight w:val="none"/>
          <w:lang w:val="en-US" w:eastAsia="zh-CN"/>
        </w:rPr>
        <w:t>投标时的人员配置数量</w:t>
      </w:r>
      <w:r>
        <w:rPr>
          <w:rFonts w:hint="eastAsia" w:hAnsi="宋体" w:cs="宋体"/>
          <w:color w:val="auto"/>
          <w:szCs w:val="21"/>
          <w:highlight w:val="none"/>
          <w:lang w:val="zh-CN"/>
        </w:rPr>
        <w:t>（必须在白天巡查、配备五米钢卷尺、记录本笔、喷漆、反光背心、安全三角架、彩条旗）、养护维修工人不少于8名，并能根据设施养护维修任务量随时调配劳动力。</w:t>
      </w:r>
    </w:p>
    <w:p w14:paraId="2354BF82">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6</w:t>
      </w:r>
      <w:r>
        <w:rPr>
          <w:rFonts w:hint="eastAsia" w:hAnsi="宋体" w:cs="宋体"/>
          <w:color w:val="auto"/>
          <w:szCs w:val="21"/>
          <w:highlight w:val="none"/>
          <w:lang w:val="zh-CN"/>
        </w:rPr>
        <w:t>承包人应按发包人与监理通知按时参加养护维修现场踏勘，执行发包人下达的设施养护维修指令，接受发包人的检查与考核。</w:t>
      </w:r>
    </w:p>
    <w:p w14:paraId="70B19B8E">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7</w:t>
      </w:r>
      <w:r>
        <w:rPr>
          <w:rFonts w:hint="eastAsia" w:hAnsi="宋体" w:cs="宋体"/>
          <w:color w:val="auto"/>
          <w:szCs w:val="21"/>
          <w:highlight w:val="none"/>
          <w:lang w:val="zh-CN"/>
        </w:rPr>
        <w:t>承包人应遵守政府有关主管部门对施工场地交通、施工噪音、渣土处置、环境保护和安全生产等的管理规定，按规定办理有关手续，并以书面形式通知发包人。所需费用由投标人在投标报价下浮中自行综合考虑，竣工结算时一律不作调整。</w:t>
      </w:r>
    </w:p>
    <w:p w14:paraId="482C262D">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8</w:t>
      </w:r>
      <w:r>
        <w:rPr>
          <w:rFonts w:hint="eastAsia" w:hAnsi="宋体" w:cs="宋体"/>
          <w:color w:val="auto"/>
          <w:szCs w:val="21"/>
          <w:highlight w:val="none"/>
          <w:lang w:val="zh-CN"/>
        </w:rPr>
        <w:t>交通管制方案由承包人负责办理行政审批手续。承包人应自行编制交通组织方案，报南通市交巡警支队审查通过，并依此进行施工期的交通组织。</w:t>
      </w:r>
    </w:p>
    <w:p w14:paraId="2AE6FD79">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9</w:t>
      </w:r>
      <w:r>
        <w:rPr>
          <w:rFonts w:hint="eastAsia" w:hAnsi="宋体" w:cs="宋体"/>
          <w:color w:val="auto"/>
          <w:szCs w:val="21"/>
          <w:highlight w:val="none"/>
          <w:lang w:val="zh-CN"/>
        </w:rPr>
        <w:t>施工场地周围地下管线和邻近建筑物、构筑物（含文物保护建筑）、古树名木的保护要求及费用承担：保护措施由承包人根据实际情况制定，报现场监理审核批准后执行。施工中如遇意外情况，应及时与有关部门联系，不得擅自处理。</w:t>
      </w:r>
    </w:p>
    <w:p w14:paraId="44663A19">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10</w:t>
      </w:r>
      <w:r>
        <w:rPr>
          <w:rFonts w:hint="eastAsia" w:hAnsi="宋体" w:cs="宋体"/>
          <w:color w:val="auto"/>
          <w:szCs w:val="21"/>
          <w:highlight w:val="none"/>
          <w:lang w:val="zh-CN"/>
        </w:rPr>
        <w:t>承担施工安全保卫工作及非夜间施工照明的责任和要求：提供和维修非夜间施工使用的照明、围栏设施、安全防护等，并负责安全保卫。所需费用由承包人在投标报价中综合考虑。</w:t>
      </w:r>
    </w:p>
    <w:p w14:paraId="218B6CA8">
      <w:pPr>
        <w:autoSpaceDE w:val="0"/>
        <w:autoSpaceDN w:val="0"/>
        <w:adjustRightInd w:val="0"/>
        <w:spacing w:line="420" w:lineRule="exact"/>
        <w:ind w:firstLine="482"/>
        <w:rPr>
          <w:rFonts w:hint="eastAsia" w:hAnsi="宋体" w:cs="宋体"/>
          <w:color w:val="auto"/>
          <w:szCs w:val="21"/>
          <w:highlight w:val="none"/>
          <w:lang w:val="zh-CN"/>
        </w:rPr>
      </w:pPr>
      <w:r>
        <w:rPr>
          <w:rFonts w:hint="eastAsia" w:hAnsi="宋体" w:cs="宋体"/>
          <w:color w:val="auto"/>
          <w:szCs w:val="21"/>
          <w:highlight w:val="none"/>
          <w:lang w:val="zh-CN"/>
        </w:rPr>
        <w:t>3.1.</w:t>
      </w:r>
      <w:r>
        <w:rPr>
          <w:rFonts w:hint="eastAsia" w:hAnsi="宋体" w:cs="宋体"/>
          <w:color w:val="auto"/>
          <w:szCs w:val="21"/>
          <w:highlight w:val="none"/>
          <w:lang w:val="en-US" w:eastAsia="zh-CN"/>
        </w:rPr>
        <w:t>11</w:t>
      </w:r>
      <w:r>
        <w:rPr>
          <w:rFonts w:hint="eastAsia" w:hAnsi="宋体" w:cs="宋体"/>
          <w:color w:val="auto"/>
          <w:szCs w:val="21"/>
          <w:highlight w:val="none"/>
          <w:lang w:val="zh-CN"/>
        </w:rPr>
        <w:t>承包人应对所实施的设施养护维修工程承担缺陷责任，如在承包期内再次发生缺陷维修的，费用由承包人自行承担。</w:t>
      </w:r>
    </w:p>
    <w:p w14:paraId="03A7B428">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3.2 项目负责人</w:t>
      </w:r>
    </w:p>
    <w:p w14:paraId="3EE87B0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3.2.1 项目负责人：</w:t>
      </w:r>
    </w:p>
    <w:p w14:paraId="783DCC2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姓    名：</w:t>
      </w:r>
      <w:r>
        <w:rPr>
          <w:rFonts w:hint="eastAsia" w:hAnsi="宋体" w:cs="宋体"/>
          <w:color w:val="auto"/>
          <w:szCs w:val="21"/>
          <w:highlight w:val="none"/>
          <w:u w:val="single"/>
          <w:lang w:val="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5B14167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身份证号：</w:t>
      </w:r>
      <w:r>
        <w:rPr>
          <w:rFonts w:hint="eastAsia" w:hAnsi="宋体" w:cs="宋体"/>
          <w:color w:val="auto"/>
          <w:szCs w:val="21"/>
          <w:highlight w:val="none"/>
          <w:u w:val="single"/>
          <w:lang w:val="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5A8D8EB4">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建造师执业资格等级：</w:t>
      </w:r>
      <w:r>
        <w:rPr>
          <w:rFonts w:hint="eastAsia" w:hAnsi="宋体" w:cs="宋体"/>
          <w:color w:val="auto"/>
          <w:szCs w:val="21"/>
          <w:highlight w:val="none"/>
          <w:u w:val="single"/>
          <w:lang w:val="zh-CN"/>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3A9F5B6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建造师注册证书号：</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034383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建造师执业印章号：</w:t>
      </w:r>
      <w:r>
        <w:rPr>
          <w:rFonts w:hint="eastAsia" w:hAnsi="宋体" w:cs="宋体"/>
          <w:color w:val="auto"/>
          <w:szCs w:val="21"/>
          <w:highlight w:val="none"/>
          <w:u w:val="single"/>
          <w:lang w:val="zh-CN"/>
        </w:rPr>
        <w:t xml:space="preserve">    </w:t>
      </w:r>
      <w:r>
        <w:rPr>
          <w:rFonts w:hint="eastAsia" w:hAnsi="宋体" w:cs="宋体"/>
          <w:color w:val="auto"/>
          <w:szCs w:val="21"/>
          <w:highlight w:val="none"/>
          <w:u w:val="single"/>
          <w:lang w:val="en-US" w:eastAsia="zh-CN"/>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249C156">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安全生产考核合格证书号：</w:t>
      </w:r>
      <w:r>
        <w:rPr>
          <w:rFonts w:hint="eastAsia" w:hAnsi="宋体" w:cs="宋体"/>
          <w:color w:val="auto"/>
          <w:szCs w:val="21"/>
          <w:highlight w:val="none"/>
          <w:u w:val="single"/>
          <w:lang w:val="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CD2093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联系电话：</w:t>
      </w:r>
      <w:r>
        <w:rPr>
          <w:rFonts w:hint="eastAsia" w:hAnsi="宋体" w:cs="宋体"/>
          <w:color w:val="auto"/>
          <w:szCs w:val="21"/>
          <w:highlight w:val="none"/>
          <w:u w:val="single"/>
          <w:lang w:val="zh-CN"/>
        </w:rPr>
        <w:t xml:space="preserve">            </w:t>
      </w:r>
      <w:r>
        <w:rPr>
          <w:rFonts w:hint="eastAsia" w:hAnsi="宋体" w:cs="宋体"/>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EA1A8D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电子信箱：</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FA00B2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通信地址：</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5175C0FF">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承包人对项目负责人的授权范围如下：</w:t>
      </w:r>
      <w:r>
        <w:rPr>
          <w:rFonts w:hint="eastAsia" w:hAnsi="宋体" w:cs="宋体"/>
          <w:b/>
          <w:bCs/>
          <w:color w:val="auto"/>
          <w:szCs w:val="21"/>
          <w:highlight w:val="none"/>
          <w:u w:val="single"/>
          <w:lang w:val="zh-CN"/>
        </w:rPr>
        <w:t>负责现场工程管理、协调关系、听从发包人和监理的指挥。</w:t>
      </w:r>
    </w:p>
    <w:p w14:paraId="53E0E277">
      <w:pPr>
        <w:autoSpaceDE w:val="0"/>
        <w:autoSpaceDN w:val="0"/>
        <w:adjustRightInd w:val="0"/>
        <w:spacing w:line="420" w:lineRule="exact"/>
        <w:ind w:firstLine="480"/>
        <w:rPr>
          <w:rFonts w:hint="eastAsia" w:ascii="宋体" w:hAnsi="宋体" w:cs="宋体"/>
          <w:b/>
          <w:bCs/>
          <w:color w:val="auto"/>
          <w:szCs w:val="21"/>
          <w:highlight w:val="none"/>
          <w:u w:val="single"/>
          <w:lang w:val="zh-CN"/>
        </w:rPr>
      </w:pPr>
      <w:r>
        <w:rPr>
          <w:rFonts w:hint="eastAsia" w:hAnsi="宋体" w:cs="宋体"/>
          <w:color w:val="auto"/>
          <w:szCs w:val="21"/>
          <w:highlight w:val="none"/>
          <w:lang w:val="zh-CN"/>
        </w:rPr>
        <w:t>关于项目负责人每月在施工现场的时间要求：</w:t>
      </w:r>
      <w:r>
        <w:rPr>
          <w:rFonts w:hint="eastAsia" w:hAnsi="宋体" w:cs="宋体"/>
          <w:b/>
          <w:bCs/>
          <w:color w:val="auto"/>
          <w:szCs w:val="21"/>
          <w:highlight w:val="none"/>
          <w:u w:val="single"/>
          <w:lang w:val="zh-CN"/>
        </w:rPr>
        <w:t>从工程开工（以开工令为准）起，项目负责人保证</w:t>
      </w:r>
      <w:r>
        <w:rPr>
          <w:rFonts w:hint="eastAsia" w:ascii="宋体" w:hAnsi="宋体" w:cs="宋体"/>
          <w:b/>
          <w:bCs/>
          <w:color w:val="auto"/>
          <w:szCs w:val="21"/>
          <w:highlight w:val="none"/>
          <w:u w:val="single"/>
          <w:lang w:val="zh-CN"/>
        </w:rPr>
        <w:t>每次任务期间有70%以上出勤时间，离开施工现场必须向采购人请假。</w:t>
      </w:r>
    </w:p>
    <w:p w14:paraId="6ECA0A64">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承包人未提交劳动合同，以及没有为项目负责人缴纳社会保险证明的违约责任：</w:t>
      </w:r>
      <w:r>
        <w:rPr>
          <w:rFonts w:hint="eastAsia" w:hAnsi="宋体" w:cs="宋体"/>
          <w:b/>
          <w:bCs/>
          <w:color w:val="auto"/>
          <w:szCs w:val="21"/>
          <w:highlight w:val="none"/>
          <w:u w:val="single"/>
          <w:lang w:val="zh-CN"/>
        </w:rPr>
        <w:t xml:space="preserve"> 除须补交资料及补齐手续外，</w:t>
      </w:r>
      <w:r>
        <w:rPr>
          <w:rFonts w:hint="eastAsia" w:ascii="宋体" w:hAnsi="宋体" w:cs="宋体"/>
          <w:b/>
          <w:bCs/>
          <w:color w:val="auto"/>
          <w:szCs w:val="21"/>
          <w:highlight w:val="none"/>
          <w:u w:val="single"/>
          <w:lang w:val="zh-CN"/>
        </w:rPr>
        <w:t>另须向采购人支付5000元违约金。</w:t>
      </w:r>
    </w:p>
    <w:p w14:paraId="3BA3917D">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项目负责人未经批准，擅自离开施工现场的违约责任：</w:t>
      </w:r>
      <w:r>
        <w:rPr>
          <w:rFonts w:hint="eastAsia" w:ascii="宋体" w:hAnsi="宋体" w:cs="宋体"/>
          <w:b/>
          <w:bCs/>
          <w:color w:val="auto"/>
          <w:szCs w:val="21"/>
          <w:highlight w:val="none"/>
          <w:u w:val="single"/>
          <w:lang w:val="zh-CN"/>
        </w:rPr>
        <w:t>项目负责人保证每次任务期间有70%以上出勤时间，每少出勤</w:t>
      </w:r>
      <w:r>
        <w:rPr>
          <w:rFonts w:hint="eastAsia" w:ascii="宋体" w:hAnsi="宋体" w:cs="宋体"/>
          <w:b/>
          <w:bCs/>
          <w:color w:val="auto"/>
          <w:szCs w:val="21"/>
          <w:highlight w:val="none"/>
          <w:u w:val="single"/>
        </w:rPr>
        <w:t>1</w:t>
      </w:r>
      <w:r>
        <w:rPr>
          <w:rFonts w:hint="eastAsia" w:ascii="宋体" w:hAnsi="宋体" w:cs="宋体"/>
          <w:b/>
          <w:bCs/>
          <w:color w:val="auto"/>
          <w:szCs w:val="21"/>
          <w:highlight w:val="none"/>
          <w:u w:val="single"/>
          <w:lang w:val="zh-CN"/>
        </w:rPr>
        <w:t>天</w:t>
      </w:r>
      <w:r>
        <w:rPr>
          <w:rFonts w:hint="eastAsia" w:ascii="宋体" w:hAnsi="宋体" w:cs="宋体"/>
          <w:b/>
          <w:bCs/>
          <w:color w:val="auto"/>
          <w:szCs w:val="21"/>
          <w:highlight w:val="none"/>
          <w:u w:val="single"/>
        </w:rPr>
        <w:t>处以500元的违约金</w:t>
      </w:r>
      <w:r>
        <w:rPr>
          <w:rFonts w:hint="eastAsia" w:ascii="宋体" w:hAnsi="宋体" w:cs="宋体"/>
          <w:b/>
          <w:bCs/>
          <w:color w:val="auto"/>
          <w:szCs w:val="21"/>
          <w:highlight w:val="none"/>
          <w:u w:val="single"/>
          <w:lang w:val="zh-CN"/>
        </w:rPr>
        <w:t>。</w:t>
      </w:r>
    </w:p>
    <w:p w14:paraId="4E6E4844">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3.2.</w:t>
      </w:r>
      <w:r>
        <w:rPr>
          <w:rFonts w:hint="eastAsia" w:hAnsi="宋体" w:cs="宋体"/>
          <w:color w:val="auto"/>
          <w:szCs w:val="21"/>
          <w:highlight w:val="none"/>
          <w:lang w:val="en-US" w:eastAsia="zh-CN"/>
        </w:rPr>
        <w:t>2</w:t>
      </w:r>
      <w:r>
        <w:rPr>
          <w:rFonts w:hint="eastAsia" w:hAnsi="宋体" w:cs="宋体"/>
          <w:color w:val="auto"/>
          <w:szCs w:val="21"/>
          <w:highlight w:val="none"/>
          <w:lang w:val="zh-CN"/>
        </w:rPr>
        <w:t xml:space="preserve"> 承包人擅自更换项目负责人的违约责任：</w:t>
      </w:r>
      <w:r>
        <w:rPr>
          <w:rFonts w:hint="eastAsia" w:hAnsi="宋体" w:cs="宋体"/>
          <w:b/>
          <w:bCs/>
          <w:color w:val="auto"/>
          <w:szCs w:val="21"/>
          <w:highlight w:val="none"/>
          <w:u w:val="single"/>
          <w:lang w:val="zh-CN"/>
        </w:rPr>
        <w:t>更换项目负责人，支付</w:t>
      </w:r>
      <w:r>
        <w:rPr>
          <w:rFonts w:hint="eastAsia" w:hAnsi="宋体" w:cs="宋体"/>
          <w:b/>
          <w:bCs/>
          <w:color w:val="auto"/>
          <w:szCs w:val="21"/>
          <w:highlight w:val="none"/>
          <w:u w:val="single"/>
        </w:rPr>
        <w:t>1</w:t>
      </w:r>
      <w:r>
        <w:rPr>
          <w:rFonts w:hint="eastAsia" w:hAnsi="宋体" w:cs="宋体"/>
          <w:b/>
          <w:bCs/>
          <w:color w:val="auto"/>
          <w:szCs w:val="21"/>
          <w:highlight w:val="none"/>
          <w:u w:val="single"/>
          <w:lang w:val="zh-CN"/>
        </w:rPr>
        <w:t>万元</w:t>
      </w:r>
      <w:r>
        <w:rPr>
          <w:rFonts w:hint="eastAsia" w:hAnsi="宋体" w:cs="宋体"/>
          <w:b/>
          <w:bCs/>
          <w:color w:val="auto"/>
          <w:szCs w:val="21"/>
          <w:highlight w:val="none"/>
          <w:u w:val="single"/>
        </w:rPr>
        <w:t>的违约金</w:t>
      </w:r>
      <w:r>
        <w:rPr>
          <w:rFonts w:hint="eastAsia" w:hAnsi="宋体" w:cs="宋体"/>
          <w:b/>
          <w:bCs/>
          <w:color w:val="auto"/>
          <w:szCs w:val="21"/>
          <w:highlight w:val="none"/>
          <w:u w:val="single"/>
          <w:lang w:val="zh-CN"/>
        </w:rPr>
        <w:t>。</w:t>
      </w:r>
    </w:p>
    <w:p w14:paraId="0AFCBCD5">
      <w:pPr>
        <w:autoSpaceDE w:val="0"/>
        <w:autoSpaceDN w:val="0"/>
        <w:adjustRightInd w:val="0"/>
        <w:spacing w:line="420" w:lineRule="exact"/>
        <w:ind w:firstLine="480"/>
        <w:rPr>
          <w:rFonts w:hint="eastAsia" w:ascii="宋体" w:hAnsi="宋体" w:cs="宋体"/>
          <w:b/>
          <w:bCs/>
          <w:color w:val="auto"/>
          <w:szCs w:val="21"/>
          <w:highlight w:val="none"/>
          <w:u w:val="single"/>
          <w:lang w:val="zh-CN"/>
        </w:rPr>
      </w:pPr>
      <w:r>
        <w:rPr>
          <w:rFonts w:hint="eastAsia" w:hAnsi="宋体" w:cs="宋体"/>
          <w:color w:val="auto"/>
          <w:szCs w:val="21"/>
          <w:highlight w:val="none"/>
          <w:lang w:val="zh-CN"/>
        </w:rPr>
        <w:t>3.2.</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承包人无正当理由拒绝更换项目负责人的违约责任：</w:t>
      </w:r>
      <w:r>
        <w:rPr>
          <w:rFonts w:hint="eastAsia" w:ascii="宋体" w:hAnsi="宋体" w:cs="宋体"/>
          <w:b/>
          <w:bCs/>
          <w:color w:val="auto"/>
          <w:szCs w:val="21"/>
          <w:highlight w:val="none"/>
          <w:u w:val="single"/>
          <w:lang w:val="zh-CN"/>
        </w:rPr>
        <w:t>投标书中承诺的项目负责人因不可抗</w:t>
      </w:r>
      <w:r>
        <w:rPr>
          <w:rFonts w:hint="eastAsia" w:ascii="宋体" w:hAnsi="宋体" w:cs="宋体"/>
          <w:b/>
          <w:bCs/>
          <w:color w:val="auto"/>
          <w:szCs w:val="21"/>
          <w:highlight w:val="none"/>
          <w:u w:val="single"/>
        </w:rPr>
        <w:t>力</w:t>
      </w:r>
      <w:r>
        <w:rPr>
          <w:rFonts w:hint="eastAsia" w:ascii="宋体" w:hAnsi="宋体" w:cs="宋体"/>
          <w:b/>
          <w:bCs/>
          <w:color w:val="auto"/>
          <w:szCs w:val="21"/>
          <w:highlight w:val="none"/>
          <w:u w:val="single"/>
          <w:lang w:val="zh-CN"/>
        </w:rPr>
        <w:t>因素</w:t>
      </w:r>
      <w:r>
        <w:rPr>
          <w:rFonts w:hint="eastAsia" w:ascii="宋体" w:hAnsi="宋体" w:cs="宋体"/>
          <w:b/>
          <w:bCs/>
          <w:color w:val="auto"/>
          <w:szCs w:val="21"/>
          <w:highlight w:val="none"/>
          <w:u w:val="single"/>
        </w:rPr>
        <w:t>或</w:t>
      </w:r>
      <w:r>
        <w:rPr>
          <w:rFonts w:hint="eastAsia" w:ascii="宋体" w:hAnsi="宋体" w:cs="宋体"/>
          <w:b/>
          <w:bCs/>
          <w:color w:val="auto"/>
          <w:szCs w:val="21"/>
          <w:highlight w:val="none"/>
          <w:u w:val="single"/>
          <w:lang w:val="zh-CN"/>
        </w:rPr>
        <w:t>经采购人同意后，可以更换一次，不收取违约金；采购人和监理方考核不合格的项目负责人，供应商必须在一周内无条件更换，同时处以1万元/次的违约金；若无正当理由拒绝更换，处以2万元/次的违约金。</w:t>
      </w:r>
    </w:p>
    <w:p w14:paraId="4E9A450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3.3 承包人人员</w:t>
      </w:r>
    </w:p>
    <w:p w14:paraId="0C8C3901">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3.3.1 承包人提交项目管理机构及施工现场管理人员安排报告的期限：</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开工前</w:t>
      </w:r>
      <w:r>
        <w:rPr>
          <w:rFonts w:hint="eastAsia" w:hAnsi="宋体" w:cs="宋体"/>
          <w:b/>
          <w:bCs/>
          <w:color w:val="auto"/>
          <w:szCs w:val="21"/>
          <w:highlight w:val="none"/>
          <w:u w:val="single"/>
        </w:rPr>
        <w:t>3</w:t>
      </w:r>
      <w:r>
        <w:rPr>
          <w:rFonts w:hint="eastAsia" w:hAnsi="宋体" w:cs="宋体"/>
          <w:b/>
          <w:bCs/>
          <w:color w:val="auto"/>
          <w:szCs w:val="21"/>
          <w:highlight w:val="none"/>
          <w:u w:val="single"/>
          <w:lang w:val="zh-CN"/>
        </w:rPr>
        <w:t>天</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3F861E67">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lang w:val="zh-CN"/>
        </w:rPr>
        <w:t>3.3.</w:t>
      </w:r>
      <w:r>
        <w:rPr>
          <w:rFonts w:hint="eastAsia" w:hAnsi="宋体" w:cs="宋体"/>
          <w:color w:val="auto"/>
          <w:szCs w:val="21"/>
          <w:highlight w:val="none"/>
        </w:rPr>
        <w:t>2</w:t>
      </w:r>
      <w:r>
        <w:rPr>
          <w:rFonts w:hint="eastAsia" w:hAnsi="宋体" w:cs="宋体"/>
          <w:color w:val="auto"/>
          <w:szCs w:val="21"/>
          <w:highlight w:val="none"/>
          <w:lang w:val="zh-CN"/>
        </w:rPr>
        <w:t xml:space="preserve"> 承包人无正当理由拒绝撤换主要施工管理人员的违约责任：</w:t>
      </w:r>
      <w:r>
        <w:rPr>
          <w:rFonts w:hint="eastAsia" w:hAnsi="宋体" w:cs="宋体"/>
          <w:b/>
          <w:bCs/>
          <w:color w:val="auto"/>
          <w:szCs w:val="21"/>
          <w:highlight w:val="none"/>
          <w:u w:val="single"/>
        </w:rPr>
        <w:t>施工员、安全员、质检员</w:t>
      </w:r>
      <w:r>
        <w:rPr>
          <w:rFonts w:hint="eastAsia" w:hAnsi="宋体" w:cs="宋体"/>
          <w:b/>
          <w:bCs/>
          <w:color w:val="auto"/>
          <w:szCs w:val="21"/>
          <w:highlight w:val="none"/>
          <w:u w:val="single"/>
          <w:lang w:val="zh-CN"/>
        </w:rPr>
        <w:t>经发包人同意后，可以更换一次，不收取违约金；经发包人和监理方考核不合格者，承包人必须在一周内无条件更换，同时须支付1万元/人·次的违约金；若无正当理由拒绝更换，须支付2万元/人·次的违约金；</w:t>
      </w:r>
    </w:p>
    <w:p w14:paraId="707C6712">
      <w:pPr>
        <w:autoSpaceDE w:val="0"/>
        <w:autoSpaceDN w:val="0"/>
        <w:adjustRightInd w:val="0"/>
        <w:spacing w:line="420" w:lineRule="exact"/>
        <w:ind w:firstLine="482"/>
        <w:rPr>
          <w:rFonts w:hint="eastAsia" w:hAnsi="宋体" w:cs="宋体"/>
          <w:b/>
          <w:bCs/>
          <w:color w:val="auto"/>
          <w:szCs w:val="21"/>
          <w:highlight w:val="none"/>
          <w:u w:val="single"/>
        </w:rPr>
      </w:pPr>
      <w:r>
        <w:rPr>
          <w:rFonts w:hint="eastAsia" w:hAnsi="宋体" w:cs="宋体"/>
          <w:b/>
          <w:bCs/>
          <w:color w:val="auto"/>
          <w:szCs w:val="21"/>
          <w:highlight w:val="none"/>
          <w:u w:val="single"/>
          <w:lang w:val="zh-CN"/>
        </w:rPr>
        <w:t>承包人人员资格的特别规定：所有特殊工种人员均应持有关部门颁发的资质证书或上岗证上岗，并在上岗之前由监理工程师进行审查。</w:t>
      </w:r>
    </w:p>
    <w:p w14:paraId="79E72AF3">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3.3.</w:t>
      </w:r>
      <w:r>
        <w:rPr>
          <w:rFonts w:hint="eastAsia" w:hAnsi="宋体" w:cs="宋体"/>
          <w:color w:val="auto"/>
          <w:szCs w:val="21"/>
          <w:highlight w:val="none"/>
        </w:rPr>
        <w:t>3</w:t>
      </w:r>
      <w:r>
        <w:rPr>
          <w:rFonts w:hint="eastAsia" w:hAnsi="宋体" w:cs="宋体"/>
          <w:color w:val="auto"/>
          <w:szCs w:val="21"/>
          <w:highlight w:val="none"/>
          <w:lang w:val="zh-CN"/>
        </w:rPr>
        <w:t xml:space="preserve"> 承包人主要施工管理人员离开施工现场的批准要求：</w:t>
      </w:r>
      <w:r>
        <w:rPr>
          <w:rFonts w:hint="eastAsia" w:hAnsi="宋体" w:cs="宋体"/>
          <w:b/>
          <w:bCs/>
          <w:color w:val="auto"/>
          <w:szCs w:val="21"/>
          <w:highlight w:val="none"/>
          <w:u w:val="single"/>
          <w:lang w:val="zh-CN"/>
        </w:rPr>
        <w:t>发包人书面认可后方可离开。</w:t>
      </w:r>
    </w:p>
    <w:p w14:paraId="00552244">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3.3.</w:t>
      </w:r>
      <w:r>
        <w:rPr>
          <w:rFonts w:hint="eastAsia" w:hAnsi="宋体" w:cs="宋体"/>
          <w:color w:val="auto"/>
          <w:szCs w:val="21"/>
          <w:highlight w:val="none"/>
        </w:rPr>
        <w:t>4</w:t>
      </w:r>
      <w:r>
        <w:rPr>
          <w:rFonts w:hint="eastAsia" w:hAnsi="宋体" w:cs="宋体"/>
          <w:color w:val="auto"/>
          <w:szCs w:val="21"/>
          <w:highlight w:val="none"/>
          <w:lang w:val="en-US" w:eastAsia="zh-CN"/>
        </w:rPr>
        <w:t xml:space="preserve"> </w:t>
      </w:r>
      <w:r>
        <w:rPr>
          <w:rFonts w:hint="eastAsia" w:hAnsi="宋体" w:cs="宋体"/>
          <w:color w:val="auto"/>
          <w:szCs w:val="21"/>
          <w:highlight w:val="none"/>
          <w:lang w:val="zh-CN"/>
        </w:rPr>
        <w:t>承包人擅自更换主要施工管理人员的违约责任：</w:t>
      </w:r>
      <w:r>
        <w:rPr>
          <w:rFonts w:hint="eastAsia" w:hAnsi="宋体" w:cs="宋体"/>
          <w:b/>
          <w:bCs/>
          <w:color w:val="auto"/>
          <w:szCs w:val="21"/>
          <w:highlight w:val="none"/>
          <w:u w:val="single"/>
          <w:lang w:val="zh-CN"/>
        </w:rPr>
        <w:t>在本工程竣工前，</w:t>
      </w:r>
      <w:r>
        <w:rPr>
          <w:rFonts w:hint="eastAsia" w:hAnsi="宋体" w:cs="宋体"/>
          <w:b/>
          <w:bCs/>
          <w:color w:val="auto"/>
          <w:szCs w:val="21"/>
          <w:highlight w:val="none"/>
          <w:u w:val="single"/>
        </w:rPr>
        <w:t>施工员、安全员、质检员</w:t>
      </w:r>
      <w:r>
        <w:rPr>
          <w:rFonts w:hint="eastAsia" w:hAnsi="宋体" w:cs="宋体"/>
          <w:b/>
          <w:bCs/>
          <w:color w:val="auto"/>
          <w:szCs w:val="21"/>
          <w:highlight w:val="none"/>
          <w:u w:val="single"/>
          <w:lang w:val="zh-CN"/>
        </w:rPr>
        <w:t>不得到其他工程兼职，否则，一经发现，视作违约，且每人次支付</w:t>
      </w:r>
      <w:r>
        <w:rPr>
          <w:rFonts w:hint="eastAsia" w:hAnsi="宋体" w:cs="宋体"/>
          <w:b/>
          <w:bCs/>
          <w:color w:val="auto"/>
          <w:szCs w:val="21"/>
          <w:highlight w:val="none"/>
          <w:u w:val="single"/>
        </w:rPr>
        <w:t>5000</w:t>
      </w:r>
      <w:r>
        <w:rPr>
          <w:rFonts w:hint="eastAsia" w:hAnsi="宋体" w:cs="宋体"/>
          <w:b/>
          <w:bCs/>
          <w:color w:val="auto"/>
          <w:szCs w:val="21"/>
          <w:highlight w:val="none"/>
          <w:u w:val="single"/>
          <w:lang w:val="zh-CN"/>
        </w:rPr>
        <w:t>元/人·次</w:t>
      </w:r>
      <w:r>
        <w:rPr>
          <w:rFonts w:hint="eastAsia" w:hAnsi="宋体" w:cs="宋体"/>
          <w:b/>
          <w:bCs/>
          <w:color w:val="auto"/>
          <w:szCs w:val="21"/>
          <w:highlight w:val="none"/>
          <w:u w:val="single"/>
        </w:rPr>
        <w:t>的违约金</w:t>
      </w:r>
      <w:r>
        <w:rPr>
          <w:rFonts w:hint="eastAsia" w:hAnsi="宋体" w:cs="宋体"/>
          <w:b/>
          <w:bCs/>
          <w:color w:val="auto"/>
          <w:szCs w:val="21"/>
          <w:highlight w:val="none"/>
          <w:u w:val="single"/>
          <w:lang w:val="zh-CN"/>
        </w:rPr>
        <w:t>。若擅自更换</w:t>
      </w:r>
      <w:r>
        <w:rPr>
          <w:rFonts w:hint="eastAsia" w:hAnsi="宋体" w:cs="宋体"/>
          <w:b/>
          <w:bCs/>
          <w:color w:val="auto"/>
          <w:szCs w:val="21"/>
          <w:highlight w:val="none"/>
          <w:u w:val="single"/>
        </w:rPr>
        <w:t>施工员、安全员、质检员</w:t>
      </w:r>
      <w:r>
        <w:rPr>
          <w:rFonts w:hint="eastAsia" w:hAnsi="宋体" w:cs="宋体"/>
          <w:b/>
          <w:bCs/>
          <w:color w:val="auto"/>
          <w:szCs w:val="21"/>
          <w:highlight w:val="none"/>
          <w:u w:val="single"/>
          <w:lang w:val="zh-CN"/>
        </w:rPr>
        <w:t>，每人次支付合</w:t>
      </w:r>
      <w:r>
        <w:rPr>
          <w:rFonts w:hint="eastAsia" w:hAnsi="宋体" w:cs="宋体"/>
          <w:b/>
          <w:bCs/>
          <w:color w:val="auto"/>
          <w:szCs w:val="21"/>
          <w:highlight w:val="none"/>
          <w:u w:val="single"/>
        </w:rPr>
        <w:t>1</w:t>
      </w:r>
      <w:r>
        <w:rPr>
          <w:rFonts w:hint="eastAsia" w:hAnsi="宋体" w:cs="宋体"/>
          <w:b/>
          <w:bCs/>
          <w:color w:val="auto"/>
          <w:szCs w:val="21"/>
          <w:highlight w:val="none"/>
          <w:u w:val="single"/>
          <w:lang w:val="zh-CN"/>
        </w:rPr>
        <w:t>万元/人·次</w:t>
      </w:r>
      <w:r>
        <w:rPr>
          <w:rFonts w:hint="eastAsia" w:hAnsi="宋体" w:cs="宋体"/>
          <w:b/>
          <w:bCs/>
          <w:color w:val="auto"/>
          <w:szCs w:val="21"/>
          <w:highlight w:val="none"/>
          <w:u w:val="single"/>
        </w:rPr>
        <w:t>的违约金。</w:t>
      </w:r>
    </w:p>
    <w:p w14:paraId="3814D5BA">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lang w:val="zh-CN"/>
        </w:rPr>
        <w:t>承包人主要施工管理人员擅自离开施工现场的违约责任：</w:t>
      </w:r>
      <w:r>
        <w:rPr>
          <w:rFonts w:hint="eastAsia" w:hAnsi="宋体" w:cs="宋体"/>
          <w:b/>
          <w:bCs/>
          <w:color w:val="auto"/>
          <w:szCs w:val="21"/>
          <w:highlight w:val="none"/>
          <w:u w:val="single"/>
        </w:rPr>
        <w:t>施工员、安全员、质检员</w:t>
      </w:r>
      <w:r>
        <w:rPr>
          <w:rFonts w:hint="eastAsia" w:hAnsi="宋体" w:cs="宋体"/>
          <w:b/>
          <w:bCs/>
          <w:color w:val="auto"/>
          <w:szCs w:val="21"/>
          <w:highlight w:val="none"/>
          <w:u w:val="single"/>
          <w:lang w:val="zh-CN"/>
        </w:rPr>
        <w:t>每周有6天以上出勤，由总监理工程师负责考勤，每少出勤</w:t>
      </w:r>
      <w:r>
        <w:rPr>
          <w:rFonts w:hint="eastAsia" w:hAnsi="宋体" w:cs="宋体"/>
          <w:b/>
          <w:bCs/>
          <w:color w:val="auto"/>
          <w:szCs w:val="21"/>
          <w:highlight w:val="none"/>
          <w:u w:val="single"/>
        </w:rPr>
        <w:t>1</w:t>
      </w:r>
      <w:r>
        <w:rPr>
          <w:rFonts w:hint="eastAsia" w:hAnsi="宋体" w:cs="宋体"/>
          <w:b/>
          <w:bCs/>
          <w:color w:val="auto"/>
          <w:szCs w:val="21"/>
          <w:highlight w:val="none"/>
          <w:u w:val="single"/>
          <w:lang w:val="zh-CN"/>
        </w:rPr>
        <w:t>天</w:t>
      </w:r>
      <w:r>
        <w:rPr>
          <w:rFonts w:hint="eastAsia" w:hAnsi="宋体" w:cs="宋体"/>
          <w:b/>
          <w:bCs/>
          <w:color w:val="auto"/>
          <w:szCs w:val="21"/>
          <w:highlight w:val="none"/>
          <w:u w:val="single"/>
        </w:rPr>
        <w:t>支付1000</w:t>
      </w:r>
      <w:r>
        <w:rPr>
          <w:rFonts w:hint="eastAsia" w:hAnsi="宋体" w:cs="宋体"/>
          <w:b/>
          <w:bCs/>
          <w:color w:val="auto"/>
          <w:szCs w:val="21"/>
          <w:highlight w:val="none"/>
          <w:u w:val="single"/>
          <w:lang w:val="zh-CN"/>
        </w:rPr>
        <w:t>元</w:t>
      </w:r>
      <w:r>
        <w:rPr>
          <w:rFonts w:hint="eastAsia" w:hAnsi="宋体" w:cs="宋体"/>
          <w:b/>
          <w:bCs/>
          <w:color w:val="auto"/>
          <w:szCs w:val="21"/>
          <w:highlight w:val="none"/>
          <w:u w:val="single"/>
        </w:rPr>
        <w:t>/</w:t>
      </w:r>
      <w:r>
        <w:rPr>
          <w:rFonts w:hint="eastAsia" w:hAnsi="宋体" w:cs="宋体"/>
          <w:b/>
          <w:bCs/>
          <w:color w:val="auto"/>
          <w:szCs w:val="21"/>
          <w:highlight w:val="none"/>
          <w:u w:val="single"/>
          <w:lang w:val="zh-CN"/>
        </w:rPr>
        <w:t>人·次</w:t>
      </w:r>
      <w:r>
        <w:rPr>
          <w:rFonts w:hint="eastAsia" w:hAnsi="宋体" w:cs="宋体"/>
          <w:b/>
          <w:bCs/>
          <w:color w:val="auto"/>
          <w:szCs w:val="21"/>
          <w:highlight w:val="none"/>
          <w:u w:val="single"/>
        </w:rPr>
        <w:t>的违约金</w:t>
      </w:r>
      <w:r>
        <w:rPr>
          <w:rFonts w:hint="eastAsia" w:hAnsi="宋体" w:cs="宋体"/>
          <w:b/>
          <w:bCs/>
          <w:color w:val="auto"/>
          <w:szCs w:val="21"/>
          <w:highlight w:val="none"/>
          <w:u w:val="single"/>
          <w:lang w:val="zh-CN"/>
        </w:rPr>
        <w:t>。</w:t>
      </w:r>
    </w:p>
    <w:p w14:paraId="1742F406">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3.3.</w:t>
      </w:r>
      <w:r>
        <w:rPr>
          <w:rFonts w:hint="eastAsia" w:hAnsi="宋体" w:cs="宋体"/>
          <w:color w:val="auto"/>
          <w:szCs w:val="21"/>
          <w:highlight w:val="none"/>
        </w:rPr>
        <w:t xml:space="preserve">5 </w:t>
      </w:r>
      <w:r>
        <w:rPr>
          <w:rFonts w:hint="eastAsia" w:hAnsi="宋体" w:cs="宋体"/>
          <w:b/>
          <w:bCs/>
          <w:color w:val="auto"/>
          <w:szCs w:val="21"/>
          <w:highlight w:val="none"/>
          <w:u w:val="single"/>
          <w:lang w:val="zh-CN"/>
        </w:rPr>
        <w:t>在本工程竣工前，经发包人同意后，</w:t>
      </w:r>
      <w:r>
        <w:rPr>
          <w:rFonts w:hint="eastAsia" w:hAnsi="宋体" w:cs="宋体"/>
          <w:b/>
          <w:bCs/>
          <w:color w:val="auto"/>
          <w:szCs w:val="21"/>
          <w:highlight w:val="none"/>
          <w:u w:val="single"/>
        </w:rPr>
        <w:t>巡查员每年</w:t>
      </w:r>
      <w:r>
        <w:rPr>
          <w:rFonts w:hint="eastAsia" w:hAnsi="宋体" w:cs="宋体"/>
          <w:b/>
          <w:bCs/>
          <w:color w:val="auto"/>
          <w:szCs w:val="21"/>
          <w:highlight w:val="none"/>
          <w:u w:val="single"/>
          <w:lang w:val="zh-CN"/>
        </w:rPr>
        <w:t>可以更换一次，不收取违约金。</w:t>
      </w:r>
      <w:r>
        <w:rPr>
          <w:rFonts w:hint="eastAsia" w:hAnsi="宋体" w:cs="宋体"/>
          <w:b/>
          <w:bCs/>
          <w:color w:val="auto"/>
          <w:szCs w:val="21"/>
          <w:highlight w:val="none"/>
          <w:u w:val="single"/>
        </w:rPr>
        <w:t>超出更换次数</w:t>
      </w:r>
      <w:r>
        <w:rPr>
          <w:rFonts w:hint="eastAsia" w:hAnsi="宋体" w:cs="宋体"/>
          <w:b/>
          <w:bCs/>
          <w:color w:val="auto"/>
          <w:szCs w:val="21"/>
          <w:highlight w:val="none"/>
          <w:u w:val="single"/>
          <w:lang w:val="zh-CN"/>
        </w:rPr>
        <w:t>，</w:t>
      </w:r>
      <w:r>
        <w:rPr>
          <w:rFonts w:hint="eastAsia" w:hAnsi="宋体" w:cs="宋体"/>
          <w:b/>
          <w:bCs/>
          <w:color w:val="auto"/>
          <w:szCs w:val="21"/>
          <w:highlight w:val="none"/>
          <w:u w:val="single"/>
        </w:rPr>
        <w:t>处以3</w:t>
      </w:r>
      <w:r>
        <w:rPr>
          <w:rFonts w:hint="eastAsia" w:hAnsi="宋体" w:cs="宋体"/>
          <w:b/>
          <w:bCs/>
          <w:color w:val="auto"/>
          <w:szCs w:val="21"/>
          <w:highlight w:val="none"/>
          <w:u w:val="single"/>
          <w:lang w:val="zh-CN"/>
        </w:rPr>
        <w:t>000元/人·次</w:t>
      </w:r>
      <w:r>
        <w:rPr>
          <w:rFonts w:hint="eastAsia" w:hAnsi="宋体" w:cs="宋体"/>
          <w:b/>
          <w:bCs/>
          <w:color w:val="auto"/>
          <w:szCs w:val="21"/>
          <w:highlight w:val="none"/>
          <w:u w:val="single"/>
        </w:rPr>
        <w:t>的违约金</w:t>
      </w:r>
      <w:r>
        <w:rPr>
          <w:rFonts w:hint="eastAsia" w:hAnsi="宋体" w:cs="宋体"/>
          <w:b/>
          <w:bCs/>
          <w:color w:val="auto"/>
          <w:szCs w:val="21"/>
          <w:highlight w:val="none"/>
          <w:u w:val="single"/>
          <w:lang w:val="zh-CN"/>
        </w:rPr>
        <w:t>。</w:t>
      </w:r>
    </w:p>
    <w:p w14:paraId="6C63B570">
      <w:pPr>
        <w:tabs>
          <w:tab w:val="left" w:pos="4220"/>
        </w:tabs>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w:t>
      </w:r>
      <w:r>
        <w:rPr>
          <w:rFonts w:hint="eastAsia" w:hAnsi="宋体" w:cs="宋体"/>
          <w:color w:val="auto"/>
          <w:szCs w:val="21"/>
          <w:highlight w:val="none"/>
        </w:rPr>
        <w:t>4</w:t>
      </w:r>
      <w:r>
        <w:rPr>
          <w:rFonts w:hint="eastAsia" w:hAnsi="宋体" w:cs="宋体"/>
          <w:color w:val="auto"/>
          <w:szCs w:val="21"/>
          <w:highlight w:val="none"/>
          <w:lang w:val="zh-CN"/>
        </w:rPr>
        <w:t xml:space="preserve"> 分包</w:t>
      </w:r>
      <w:r>
        <w:rPr>
          <w:rFonts w:hint="eastAsia" w:hAnsi="宋体" w:cs="宋体"/>
          <w:color w:val="auto"/>
          <w:szCs w:val="21"/>
          <w:highlight w:val="none"/>
          <w:lang w:val="zh-CN"/>
        </w:rPr>
        <w:tab/>
      </w:r>
    </w:p>
    <w:p w14:paraId="2DE3E690">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w:t>
      </w:r>
      <w:r>
        <w:rPr>
          <w:rFonts w:hint="eastAsia" w:hAnsi="宋体" w:cs="宋体"/>
          <w:color w:val="auto"/>
          <w:szCs w:val="21"/>
          <w:highlight w:val="none"/>
        </w:rPr>
        <w:t>4</w:t>
      </w:r>
      <w:r>
        <w:rPr>
          <w:rFonts w:hint="eastAsia" w:hAnsi="宋体" w:cs="宋体"/>
          <w:color w:val="auto"/>
          <w:szCs w:val="21"/>
          <w:highlight w:val="none"/>
          <w:lang w:val="zh-CN"/>
        </w:rPr>
        <w:t>.1 分包的一般约定</w:t>
      </w:r>
    </w:p>
    <w:p w14:paraId="3FF7BBC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禁止分包的工程包括：</w:t>
      </w:r>
      <w:r>
        <w:rPr>
          <w:rFonts w:hint="eastAsia" w:hAnsi="宋体" w:cs="宋体"/>
          <w:color w:val="auto"/>
          <w:szCs w:val="21"/>
          <w:highlight w:val="none"/>
          <w:u w:val="single"/>
        </w:rPr>
        <w:t>在履行合同过程中，承包人不得违法转包和分包，一经发现，发包人可以解除本合同，并不予退还全额履约保证金，并且已完成的工程量不予结算，所造成的责任与损失均由承包人承担。</w:t>
      </w:r>
    </w:p>
    <w:p w14:paraId="3A147B87">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主体结构、关键性工作的范围：</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rPr>
        <w:t xml:space="preserve">/  </w:t>
      </w:r>
      <w:r>
        <w:rPr>
          <w:rFonts w:hint="eastAsia" w:hAnsi="宋体" w:cs="宋体"/>
          <w:color w:val="auto"/>
          <w:szCs w:val="21"/>
          <w:highlight w:val="none"/>
          <w:lang w:val="zh-CN"/>
        </w:rPr>
        <w:t>。</w:t>
      </w:r>
    </w:p>
    <w:p w14:paraId="3F1B4F7B">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w:t>
      </w:r>
      <w:r>
        <w:rPr>
          <w:rFonts w:hint="eastAsia" w:hAnsi="宋体" w:cs="宋体"/>
          <w:color w:val="auto"/>
          <w:szCs w:val="21"/>
          <w:highlight w:val="none"/>
        </w:rPr>
        <w:t>4</w:t>
      </w:r>
      <w:r>
        <w:rPr>
          <w:rFonts w:hint="eastAsia" w:hAnsi="宋体" w:cs="宋体"/>
          <w:color w:val="auto"/>
          <w:szCs w:val="21"/>
          <w:highlight w:val="none"/>
          <w:lang w:val="zh-CN"/>
        </w:rPr>
        <w:t>.2</w:t>
      </w:r>
      <w:r>
        <w:rPr>
          <w:rFonts w:hint="eastAsia" w:hAnsi="宋体" w:cs="宋体"/>
          <w:color w:val="auto"/>
          <w:szCs w:val="21"/>
          <w:highlight w:val="none"/>
          <w:lang w:val="en-US" w:eastAsia="zh-CN"/>
        </w:rPr>
        <w:t xml:space="preserve"> </w:t>
      </w:r>
      <w:r>
        <w:rPr>
          <w:rFonts w:hint="eastAsia" w:hAnsi="宋体" w:cs="宋体"/>
          <w:color w:val="auto"/>
          <w:szCs w:val="21"/>
          <w:highlight w:val="none"/>
          <w:lang w:val="zh-CN"/>
        </w:rPr>
        <w:t>分包的确定</w:t>
      </w:r>
    </w:p>
    <w:p w14:paraId="25876E99">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允许分包的专业工程包括：</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878067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其他关于分包的约定：</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rPr>
        <w:t xml:space="preserve"> /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221A422">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w:t>
      </w:r>
      <w:r>
        <w:rPr>
          <w:rFonts w:hint="eastAsia" w:hAnsi="宋体" w:cs="宋体"/>
          <w:color w:val="auto"/>
          <w:szCs w:val="21"/>
          <w:highlight w:val="none"/>
        </w:rPr>
        <w:t>4</w:t>
      </w:r>
      <w:r>
        <w:rPr>
          <w:rFonts w:hint="eastAsia" w:hAnsi="宋体" w:cs="宋体"/>
          <w:color w:val="auto"/>
          <w:szCs w:val="21"/>
          <w:highlight w:val="none"/>
          <w:lang w:val="zh-CN"/>
        </w:rPr>
        <w:t>.</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分包合同价款</w:t>
      </w:r>
    </w:p>
    <w:p w14:paraId="0F8059C3">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关于分包合同价款支付的约定：</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rPr>
        <w:t xml:space="preserve">/ </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3A29079B">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3.</w:t>
      </w:r>
      <w:r>
        <w:rPr>
          <w:rFonts w:hint="eastAsia" w:hAnsi="宋体" w:cs="宋体"/>
          <w:color w:val="auto"/>
          <w:szCs w:val="21"/>
          <w:highlight w:val="none"/>
        </w:rPr>
        <w:t>5</w:t>
      </w:r>
      <w:r>
        <w:rPr>
          <w:rFonts w:hint="eastAsia" w:hAnsi="宋体" w:cs="宋体"/>
          <w:color w:val="auto"/>
          <w:szCs w:val="21"/>
          <w:highlight w:val="none"/>
          <w:lang w:val="zh-CN"/>
        </w:rPr>
        <w:t xml:space="preserve"> 工程照管与成品、半成品保护</w:t>
      </w:r>
    </w:p>
    <w:p w14:paraId="5C8BAA40">
      <w:pPr>
        <w:autoSpaceDE w:val="0"/>
        <w:autoSpaceDN w:val="0"/>
        <w:adjustRightInd w:val="0"/>
        <w:spacing w:line="420" w:lineRule="exact"/>
        <w:ind w:firstLine="480"/>
        <w:rPr>
          <w:rFonts w:hint="eastAsia" w:hAnsi="宋体" w:cs="宋体"/>
          <w:color w:val="auto"/>
          <w:szCs w:val="21"/>
          <w:highlight w:val="none"/>
          <w:u w:val="single"/>
          <w:lang w:val="zh-CN"/>
        </w:rPr>
      </w:pPr>
      <w:r>
        <w:rPr>
          <w:rFonts w:hint="eastAsia" w:hAnsi="宋体" w:cs="宋体"/>
          <w:color w:val="auto"/>
          <w:szCs w:val="21"/>
          <w:highlight w:val="none"/>
          <w:lang w:val="zh-CN"/>
        </w:rPr>
        <w:t>承包人负责照管工程及工程相关的材料、工程设备的起始时间：</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按通用条款</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255BE956">
      <w:pPr>
        <w:autoSpaceDE w:val="0"/>
        <w:autoSpaceDN w:val="0"/>
        <w:adjustRightInd w:val="0"/>
        <w:spacing w:line="420" w:lineRule="exact"/>
        <w:ind w:firstLine="480"/>
        <w:rPr>
          <w:rFonts w:hint="eastAsia" w:hAnsi="宋体" w:cs="宋体" w:eastAsiaTheme="minorEastAsia"/>
          <w:color w:val="auto"/>
          <w:szCs w:val="21"/>
          <w:highlight w:val="none"/>
          <w:lang w:val="zh-CN" w:eastAsia="zh-CN"/>
        </w:rPr>
      </w:pPr>
      <w:r>
        <w:rPr>
          <w:rFonts w:hint="eastAsia" w:hAnsi="宋体" w:cs="宋体"/>
          <w:color w:val="auto"/>
          <w:szCs w:val="21"/>
          <w:highlight w:val="none"/>
          <w:lang w:val="zh-CN"/>
        </w:rPr>
        <w:t>3.</w:t>
      </w:r>
      <w:r>
        <w:rPr>
          <w:rFonts w:hint="eastAsia" w:hAnsi="宋体" w:cs="宋体"/>
          <w:color w:val="auto"/>
          <w:szCs w:val="21"/>
          <w:highlight w:val="none"/>
        </w:rPr>
        <w:t>6</w:t>
      </w:r>
      <w:r>
        <w:rPr>
          <w:rFonts w:hint="eastAsia" w:hAnsi="宋体" w:cs="宋体"/>
          <w:color w:val="auto"/>
          <w:szCs w:val="21"/>
          <w:highlight w:val="none"/>
          <w:lang w:val="zh-CN"/>
        </w:rPr>
        <w:t xml:space="preserve"> 履约</w:t>
      </w:r>
      <w:r>
        <w:rPr>
          <w:rFonts w:hint="eastAsia" w:hAnsi="宋体" w:cs="宋体"/>
          <w:color w:val="auto"/>
          <w:szCs w:val="21"/>
          <w:highlight w:val="none"/>
          <w:lang w:val="en-US" w:eastAsia="zh-CN"/>
        </w:rPr>
        <w:t>保证金</w:t>
      </w:r>
    </w:p>
    <w:p w14:paraId="2E0F15CD">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lang w:val="zh-CN"/>
        </w:rPr>
        <w:t>承包人是否提供履约</w:t>
      </w:r>
      <w:r>
        <w:rPr>
          <w:rFonts w:hint="eastAsia" w:hAnsi="宋体" w:cs="宋体"/>
          <w:color w:val="auto"/>
          <w:szCs w:val="21"/>
          <w:highlight w:val="none"/>
          <w:lang w:val="en-US" w:eastAsia="zh-CN"/>
        </w:rPr>
        <w:t>保证金</w:t>
      </w:r>
      <w:r>
        <w:rPr>
          <w:rFonts w:hint="eastAsia" w:hAnsi="宋体" w:cs="宋体"/>
          <w:color w:val="auto"/>
          <w:szCs w:val="21"/>
          <w:highlight w:val="none"/>
          <w:lang w:val="zh-CN"/>
        </w:rPr>
        <w:t>：</w:t>
      </w:r>
      <w:r>
        <w:rPr>
          <w:rFonts w:hint="eastAsia" w:hAnsi="宋体" w:cs="宋体"/>
          <w:b/>
          <w:bCs/>
          <w:color w:val="auto"/>
          <w:szCs w:val="21"/>
          <w:highlight w:val="none"/>
          <w:u w:val="single"/>
          <w:lang w:val="zh-CN"/>
        </w:rPr>
        <w:t xml:space="preserve">  提供  。</w:t>
      </w:r>
    </w:p>
    <w:p w14:paraId="3BA26D55">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color w:val="auto"/>
          <w:szCs w:val="21"/>
          <w:highlight w:val="none"/>
          <w:lang w:val="zh-CN"/>
        </w:rPr>
        <w:t>承包人提供履约</w:t>
      </w:r>
      <w:r>
        <w:rPr>
          <w:rFonts w:hint="eastAsia" w:hAnsi="宋体" w:cs="宋体"/>
          <w:color w:val="auto"/>
          <w:szCs w:val="21"/>
          <w:highlight w:val="none"/>
          <w:lang w:val="en-US" w:eastAsia="zh-CN"/>
        </w:rPr>
        <w:t>保证金</w:t>
      </w:r>
      <w:r>
        <w:rPr>
          <w:rFonts w:hint="eastAsia" w:hAnsi="宋体" w:cs="宋体"/>
          <w:color w:val="auto"/>
          <w:szCs w:val="21"/>
          <w:highlight w:val="none"/>
          <w:lang w:val="zh-CN"/>
        </w:rPr>
        <w:t>的形式、金额及期限：</w:t>
      </w:r>
      <w:r>
        <w:rPr>
          <w:rFonts w:hint="eastAsia" w:hAnsi="宋体" w:cs="宋体"/>
          <w:b/>
          <w:bCs/>
          <w:color w:val="auto"/>
          <w:szCs w:val="21"/>
          <w:highlight w:val="none"/>
          <w:u w:val="thick"/>
          <w:lang w:val="zh-CN" w:eastAsia="zh-CN"/>
        </w:rPr>
        <w:t>保证金</w:t>
      </w:r>
      <w:r>
        <w:rPr>
          <w:rFonts w:hint="eastAsia" w:hAnsi="宋体" w:cs="宋体"/>
          <w:b/>
          <w:bCs/>
          <w:color w:val="auto"/>
          <w:szCs w:val="21"/>
          <w:highlight w:val="none"/>
          <w:u w:val="thick"/>
          <w:lang w:val="zh-CN"/>
        </w:rPr>
        <w:t>的形式为银行转账或银行保函（</w:t>
      </w:r>
      <w:r>
        <w:rPr>
          <w:rFonts w:hint="eastAsia" w:hAnsi="宋体" w:cs="宋体"/>
          <w:b/>
          <w:bCs/>
          <w:color w:val="auto"/>
          <w:szCs w:val="21"/>
          <w:highlight w:val="none"/>
          <w:u w:val="thick"/>
        </w:rPr>
        <w:t>见索即付）</w:t>
      </w:r>
      <w:r>
        <w:rPr>
          <w:rFonts w:hint="eastAsia" w:hAnsi="宋体" w:cs="宋体"/>
          <w:b/>
          <w:bCs/>
          <w:color w:val="auto"/>
          <w:szCs w:val="21"/>
          <w:highlight w:val="none"/>
          <w:u w:val="thick"/>
          <w:lang w:val="zh-CN"/>
        </w:rPr>
        <w:t>。</w:t>
      </w:r>
    </w:p>
    <w:p w14:paraId="0826498F">
      <w:pPr>
        <w:autoSpaceDE w:val="0"/>
        <w:autoSpaceDN w:val="0"/>
        <w:adjustRightInd w:val="0"/>
        <w:spacing w:line="420" w:lineRule="exact"/>
        <w:ind w:firstLine="480"/>
        <w:rPr>
          <w:rFonts w:hint="eastAsia" w:hAnsi="宋体" w:cs="宋体"/>
          <w:b/>
          <w:bCs/>
          <w:color w:val="auto"/>
          <w:szCs w:val="21"/>
          <w:highlight w:val="none"/>
          <w:u w:val="thick"/>
          <w:lang w:val="zh-CN"/>
        </w:rPr>
      </w:pPr>
      <w:r>
        <w:rPr>
          <w:rFonts w:hint="eastAsia" w:hAnsi="宋体" w:cs="宋体"/>
          <w:b/>
          <w:bCs/>
          <w:color w:val="auto"/>
          <w:szCs w:val="21"/>
          <w:highlight w:val="none"/>
          <w:u w:val="single"/>
          <w:lang w:val="zh-CN"/>
        </w:rPr>
        <w:t>①承包人提供的履约保证金为20万元，其中：</w:t>
      </w:r>
      <w:r>
        <w:rPr>
          <w:rFonts w:hint="eastAsia" w:ascii="宋体" w:hAnsi="宋体" w:cs="宋体"/>
          <w:b/>
          <w:bCs/>
          <w:color w:val="auto"/>
          <w:szCs w:val="21"/>
          <w:highlight w:val="none"/>
          <w:u w:val="single"/>
          <w:lang w:val="zh-CN"/>
        </w:rPr>
        <w:t>工期保证金为8万元，安全生产、文明施工为4万元，</w:t>
      </w:r>
      <w:r>
        <w:rPr>
          <w:rFonts w:hint="eastAsia" w:ascii="宋体" w:hAnsi="宋体" w:cs="宋体"/>
          <w:b/>
          <w:bCs/>
          <w:color w:val="auto"/>
          <w:szCs w:val="21"/>
          <w:highlight w:val="none"/>
          <w:u w:val="thick"/>
          <w:lang w:val="zh-CN"/>
        </w:rPr>
        <w:t>项目负责人等管理人员在岗保证金为4万元，资料保证金为4万元。</w:t>
      </w:r>
    </w:p>
    <w:p w14:paraId="0CFC009B">
      <w:pPr>
        <w:spacing w:line="420" w:lineRule="exact"/>
        <w:ind w:firstLine="480"/>
        <w:rPr>
          <w:rFonts w:hint="eastAsia" w:ascii="宋体" w:hAnsi="宋体" w:cs="宋体"/>
          <w:b/>
          <w:bCs/>
          <w:color w:val="auto"/>
          <w:szCs w:val="21"/>
          <w:highlight w:val="none"/>
          <w:u w:val="thick"/>
          <w:lang w:val="zh-CN"/>
        </w:rPr>
      </w:pPr>
      <w:r>
        <w:rPr>
          <w:rFonts w:hint="eastAsia" w:ascii="宋体" w:hAnsi="宋体"/>
          <w:b/>
          <w:bCs/>
          <w:color w:val="auto"/>
          <w:kern w:val="0"/>
          <w:szCs w:val="21"/>
          <w:highlight w:val="none"/>
          <w:u w:val="thick"/>
        </w:rPr>
        <w:t>农民工工资保证金：此费用不包含在履约保证金中，此费用不包含在履约保证金中，具体要求详见南通市人社局官网“工资保证金专栏”（https://rsj.nantong.gov.cn/ntsrsj/）。</w:t>
      </w:r>
      <w:r>
        <w:rPr>
          <w:rFonts w:hint="eastAsia" w:ascii="宋体" w:hAnsi="宋体" w:cs="宋体"/>
          <w:b/>
          <w:bCs/>
          <w:color w:val="auto"/>
          <w:szCs w:val="21"/>
          <w:highlight w:val="none"/>
          <w:u w:val="thick"/>
          <w:lang w:val="zh-CN"/>
        </w:rPr>
        <w:t>农民工工资保证金超期处以</w:t>
      </w:r>
      <w:r>
        <w:rPr>
          <w:rFonts w:hint="eastAsia" w:ascii="宋体" w:hAnsi="宋体" w:cs="宋体"/>
          <w:b/>
          <w:bCs/>
          <w:color w:val="auto"/>
          <w:szCs w:val="21"/>
          <w:highlight w:val="none"/>
          <w:u w:val="thick"/>
          <w:lang w:val="en-US" w:eastAsia="zh-CN"/>
        </w:rPr>
        <w:t>2</w:t>
      </w:r>
      <w:r>
        <w:rPr>
          <w:rFonts w:hint="eastAsia" w:ascii="宋体" w:hAnsi="宋体" w:cs="宋体"/>
          <w:b/>
          <w:bCs/>
          <w:color w:val="auto"/>
          <w:szCs w:val="21"/>
          <w:highlight w:val="none"/>
          <w:u w:val="thick"/>
        </w:rPr>
        <w:t>00</w:t>
      </w:r>
      <w:r>
        <w:rPr>
          <w:rFonts w:hint="eastAsia" w:ascii="宋体" w:hAnsi="宋体" w:cs="宋体"/>
          <w:b/>
          <w:bCs/>
          <w:color w:val="auto"/>
          <w:szCs w:val="21"/>
          <w:highlight w:val="none"/>
          <w:u w:val="thick"/>
          <w:lang w:val="zh-CN"/>
        </w:rPr>
        <w:t>元/天违约金。供应商必须在合同履行期间按时足额发放农民工工资，每发生一起农民工工资纠纷且为供应商责任的，农民工工资保证金不予退还，且采购人有权将当期工程款直接支付给农民工，并上报有关主管部门。</w:t>
      </w:r>
    </w:p>
    <w:p w14:paraId="238A96F1">
      <w:pPr>
        <w:spacing w:line="420" w:lineRule="exact"/>
        <w:ind w:firstLine="48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中标人在按要求保质保量的完成该项目合同并通过验收后，采购人凭中标人提交的申请，扣除服务期内的罚款后一次性无息退还本项目的履约保证金。</w:t>
      </w:r>
    </w:p>
    <w:p w14:paraId="6AAD98FE">
      <w:pPr>
        <w:pStyle w:val="43"/>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由于中标人原因，在签订合同后出现不按合同履行的情况，采购人有权将履约保证金作为违约金，全额不予退还，同时采购人亦有权终止合同，中标人还须承担相应的法律赔偿责任。</w:t>
      </w:r>
    </w:p>
    <w:p w14:paraId="4E3C5F8A">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b/>
          <w:bCs/>
          <w:color w:val="auto"/>
          <w:szCs w:val="21"/>
          <w:highlight w:val="none"/>
          <w:u w:val="single"/>
          <w:lang w:val="zh-CN"/>
        </w:rPr>
        <w:t>②本合同约定的工期、质量、安全文明施工履约担保在</w:t>
      </w:r>
      <w:r>
        <w:rPr>
          <w:rFonts w:hint="eastAsia" w:hAnsi="宋体" w:cs="宋体"/>
          <w:b/>
          <w:bCs/>
          <w:color w:val="auto"/>
          <w:szCs w:val="21"/>
          <w:highlight w:val="none"/>
          <w:u w:val="single"/>
        </w:rPr>
        <w:t>合同到期且竣工验收合格且资料齐全，</w:t>
      </w:r>
      <w:r>
        <w:rPr>
          <w:rFonts w:hint="eastAsia" w:hAnsi="宋体" w:cs="宋体"/>
          <w:b/>
          <w:bCs/>
          <w:color w:val="auto"/>
          <w:szCs w:val="21"/>
          <w:highlight w:val="none"/>
          <w:u w:val="single"/>
          <w:lang w:val="zh-CN"/>
        </w:rPr>
        <w:t>相应的履约</w:t>
      </w:r>
      <w:r>
        <w:rPr>
          <w:rFonts w:hint="eastAsia" w:hAnsi="宋体" w:cs="宋体"/>
          <w:b/>
          <w:bCs/>
          <w:color w:val="auto"/>
          <w:szCs w:val="21"/>
          <w:highlight w:val="none"/>
          <w:u w:val="single"/>
        </w:rPr>
        <w:t>保证金在</w:t>
      </w:r>
      <w:r>
        <w:rPr>
          <w:rFonts w:hint="eastAsia" w:hAnsi="宋体" w:cs="宋体"/>
          <w:b/>
          <w:bCs/>
          <w:color w:val="auto"/>
          <w:szCs w:val="21"/>
          <w:highlight w:val="none"/>
          <w:u w:val="single"/>
          <w:lang w:val="zh-CN"/>
        </w:rPr>
        <w:t>一个月内无息退还。管理人员到位、资料保证金统一进行考核，待所有工程全部考核结束后无息退还。</w:t>
      </w:r>
    </w:p>
    <w:p w14:paraId="4A26BFF8">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b/>
          <w:bCs/>
          <w:color w:val="auto"/>
          <w:szCs w:val="21"/>
          <w:highlight w:val="none"/>
          <w:u w:val="single"/>
          <w:lang w:val="zh-CN"/>
        </w:rPr>
        <w:t>③如达不到本合同约定的验收标准，质量履约保证金不予退还，同时必须在规定期限内整改到位，否则已完合格工程量按60%计算。</w:t>
      </w:r>
    </w:p>
    <w:p w14:paraId="07387910">
      <w:pPr>
        <w:autoSpaceDE w:val="0"/>
        <w:autoSpaceDN w:val="0"/>
        <w:adjustRightInd w:val="0"/>
        <w:spacing w:line="420" w:lineRule="exact"/>
        <w:ind w:firstLine="480"/>
        <w:rPr>
          <w:rFonts w:hint="eastAsia" w:hAnsi="宋体" w:cs="宋体"/>
          <w:b/>
          <w:bCs/>
          <w:color w:val="auto"/>
          <w:szCs w:val="21"/>
          <w:highlight w:val="none"/>
          <w:u w:val="single"/>
          <w:lang w:val="zh-CN"/>
        </w:rPr>
      </w:pPr>
      <w:r>
        <w:rPr>
          <w:rFonts w:hint="eastAsia" w:hAnsi="宋体" w:cs="宋体"/>
          <w:b/>
          <w:bCs/>
          <w:color w:val="auto"/>
          <w:szCs w:val="21"/>
          <w:highlight w:val="none"/>
          <w:u w:val="single"/>
          <w:lang w:val="zh-CN"/>
        </w:rPr>
        <w:t>④承包人按期保质竣工并经验收合格后，发包人应一次性退还履约保证金。承包人不能履行本合同或履行不符合本合同约定的，按本合同约定以履约保证金向发包人支付违约金。保证金不足以支付违约金时，承包人还应按本合同约定向发包人承担违约责任。</w:t>
      </w:r>
    </w:p>
    <w:p w14:paraId="03BEB579">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4.监理人</w:t>
      </w:r>
    </w:p>
    <w:p w14:paraId="11D51A0E">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4.1</w:t>
      </w:r>
      <w:r>
        <w:rPr>
          <w:rFonts w:hint="eastAsia" w:hAnsi="宋体" w:cs="宋体"/>
          <w:color w:val="auto"/>
          <w:szCs w:val="21"/>
          <w:highlight w:val="none"/>
          <w:lang w:val="en-US" w:eastAsia="zh-CN"/>
        </w:rPr>
        <w:t xml:space="preserve"> </w:t>
      </w:r>
      <w:r>
        <w:rPr>
          <w:rFonts w:hint="eastAsia" w:hAnsi="宋体" w:cs="宋体"/>
          <w:color w:val="auto"/>
          <w:szCs w:val="21"/>
          <w:highlight w:val="none"/>
          <w:lang w:val="zh-CN"/>
        </w:rPr>
        <w:t>监理人的一般规定</w:t>
      </w:r>
    </w:p>
    <w:p w14:paraId="260B11E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关于监理人的监理内容：</w:t>
      </w:r>
      <w:r>
        <w:rPr>
          <w:rFonts w:hint="eastAsia" w:hAnsi="宋体" w:cs="宋体"/>
          <w:color w:val="auto"/>
          <w:szCs w:val="21"/>
          <w:highlight w:val="none"/>
          <w:u w:val="single"/>
          <w:lang w:val="zh-CN"/>
        </w:rPr>
        <w:t xml:space="preserve">   </w:t>
      </w:r>
      <w:r>
        <w:rPr>
          <w:rFonts w:hint="eastAsia" w:hAnsi="宋体" w:cs="宋体"/>
          <w:b/>
          <w:bCs/>
          <w:color w:val="auto"/>
          <w:szCs w:val="21"/>
          <w:highlight w:val="none"/>
          <w:u w:val="single"/>
          <w:lang w:val="zh-CN"/>
        </w:rPr>
        <w:t>见监理合同</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820E547">
      <w:pPr>
        <w:autoSpaceDE w:val="0"/>
        <w:autoSpaceDN w:val="0"/>
        <w:adjustRightInd w:val="0"/>
        <w:spacing w:line="420" w:lineRule="exact"/>
        <w:ind w:firstLine="480"/>
        <w:rPr>
          <w:rFonts w:hint="eastAsia" w:hAnsi="宋体" w:cs="宋体"/>
          <w:b/>
          <w:bCs/>
          <w:color w:val="auto"/>
          <w:szCs w:val="21"/>
          <w:highlight w:val="none"/>
          <w:u w:val="single"/>
        </w:rPr>
      </w:pPr>
      <w:r>
        <w:rPr>
          <w:rFonts w:hint="eastAsia" w:hAnsi="宋体" w:cs="宋体"/>
          <w:color w:val="auto"/>
          <w:szCs w:val="21"/>
          <w:highlight w:val="none"/>
          <w:lang w:val="zh-CN"/>
        </w:rPr>
        <w:t>关于监理人的监理权限：</w:t>
      </w:r>
      <w:r>
        <w:rPr>
          <w:rFonts w:hint="eastAsia" w:hAnsi="宋体" w:cs="宋体"/>
          <w:b/>
          <w:bCs/>
          <w:color w:val="auto"/>
          <w:szCs w:val="21"/>
          <w:highlight w:val="none"/>
          <w:u w:val="single"/>
          <w:lang w:val="zh-CN"/>
        </w:rPr>
        <w:t>对工程质量、进度、投资三大控制，对安全生产、文明施工、信息管理、组织协调施工现场和各方关系</w:t>
      </w:r>
      <w:r>
        <w:rPr>
          <w:rFonts w:hint="eastAsia" w:hAnsi="宋体" w:cs="宋体"/>
          <w:b/>
          <w:bCs/>
          <w:color w:val="auto"/>
          <w:szCs w:val="21"/>
          <w:highlight w:val="none"/>
          <w:u w:val="single"/>
        </w:rPr>
        <w:t xml:space="preserve"> </w:t>
      </w:r>
      <w:r>
        <w:rPr>
          <w:rFonts w:hint="eastAsia" w:hAnsi="宋体" w:cs="宋体"/>
          <w:b/>
          <w:bCs/>
          <w:color w:val="auto"/>
          <w:szCs w:val="21"/>
          <w:highlight w:val="none"/>
          <w:u w:val="single"/>
          <w:lang w:val="zh-CN"/>
        </w:rPr>
        <w:t>，以及《委托监理合同》内发包人委托的职权。需要取得发包人批准才能行使的职权：工程开工、停工令，工程款支付以及其它超出发包人授权之外的职权。</w:t>
      </w:r>
    </w:p>
    <w:p w14:paraId="69959936">
      <w:pPr>
        <w:autoSpaceDE w:val="0"/>
        <w:autoSpaceDN w:val="0"/>
        <w:adjustRightInd w:val="0"/>
        <w:spacing w:line="420" w:lineRule="exact"/>
        <w:ind w:firstLine="480"/>
        <w:rPr>
          <w:rFonts w:hint="eastAsia" w:hAnsi="宋体" w:cs="宋体"/>
          <w:b/>
          <w:color w:val="auto"/>
          <w:szCs w:val="21"/>
          <w:highlight w:val="none"/>
          <w:lang w:val="zh-CN"/>
        </w:rPr>
      </w:pPr>
      <w:r>
        <w:rPr>
          <w:rFonts w:hint="eastAsia" w:hAnsi="宋体" w:cs="宋体"/>
          <w:b/>
          <w:color w:val="auto"/>
          <w:szCs w:val="21"/>
          <w:highlight w:val="none"/>
          <w:lang w:val="zh-CN"/>
        </w:rPr>
        <w:t>关于监理人在施工现场的办公场所、生活场所的提供和费用承担的约定：</w:t>
      </w:r>
      <w:r>
        <w:rPr>
          <w:rFonts w:hint="eastAsia" w:hAnsi="宋体" w:cs="宋体"/>
          <w:b/>
          <w:bCs/>
          <w:color w:val="auto"/>
          <w:szCs w:val="21"/>
          <w:highlight w:val="none"/>
          <w:u w:val="single"/>
          <w:lang w:val="zh-CN"/>
        </w:rPr>
        <w:t>无需提供</w:t>
      </w:r>
      <w:r>
        <w:rPr>
          <w:rFonts w:hint="eastAsia" w:hAnsi="宋体" w:cs="宋体"/>
          <w:b/>
          <w:color w:val="auto"/>
          <w:szCs w:val="21"/>
          <w:highlight w:val="none"/>
          <w:lang w:val="zh-CN"/>
        </w:rPr>
        <w:t>。</w:t>
      </w:r>
    </w:p>
    <w:p w14:paraId="587915DB">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4.2 监理人员</w:t>
      </w:r>
    </w:p>
    <w:p w14:paraId="1A3BFC41">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总监理工程师：</w:t>
      </w:r>
    </w:p>
    <w:p w14:paraId="4C760EF3">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姓    名：</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CE39C2E">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职    务：</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6C7A3B2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监理工程师执业资格证书号：</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121BC7A1">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联系电话：</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F2FEF3E">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电子信箱：</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04DEACED">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通信地址：</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543CEAF9">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关于监理人的其他约定：</w:t>
      </w:r>
      <w:r>
        <w:rPr>
          <w:rFonts w:hint="eastAsia" w:hAnsi="宋体" w:cs="宋体"/>
          <w:color w:val="auto"/>
          <w:szCs w:val="21"/>
          <w:highlight w:val="none"/>
          <w:u w:val="single"/>
          <w:lang w:val="zh-CN"/>
        </w:rPr>
        <w:t xml:space="preserve">                        </w:t>
      </w:r>
      <w:r>
        <w:rPr>
          <w:rFonts w:hint="eastAsia" w:hAnsi="宋体" w:cs="宋体"/>
          <w:color w:val="auto"/>
          <w:szCs w:val="21"/>
          <w:highlight w:val="none"/>
          <w:lang w:val="zh-CN"/>
        </w:rPr>
        <w:t>。</w:t>
      </w:r>
    </w:p>
    <w:p w14:paraId="4922907A">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4.</w:t>
      </w:r>
      <w:r>
        <w:rPr>
          <w:rFonts w:hint="eastAsia" w:hAnsi="宋体" w:cs="宋体"/>
          <w:color w:val="auto"/>
          <w:szCs w:val="21"/>
          <w:highlight w:val="none"/>
          <w:lang w:val="en-US" w:eastAsia="zh-CN"/>
        </w:rPr>
        <w:t>3</w:t>
      </w:r>
      <w:r>
        <w:rPr>
          <w:rFonts w:hint="eastAsia" w:hAnsi="宋体" w:cs="宋体"/>
          <w:color w:val="auto"/>
          <w:szCs w:val="21"/>
          <w:highlight w:val="none"/>
          <w:lang w:val="zh-CN"/>
        </w:rPr>
        <w:t xml:space="preserve"> 商定或确定</w:t>
      </w:r>
    </w:p>
    <w:p w14:paraId="2380AA06">
      <w:pPr>
        <w:autoSpaceDE w:val="0"/>
        <w:autoSpaceDN w:val="0"/>
        <w:adjustRightInd w:val="0"/>
        <w:spacing w:line="420" w:lineRule="exact"/>
        <w:ind w:firstLine="480"/>
        <w:rPr>
          <w:rFonts w:hint="eastAsia" w:hAnsi="宋体" w:cs="宋体"/>
          <w:color w:val="auto"/>
          <w:szCs w:val="21"/>
          <w:highlight w:val="none"/>
          <w:lang w:val="zh-CN"/>
        </w:rPr>
      </w:pPr>
      <w:r>
        <w:rPr>
          <w:rFonts w:hint="eastAsia" w:hAnsi="宋体" w:cs="宋体"/>
          <w:color w:val="auto"/>
          <w:szCs w:val="21"/>
          <w:highlight w:val="none"/>
          <w:lang w:val="zh-CN"/>
        </w:rPr>
        <w:t>在发包人和承包人不能通过协商达成一致意见时，发包人授权监理人对以下事项进行确定：</w:t>
      </w:r>
      <w:r>
        <w:rPr>
          <w:rFonts w:hint="eastAsia" w:hAnsi="宋体" w:cs="宋体"/>
          <w:b/>
          <w:bCs/>
          <w:color w:val="auto"/>
          <w:szCs w:val="21"/>
          <w:highlight w:val="none"/>
          <w:u w:val="single"/>
          <w:lang w:val="zh-CN"/>
        </w:rPr>
        <w:t>按通用条款</w:t>
      </w:r>
      <w:r>
        <w:rPr>
          <w:rFonts w:hint="eastAsia" w:hAnsi="宋体" w:cs="宋体"/>
          <w:b/>
          <w:bCs/>
          <w:color w:val="auto"/>
          <w:szCs w:val="21"/>
          <w:highlight w:val="none"/>
          <w:u w:val="single"/>
        </w:rPr>
        <w:t xml:space="preserve"> </w:t>
      </w:r>
      <w:r>
        <w:rPr>
          <w:rFonts w:hint="eastAsia" w:hAnsi="宋体" w:cs="宋体"/>
          <w:color w:val="auto"/>
          <w:szCs w:val="21"/>
          <w:highlight w:val="none"/>
          <w:lang w:val="zh-CN"/>
        </w:rPr>
        <w:t>。</w:t>
      </w:r>
    </w:p>
    <w:p w14:paraId="592BCBA4">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5.任务处置期限要求</w:t>
      </w:r>
    </w:p>
    <w:p w14:paraId="7C7E0CBE">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5.1承包人应在合同生效之日起10个工作日内将项目组织机构、施工组织设计（施工机具设备、抢修机械设备）、道路与桥梁突发公共事件应急预案、冬季扫雪除冰应急预案等编制成册提交发包人，经发包人与总监理工程师审核后作为实施手册，并接受发包人的检查监督。</w:t>
      </w:r>
    </w:p>
    <w:p w14:paraId="72995498">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5.2单项养护维修任务必须按发包人指定的时间进场，并在发包人规定的时间内完成，具体由发包人在任务单上明确。</w:t>
      </w:r>
    </w:p>
    <w:p w14:paraId="6B3684E7">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5.3常见养护维护任务处置期限要求</w:t>
      </w:r>
    </w:p>
    <w:p w14:paraId="4EE9C4F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按《崇川区市政设施养护维修月度考核评价标准》</w:t>
      </w:r>
      <w:r>
        <w:rPr>
          <w:rFonts w:ascii="宋体" w:hAnsi="宋体" w:cs="Calibri"/>
          <w:color w:val="auto"/>
          <w:szCs w:val="21"/>
          <w:highlight w:val="none"/>
        </w:rPr>
        <w:t>中“</w:t>
      </w:r>
      <w:r>
        <w:rPr>
          <w:rFonts w:hint="eastAsia" w:ascii="宋体" w:hAnsi="宋体" w:cs="Calibri"/>
          <w:color w:val="auto"/>
          <w:szCs w:val="21"/>
          <w:highlight w:val="none"/>
        </w:rPr>
        <w:t>维护及时率考核</w:t>
      </w:r>
      <w:r>
        <w:rPr>
          <w:rFonts w:ascii="宋体" w:hAnsi="宋体" w:cs="Calibri"/>
          <w:color w:val="auto"/>
          <w:szCs w:val="21"/>
          <w:highlight w:val="none"/>
        </w:rPr>
        <w:t>”</w:t>
      </w:r>
      <w:r>
        <w:rPr>
          <w:rFonts w:hint="eastAsia" w:ascii="宋体" w:hAnsi="宋体" w:cs="Calibri"/>
          <w:color w:val="auto"/>
          <w:szCs w:val="21"/>
          <w:highlight w:val="none"/>
        </w:rPr>
        <w:t>相关</w:t>
      </w:r>
      <w:r>
        <w:rPr>
          <w:rFonts w:ascii="宋体" w:hAnsi="宋体" w:cs="Calibri"/>
          <w:color w:val="auto"/>
          <w:szCs w:val="21"/>
          <w:highlight w:val="none"/>
        </w:rPr>
        <w:t>条例执行。</w:t>
      </w:r>
    </w:p>
    <w:p w14:paraId="5962902F">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6.合同价款与支付</w:t>
      </w:r>
    </w:p>
    <w:p w14:paraId="5F41772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6.1合同价款及调整</w:t>
      </w:r>
    </w:p>
    <w:p w14:paraId="3CE4EEF6">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6.1.1本合同采用</w:t>
      </w:r>
      <w:r>
        <w:rPr>
          <w:rFonts w:hint="eastAsia" w:ascii="宋体" w:hAnsi="宋体" w:cs="Calibri"/>
          <w:b/>
          <w:color w:val="auto"/>
          <w:szCs w:val="21"/>
          <w:highlight w:val="none"/>
          <w:u w:val="single"/>
        </w:rPr>
        <w:t xml:space="preserve"> </w:t>
      </w:r>
      <w:r>
        <w:rPr>
          <w:rFonts w:ascii="宋体" w:hAnsi="宋体" w:cs="Calibri"/>
          <w:b/>
          <w:color w:val="auto"/>
          <w:szCs w:val="21"/>
          <w:highlight w:val="none"/>
          <w:u w:val="single"/>
        </w:rPr>
        <w:t xml:space="preserve"> </w:t>
      </w:r>
      <w:r>
        <w:rPr>
          <w:rFonts w:hint="eastAsia" w:ascii="宋体" w:hAnsi="宋体" w:cs="Calibri"/>
          <w:b/>
          <w:color w:val="auto"/>
          <w:szCs w:val="21"/>
          <w:highlight w:val="none"/>
          <w:u w:val="single"/>
        </w:rPr>
        <w:t>全费用综合</w:t>
      </w:r>
      <w:r>
        <w:rPr>
          <w:rFonts w:ascii="宋体" w:hAnsi="宋体" w:cs="Calibri"/>
          <w:b/>
          <w:color w:val="auto"/>
          <w:szCs w:val="21"/>
          <w:highlight w:val="none"/>
          <w:u w:val="single"/>
        </w:rPr>
        <w:t>单价</w:t>
      </w:r>
      <w:r>
        <w:rPr>
          <w:rFonts w:hint="eastAsia" w:ascii="宋体" w:hAnsi="宋体" w:cs="Calibri"/>
          <w:b/>
          <w:color w:val="auto"/>
          <w:szCs w:val="21"/>
          <w:highlight w:val="none"/>
          <w:u w:val="single"/>
        </w:rPr>
        <w:t xml:space="preserve">  </w:t>
      </w:r>
      <w:r>
        <w:rPr>
          <w:rFonts w:hint="eastAsia" w:ascii="宋体" w:hAnsi="宋体" w:cs="Calibri"/>
          <w:b/>
          <w:color w:val="auto"/>
          <w:szCs w:val="21"/>
          <w:highlight w:val="none"/>
        </w:rPr>
        <w:t>方式，承包人投标时已按发包人提供的工程量清单进行</w:t>
      </w:r>
      <w:r>
        <w:rPr>
          <w:rFonts w:hint="eastAsia" w:ascii="宋体" w:hAnsi="宋体" w:cs="Calibri"/>
          <w:b/>
          <w:color w:val="auto"/>
          <w:szCs w:val="21"/>
          <w:highlight w:val="none"/>
          <w:lang w:val="en-US" w:eastAsia="zh-CN"/>
        </w:rPr>
        <w:t>优惠率</w:t>
      </w:r>
      <w:r>
        <w:rPr>
          <w:rFonts w:hint="eastAsia" w:ascii="宋体" w:hAnsi="宋体" w:cs="Calibri"/>
          <w:b/>
          <w:color w:val="auto"/>
          <w:szCs w:val="21"/>
          <w:highlight w:val="none"/>
        </w:rPr>
        <w:t>报价，</w:t>
      </w:r>
      <w:bookmarkStart w:id="21" w:name="_Hlk64407595"/>
      <w:r>
        <w:rPr>
          <w:rFonts w:hint="eastAsia" w:ascii="宋体" w:hAnsi="宋体" w:cs="Calibri"/>
          <w:b/>
          <w:color w:val="auto"/>
          <w:szCs w:val="21"/>
          <w:highlight w:val="none"/>
        </w:rPr>
        <w:t>中标</w:t>
      </w:r>
      <w:r>
        <w:rPr>
          <w:rFonts w:hint="eastAsia" w:ascii="宋体" w:hAnsi="宋体" w:cs="Calibri"/>
          <w:b/>
          <w:color w:val="auto"/>
          <w:szCs w:val="21"/>
          <w:highlight w:val="none"/>
          <w:lang w:val="en-US" w:eastAsia="zh-CN"/>
        </w:rPr>
        <w:t>优惠率</w:t>
      </w:r>
      <w:r>
        <w:rPr>
          <w:rFonts w:hint="eastAsia" w:ascii="宋体" w:hAnsi="宋体" w:cs="Calibri"/>
          <w:b/>
          <w:color w:val="auto"/>
          <w:szCs w:val="21"/>
          <w:highlight w:val="none"/>
        </w:rPr>
        <w:t>为</w:t>
      </w:r>
      <w:r>
        <w:rPr>
          <w:rFonts w:hint="eastAsia" w:ascii="宋体" w:hAnsi="宋体" w:cs="Calibri"/>
          <w:b/>
          <w:color w:val="auto"/>
          <w:szCs w:val="21"/>
          <w:highlight w:val="none"/>
          <w:u w:val="single"/>
        </w:rPr>
        <w:t xml:space="preserve"> </w:t>
      </w:r>
      <w:r>
        <w:rPr>
          <w:rFonts w:ascii="宋体" w:hAnsi="宋体" w:cs="Calibri"/>
          <w:b/>
          <w:color w:val="auto"/>
          <w:szCs w:val="21"/>
          <w:highlight w:val="none"/>
          <w:u w:val="single"/>
        </w:rPr>
        <w:t xml:space="preserve">   </w:t>
      </w:r>
      <w:r>
        <w:rPr>
          <w:rFonts w:hint="eastAsia" w:ascii="宋体" w:hAnsi="宋体" w:cs="Calibri"/>
          <w:b/>
          <w:color w:val="auto"/>
          <w:szCs w:val="21"/>
          <w:highlight w:val="none"/>
          <w:u w:val="single"/>
        </w:rPr>
        <w:t xml:space="preserve"> </w:t>
      </w:r>
      <w:r>
        <w:rPr>
          <w:rFonts w:ascii="宋体" w:hAnsi="宋体" w:cs="Calibri"/>
          <w:b/>
          <w:color w:val="auto"/>
          <w:szCs w:val="21"/>
          <w:highlight w:val="none"/>
          <w:u w:val="single"/>
        </w:rPr>
        <w:t xml:space="preserve">  </w:t>
      </w:r>
      <w:r>
        <w:rPr>
          <w:rFonts w:hint="eastAsia" w:ascii="宋体" w:hAnsi="宋体" w:cs="Calibri"/>
          <w:b/>
          <w:color w:val="auto"/>
          <w:szCs w:val="21"/>
          <w:highlight w:val="none"/>
          <w:u w:val="single"/>
          <w:lang w:val="en-US" w:eastAsia="zh-CN"/>
        </w:rPr>
        <w:t>%</w:t>
      </w:r>
      <w:r>
        <w:rPr>
          <w:rFonts w:hint="eastAsia" w:ascii="宋体" w:hAnsi="宋体" w:cs="Calibri"/>
          <w:b/>
          <w:color w:val="auto"/>
          <w:szCs w:val="21"/>
          <w:highlight w:val="none"/>
        </w:rPr>
        <w:t>。</w:t>
      </w:r>
    </w:p>
    <w:bookmarkEnd w:id="21"/>
    <w:p w14:paraId="34F3702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6.1.2工程结算原则</w:t>
      </w:r>
    </w:p>
    <w:p w14:paraId="35587C8A">
      <w:pPr>
        <w:spacing w:line="400" w:lineRule="exact"/>
        <w:ind w:firstLine="422" w:firstLineChars="200"/>
        <w:rPr>
          <w:rFonts w:hint="eastAsia" w:ascii="宋体" w:hAnsi="宋体" w:cs="Calibri"/>
          <w:b/>
          <w:color w:val="auto"/>
          <w:szCs w:val="21"/>
          <w:highlight w:val="none"/>
        </w:rPr>
      </w:pPr>
      <w:bookmarkStart w:id="22" w:name="_Hlk64285695"/>
      <w:r>
        <w:rPr>
          <w:rFonts w:hint="eastAsia" w:ascii="宋体" w:hAnsi="宋体" w:cs="Calibri"/>
          <w:b/>
          <w:color w:val="auto"/>
          <w:szCs w:val="21"/>
          <w:highlight w:val="none"/>
        </w:rPr>
        <w:t>本项目按月（其中设施巡查按两月）按实结算，结算内容包含当月累计完成的养护维修项目造价与设施巡查费用（每2个月1次）两部分。</w:t>
      </w:r>
    </w:p>
    <w:p w14:paraId="27186E53">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w:t>
      </w:r>
      <w:r>
        <w:rPr>
          <w:rFonts w:ascii="宋体" w:hAnsi="宋体" w:cs="Calibri"/>
          <w:b/>
          <w:color w:val="auto"/>
          <w:szCs w:val="21"/>
          <w:highlight w:val="none"/>
        </w:rPr>
        <w:t>1</w:t>
      </w:r>
      <w:r>
        <w:rPr>
          <w:rFonts w:hint="eastAsia" w:ascii="宋体" w:hAnsi="宋体" w:cs="Calibri"/>
          <w:b/>
          <w:color w:val="auto"/>
          <w:szCs w:val="21"/>
          <w:highlight w:val="none"/>
        </w:rPr>
        <w:t>）当月累计完成的养护维修项目造价=∑合同中约定应予计量且实际完成的工程量×全费用综合单价×</w:t>
      </w:r>
      <w:r>
        <w:rPr>
          <w:rFonts w:hint="eastAsia" w:ascii="宋体" w:hAnsi="宋体" w:cs="Calibri"/>
          <w:b/>
          <w:color w:val="auto"/>
          <w:szCs w:val="21"/>
          <w:highlight w:val="none"/>
          <w:lang w:eastAsia="zh-CN"/>
        </w:rPr>
        <w:t>（</w:t>
      </w:r>
      <w:r>
        <w:rPr>
          <w:rFonts w:hint="eastAsia" w:ascii="宋体" w:hAnsi="宋体" w:cs="Calibri"/>
          <w:b/>
          <w:color w:val="auto"/>
          <w:szCs w:val="21"/>
          <w:highlight w:val="none"/>
          <w:lang w:val="en-US" w:eastAsia="zh-CN"/>
        </w:rPr>
        <w:t>1-</w:t>
      </w:r>
      <w:r>
        <w:rPr>
          <w:rFonts w:hint="eastAsia" w:ascii="宋体" w:hAnsi="宋体" w:cs="Calibri"/>
          <w:b/>
          <w:color w:val="auto"/>
          <w:szCs w:val="21"/>
          <w:highlight w:val="none"/>
        </w:rPr>
        <w:t>中标</w:t>
      </w:r>
      <w:r>
        <w:rPr>
          <w:rFonts w:hint="eastAsia" w:ascii="宋体" w:hAnsi="宋体" w:cs="Calibri"/>
          <w:b/>
          <w:color w:val="auto"/>
          <w:szCs w:val="21"/>
          <w:highlight w:val="none"/>
          <w:lang w:val="en-US" w:eastAsia="zh-CN"/>
        </w:rPr>
        <w:t>优惠率）</w:t>
      </w:r>
      <w:r>
        <w:rPr>
          <w:rFonts w:hint="eastAsia" w:ascii="宋体" w:hAnsi="宋体" w:cs="Calibri"/>
          <w:b/>
          <w:color w:val="auto"/>
          <w:szCs w:val="21"/>
          <w:highlight w:val="none"/>
        </w:rPr>
        <w:t>-当月养护维修考核扣款。</w:t>
      </w:r>
    </w:p>
    <w:p w14:paraId="55A4134B">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注：当月累计完成的养护维修项目的工程量按照在合同中约定实际完成的合格工程量确定。</w:t>
      </w:r>
      <w:bookmarkStart w:id="23" w:name="_Hlk64286874"/>
      <w:r>
        <w:rPr>
          <w:rFonts w:hint="eastAsia" w:ascii="宋体" w:hAnsi="宋体" w:cs="Calibri"/>
          <w:b/>
          <w:color w:val="auto"/>
          <w:szCs w:val="21"/>
          <w:highlight w:val="none"/>
        </w:rPr>
        <w:t>同时，发包人将依据</w:t>
      </w:r>
      <w:r>
        <w:rPr>
          <w:rFonts w:hint="eastAsia" w:hAnsi="宋体" w:cs="宋体"/>
          <w:b/>
          <w:color w:val="auto"/>
          <w:szCs w:val="21"/>
          <w:highlight w:val="none"/>
        </w:rPr>
        <w:t>《崇川区市政设施养护维修考核评价标准》按月对养护维修情况进行考核。</w:t>
      </w:r>
      <w:bookmarkEnd w:id="23"/>
    </w:p>
    <w:p w14:paraId="3059042B">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w:t>
      </w:r>
      <w:r>
        <w:rPr>
          <w:rFonts w:ascii="宋体" w:hAnsi="宋体" w:cs="Calibri"/>
          <w:b/>
          <w:color w:val="auto"/>
          <w:szCs w:val="21"/>
          <w:highlight w:val="none"/>
        </w:rPr>
        <w:t>2</w:t>
      </w:r>
      <w:r>
        <w:rPr>
          <w:rFonts w:hint="eastAsia" w:ascii="宋体" w:hAnsi="宋体" w:cs="Calibri"/>
          <w:b/>
          <w:color w:val="auto"/>
          <w:szCs w:val="21"/>
          <w:highlight w:val="none"/>
        </w:rPr>
        <w:t>）每2个月的设施巡查费用</w:t>
      </w:r>
      <w:r>
        <w:rPr>
          <w:rFonts w:ascii="宋体" w:hAnsi="宋体" w:cs="Calibri"/>
          <w:b/>
          <w:color w:val="auto"/>
          <w:szCs w:val="21"/>
          <w:highlight w:val="none"/>
        </w:rPr>
        <w:t>=[</w:t>
      </w:r>
      <w:r>
        <w:rPr>
          <w:rFonts w:hint="eastAsia" w:ascii="宋体" w:hAnsi="宋体" w:cs="Calibri"/>
          <w:b/>
          <w:color w:val="auto"/>
          <w:szCs w:val="21"/>
          <w:highlight w:val="none"/>
        </w:rPr>
        <w:t>月度设施巡查全费用综合单价*2个月</w:t>
      </w:r>
      <w:r>
        <w:rPr>
          <w:rFonts w:ascii="宋体" w:hAnsi="宋体" w:cs="Calibri"/>
          <w:b/>
          <w:color w:val="auto"/>
          <w:szCs w:val="21"/>
          <w:highlight w:val="none"/>
        </w:rPr>
        <w:t>+（应调整</w:t>
      </w:r>
      <w:r>
        <w:rPr>
          <w:rFonts w:hint="eastAsia" w:ascii="宋体" w:hAnsi="宋体" w:cs="Calibri"/>
          <w:b/>
          <w:color w:val="auto"/>
          <w:szCs w:val="21"/>
          <w:highlight w:val="none"/>
        </w:rPr>
        <w:t>道路</w:t>
      </w:r>
      <w:r>
        <w:rPr>
          <w:rFonts w:ascii="宋体" w:hAnsi="宋体" w:cs="Calibri"/>
          <w:b/>
          <w:color w:val="auto"/>
          <w:szCs w:val="21"/>
          <w:highlight w:val="none"/>
        </w:rPr>
        <w:t>里程*</w:t>
      </w:r>
      <w:r>
        <w:rPr>
          <w:rFonts w:hint="eastAsia" w:ascii="宋体" w:hAnsi="宋体" w:cs="Calibri"/>
          <w:b/>
          <w:color w:val="auto"/>
          <w:szCs w:val="21"/>
          <w:highlight w:val="none"/>
        </w:rPr>
        <w:t>清单</w:t>
      </w:r>
      <w:r>
        <w:rPr>
          <w:rFonts w:ascii="宋体" w:hAnsi="宋体" w:cs="Calibri"/>
          <w:b/>
          <w:color w:val="auto"/>
          <w:szCs w:val="21"/>
          <w:highlight w:val="none"/>
        </w:rPr>
        <w:t>单价）</w:t>
      </w:r>
      <w:r>
        <w:rPr>
          <w:rFonts w:hint="eastAsia" w:ascii="宋体" w:hAnsi="宋体" w:cs="Calibri"/>
          <w:b/>
          <w:color w:val="auto"/>
          <w:szCs w:val="21"/>
          <w:highlight w:val="none"/>
        </w:rPr>
        <w:t>+（应</w:t>
      </w:r>
      <w:r>
        <w:rPr>
          <w:rFonts w:ascii="宋体" w:hAnsi="宋体" w:cs="Calibri"/>
          <w:b/>
          <w:color w:val="auto"/>
          <w:szCs w:val="21"/>
          <w:highlight w:val="none"/>
        </w:rPr>
        <w:t>调整桥梁数量</w:t>
      </w:r>
      <w:r>
        <w:rPr>
          <w:rFonts w:hint="eastAsia" w:ascii="宋体" w:hAnsi="宋体" w:cs="Calibri"/>
          <w:b/>
          <w:color w:val="auto"/>
          <w:szCs w:val="21"/>
          <w:highlight w:val="none"/>
        </w:rPr>
        <w:t>*清单</w:t>
      </w:r>
      <w:r>
        <w:rPr>
          <w:rFonts w:ascii="宋体" w:hAnsi="宋体" w:cs="Calibri"/>
          <w:b/>
          <w:color w:val="auto"/>
          <w:szCs w:val="21"/>
          <w:highlight w:val="none"/>
        </w:rPr>
        <w:t>单价</w:t>
      </w:r>
      <w:r>
        <w:rPr>
          <w:rFonts w:hint="eastAsia" w:ascii="宋体" w:hAnsi="宋体" w:cs="Calibri"/>
          <w:b/>
          <w:color w:val="auto"/>
          <w:szCs w:val="21"/>
          <w:highlight w:val="none"/>
        </w:rPr>
        <w:t>）]*（月度考核得分/100）</w:t>
      </w:r>
      <w:r>
        <w:rPr>
          <w:rFonts w:ascii="宋体" w:hAnsi="宋体" w:cs="Calibri"/>
          <w:b/>
          <w:color w:val="auto"/>
          <w:szCs w:val="21"/>
          <w:highlight w:val="none"/>
        </w:rPr>
        <w:t>*</w:t>
      </w:r>
      <w:r>
        <w:rPr>
          <w:rFonts w:hint="eastAsia" w:ascii="宋体" w:hAnsi="宋体" w:cs="Calibri"/>
          <w:b/>
          <w:color w:val="auto"/>
          <w:szCs w:val="21"/>
          <w:highlight w:val="none"/>
          <w:lang w:eastAsia="zh-CN"/>
        </w:rPr>
        <w:t>（</w:t>
      </w:r>
      <w:r>
        <w:rPr>
          <w:rFonts w:hint="eastAsia" w:ascii="宋体" w:hAnsi="宋体" w:cs="Calibri"/>
          <w:b/>
          <w:color w:val="auto"/>
          <w:szCs w:val="21"/>
          <w:highlight w:val="none"/>
          <w:lang w:val="en-US" w:eastAsia="zh-CN"/>
        </w:rPr>
        <w:t>1-</w:t>
      </w:r>
      <w:r>
        <w:rPr>
          <w:rFonts w:hint="eastAsia" w:ascii="宋体" w:hAnsi="宋体" w:cs="Calibri"/>
          <w:b/>
          <w:color w:val="auto"/>
          <w:szCs w:val="21"/>
          <w:highlight w:val="none"/>
        </w:rPr>
        <w:t>中标</w:t>
      </w:r>
      <w:r>
        <w:rPr>
          <w:rFonts w:hint="eastAsia" w:ascii="宋体" w:hAnsi="宋体" w:cs="Calibri"/>
          <w:b/>
          <w:color w:val="auto"/>
          <w:szCs w:val="21"/>
          <w:highlight w:val="none"/>
          <w:lang w:val="en-US" w:eastAsia="zh-CN"/>
        </w:rPr>
        <w:t>优惠率）</w:t>
      </w:r>
      <w:r>
        <w:rPr>
          <w:rFonts w:hint="eastAsia" w:ascii="宋体" w:hAnsi="宋体" w:cs="Calibri"/>
          <w:b/>
          <w:color w:val="auto"/>
          <w:szCs w:val="21"/>
          <w:highlight w:val="none"/>
        </w:rPr>
        <w:t>。</w:t>
      </w:r>
    </w:p>
    <w:p w14:paraId="6B92D66F">
      <w:pPr>
        <w:spacing w:line="400" w:lineRule="exact"/>
        <w:ind w:firstLine="422" w:firstLineChars="200"/>
        <w:rPr>
          <w:rFonts w:hint="eastAsia" w:hAnsi="宋体" w:cs="Calibri"/>
          <w:b/>
          <w:color w:val="auto"/>
          <w:szCs w:val="21"/>
          <w:highlight w:val="none"/>
        </w:rPr>
      </w:pPr>
      <w:r>
        <w:rPr>
          <w:rFonts w:hint="eastAsia" w:ascii="宋体" w:hAnsi="宋体" w:cs="Calibri"/>
          <w:b/>
          <w:color w:val="auto"/>
          <w:szCs w:val="21"/>
          <w:highlight w:val="none"/>
        </w:rPr>
        <w:t>注：</w:t>
      </w:r>
      <w:r>
        <w:rPr>
          <w:rFonts w:hint="eastAsia" w:hAnsi="宋体" w:cs="Calibri"/>
          <w:b/>
          <w:color w:val="auto"/>
          <w:szCs w:val="21"/>
          <w:highlight w:val="none"/>
        </w:rPr>
        <w:t>服务</w:t>
      </w:r>
      <w:r>
        <w:rPr>
          <w:rFonts w:hAnsi="宋体" w:cs="Calibri"/>
          <w:b/>
          <w:color w:val="auto"/>
          <w:szCs w:val="21"/>
          <w:highlight w:val="none"/>
        </w:rPr>
        <w:t>期内若</w:t>
      </w:r>
      <w:r>
        <w:rPr>
          <w:rFonts w:hint="eastAsia" w:hAnsi="宋体" w:cs="Calibri"/>
          <w:b/>
          <w:color w:val="auto"/>
          <w:szCs w:val="21"/>
          <w:highlight w:val="none"/>
        </w:rPr>
        <w:t>出现标段巡查路段总里程变化的</w:t>
      </w:r>
      <w:r>
        <w:rPr>
          <w:rFonts w:hAnsi="宋体" w:cs="Calibri"/>
          <w:b/>
          <w:color w:val="auto"/>
          <w:szCs w:val="21"/>
          <w:highlight w:val="none"/>
        </w:rPr>
        <w:t>，</w:t>
      </w:r>
      <w:r>
        <w:rPr>
          <w:rFonts w:hint="eastAsia" w:hAnsi="宋体" w:cs="Calibri"/>
          <w:b/>
          <w:color w:val="auto"/>
          <w:szCs w:val="21"/>
          <w:highlight w:val="none"/>
        </w:rPr>
        <w:t>发包人将依据</w:t>
      </w:r>
      <w:r>
        <w:rPr>
          <w:rFonts w:hAnsi="宋体" w:cs="Calibri"/>
          <w:b/>
          <w:color w:val="auto"/>
          <w:szCs w:val="21"/>
          <w:highlight w:val="none"/>
        </w:rPr>
        <w:t>路段里程</w:t>
      </w:r>
      <w:r>
        <w:rPr>
          <w:rFonts w:hint="eastAsia" w:hAnsi="宋体" w:cs="Calibri"/>
          <w:b/>
          <w:color w:val="auto"/>
          <w:szCs w:val="21"/>
          <w:highlight w:val="none"/>
        </w:rPr>
        <w:t>按月</w:t>
      </w:r>
      <w:r>
        <w:rPr>
          <w:rFonts w:hAnsi="宋体" w:cs="Calibri"/>
          <w:b/>
          <w:color w:val="auto"/>
          <w:szCs w:val="21"/>
          <w:highlight w:val="none"/>
        </w:rPr>
        <w:t>增减</w:t>
      </w:r>
      <w:r>
        <w:rPr>
          <w:rFonts w:hint="eastAsia" w:hAnsi="宋体" w:cs="Calibri"/>
          <w:b/>
          <w:color w:val="auto"/>
          <w:szCs w:val="21"/>
          <w:highlight w:val="none"/>
        </w:rPr>
        <w:t>设施巡查</w:t>
      </w:r>
      <w:r>
        <w:rPr>
          <w:rFonts w:hAnsi="宋体" w:cs="Calibri"/>
          <w:b/>
          <w:color w:val="auto"/>
          <w:szCs w:val="21"/>
          <w:highlight w:val="none"/>
        </w:rPr>
        <w:t>费用</w:t>
      </w:r>
      <w:r>
        <w:rPr>
          <w:rFonts w:hint="eastAsia" w:hAnsi="宋体" w:cs="Calibri"/>
          <w:b/>
          <w:color w:val="auto"/>
          <w:szCs w:val="21"/>
          <w:highlight w:val="none"/>
        </w:rPr>
        <w:t>。同时，发包人将依据</w:t>
      </w:r>
      <w:r>
        <w:rPr>
          <w:rFonts w:hint="eastAsia" w:hAnsi="宋体" w:cs="宋体"/>
          <w:b/>
          <w:color w:val="auto"/>
          <w:szCs w:val="21"/>
          <w:highlight w:val="none"/>
        </w:rPr>
        <w:t>《崇川区市政设施巡查考核评价标准》每2个月对各标段的设施巡查情况进行考核。</w:t>
      </w:r>
    </w:p>
    <w:bookmarkEnd w:id="22"/>
    <w:p w14:paraId="156FCA00">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w:t>
      </w:r>
      <w:r>
        <w:rPr>
          <w:rFonts w:ascii="宋体" w:hAnsi="宋体" w:cs="Calibri"/>
          <w:b/>
          <w:color w:val="auto"/>
          <w:szCs w:val="21"/>
          <w:highlight w:val="none"/>
        </w:rPr>
        <w:t>3</w:t>
      </w:r>
      <w:r>
        <w:rPr>
          <w:rFonts w:hint="eastAsia" w:ascii="宋体" w:hAnsi="宋体" w:cs="Calibri"/>
          <w:b/>
          <w:color w:val="auto"/>
          <w:szCs w:val="21"/>
          <w:highlight w:val="none"/>
        </w:rPr>
        <w:t>）本项目清单中各项目的综合单价按照“省住房和城乡建设厅关于建筑业实施营改增后江苏省建设工程计价依据调整的通知”苏建价（2016）154号文、《建设工程工程量清单计价规范》（GB50500-2013）、《市政工程工程量计算规范》（GB50857-2013）、《江苏市政设施养护维修定额(2013修订)》、《江苏省市政工程计价定额（2014版）》以及省、市现行的计价文件及补充计价定额进行组价。</w:t>
      </w:r>
    </w:p>
    <w:p w14:paraId="702CFE25">
      <w:pPr>
        <w:spacing w:line="400" w:lineRule="exact"/>
        <w:ind w:firstLine="422" w:firstLineChars="200"/>
        <w:rPr>
          <w:rFonts w:hint="eastAsia" w:ascii="宋体" w:hAnsi="宋体" w:cs="Calibri"/>
          <w:b/>
          <w:bCs/>
          <w:color w:val="auto"/>
          <w:szCs w:val="21"/>
          <w:highlight w:val="none"/>
        </w:rPr>
      </w:pPr>
      <w:r>
        <w:rPr>
          <w:rFonts w:hint="eastAsia" w:ascii="宋体" w:hAnsi="宋体" w:cs="Calibri"/>
          <w:b/>
          <w:bCs/>
          <w:color w:val="auto"/>
          <w:szCs w:val="21"/>
          <w:highlight w:val="none"/>
        </w:rPr>
        <w:t>（</w:t>
      </w:r>
      <w:r>
        <w:rPr>
          <w:rFonts w:ascii="宋体" w:hAnsi="宋体" w:cs="Calibri"/>
          <w:b/>
          <w:bCs/>
          <w:color w:val="auto"/>
          <w:szCs w:val="21"/>
          <w:highlight w:val="none"/>
        </w:rPr>
        <w:t>4</w:t>
      </w:r>
      <w:r>
        <w:rPr>
          <w:rFonts w:hint="eastAsia" w:ascii="宋体" w:hAnsi="宋体" w:cs="Calibri"/>
          <w:b/>
          <w:bCs/>
          <w:color w:val="auto"/>
          <w:szCs w:val="21"/>
          <w:highlight w:val="none"/>
        </w:rPr>
        <w:t>）因分部分项工程量清单漏项或非承包人原因的工程变更，产生工程量清单以外</w:t>
      </w:r>
      <w:r>
        <w:rPr>
          <w:rFonts w:ascii="宋体" w:hAnsi="宋体" w:cs="Calibri"/>
          <w:b/>
          <w:bCs/>
          <w:color w:val="auto"/>
          <w:szCs w:val="21"/>
          <w:highlight w:val="none"/>
        </w:rPr>
        <w:t>的</w:t>
      </w:r>
      <w:r>
        <w:rPr>
          <w:rFonts w:hint="eastAsia" w:ascii="宋体" w:hAnsi="宋体" w:cs="Calibri"/>
          <w:b/>
          <w:bCs/>
          <w:color w:val="auto"/>
          <w:szCs w:val="21"/>
          <w:highlight w:val="none"/>
        </w:rPr>
        <w:t>项目，由承包人自行</w:t>
      </w:r>
      <w:r>
        <w:rPr>
          <w:rFonts w:ascii="宋体" w:hAnsi="宋体" w:cs="Calibri"/>
          <w:b/>
          <w:bCs/>
          <w:color w:val="auto"/>
          <w:szCs w:val="21"/>
          <w:highlight w:val="none"/>
        </w:rPr>
        <w:t>组价，</w:t>
      </w:r>
      <w:r>
        <w:rPr>
          <w:rFonts w:hint="eastAsia" w:ascii="宋体" w:hAnsi="宋体" w:cs="Calibri"/>
          <w:b/>
          <w:bCs/>
          <w:color w:val="auto"/>
          <w:szCs w:val="21"/>
          <w:highlight w:val="none"/>
        </w:rPr>
        <w:t>提出综合单价，经发包人确认后执行。</w:t>
      </w:r>
    </w:p>
    <w:p w14:paraId="3A847D24">
      <w:pPr>
        <w:spacing w:line="400" w:lineRule="exact"/>
        <w:ind w:firstLine="422" w:firstLineChars="200"/>
        <w:rPr>
          <w:rFonts w:hint="eastAsia" w:ascii="宋体" w:hAnsi="宋体" w:cs="Calibri"/>
          <w:b/>
          <w:bCs/>
          <w:color w:val="auto"/>
          <w:szCs w:val="21"/>
          <w:highlight w:val="none"/>
          <w:u w:val="single"/>
        </w:rPr>
      </w:pPr>
      <w:r>
        <w:rPr>
          <w:rFonts w:hint="eastAsia" w:ascii="宋体" w:hAnsi="宋体" w:cs="Calibri"/>
          <w:b/>
          <w:bCs/>
          <w:color w:val="auto"/>
          <w:szCs w:val="21"/>
          <w:highlight w:val="none"/>
        </w:rPr>
        <w:t>自行组价的计算方法和原则按如下约定执行：</w:t>
      </w:r>
    </w:p>
    <w:p w14:paraId="59966815">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①计价</w:t>
      </w:r>
      <w:r>
        <w:rPr>
          <w:rFonts w:ascii="宋体" w:hAnsi="宋体" w:cs="Calibri"/>
          <w:b/>
          <w:color w:val="auto"/>
          <w:szCs w:val="21"/>
          <w:highlight w:val="none"/>
        </w:rPr>
        <w:t>依据</w:t>
      </w:r>
      <w:r>
        <w:rPr>
          <w:rFonts w:hint="eastAsia" w:ascii="宋体" w:hAnsi="宋体" w:cs="Calibri"/>
          <w:b/>
          <w:color w:val="auto"/>
          <w:szCs w:val="21"/>
          <w:highlight w:val="none"/>
        </w:rPr>
        <w:t>按照“通用项目、道路、排水工程三类工程”</w:t>
      </w:r>
      <w:r>
        <w:rPr>
          <w:rFonts w:ascii="宋体" w:hAnsi="宋体" w:cs="Calibri"/>
          <w:b/>
          <w:color w:val="auto"/>
          <w:szCs w:val="21"/>
          <w:highlight w:val="none"/>
        </w:rPr>
        <w:t>执行；</w:t>
      </w:r>
      <w:r>
        <w:rPr>
          <w:rFonts w:hint="eastAsia" w:ascii="宋体" w:hAnsi="宋体" w:cs="Calibri"/>
          <w:b/>
          <w:color w:val="auto"/>
          <w:szCs w:val="21"/>
          <w:highlight w:val="none"/>
        </w:rPr>
        <w:t>调整</w:t>
      </w:r>
      <w:r>
        <w:rPr>
          <w:rFonts w:ascii="宋体" w:hAnsi="宋体" w:cs="Calibri"/>
          <w:b/>
          <w:color w:val="auto"/>
          <w:szCs w:val="21"/>
          <w:highlight w:val="none"/>
        </w:rPr>
        <w:t>后的价款依然按照</w:t>
      </w:r>
      <w:r>
        <w:rPr>
          <w:rFonts w:hint="eastAsia" w:ascii="宋体" w:hAnsi="宋体" w:cs="Calibri"/>
          <w:b/>
          <w:color w:val="auto"/>
          <w:szCs w:val="21"/>
          <w:highlight w:val="none"/>
        </w:rPr>
        <w:t>合同下浮率进行</w:t>
      </w:r>
      <w:r>
        <w:rPr>
          <w:rFonts w:ascii="宋体" w:hAnsi="宋体" w:cs="Calibri"/>
          <w:b/>
          <w:color w:val="auto"/>
          <w:szCs w:val="21"/>
          <w:highlight w:val="none"/>
        </w:rPr>
        <w:t>下浮。</w:t>
      </w:r>
    </w:p>
    <w:p w14:paraId="266DDA49">
      <w:pPr>
        <w:spacing w:line="400" w:lineRule="exact"/>
        <w:ind w:firstLine="422"/>
        <w:rPr>
          <w:rFonts w:hint="eastAsia" w:ascii="宋体" w:hAnsi="宋体" w:cs="Calibri"/>
          <w:b/>
          <w:color w:val="auto"/>
          <w:szCs w:val="21"/>
          <w:highlight w:val="none"/>
        </w:rPr>
      </w:pPr>
      <w:r>
        <w:rPr>
          <w:rFonts w:hint="eastAsia" w:ascii="宋体" w:hAnsi="宋体" w:cs="Calibri"/>
          <w:b/>
          <w:color w:val="auto"/>
          <w:szCs w:val="21"/>
          <w:highlight w:val="none"/>
        </w:rPr>
        <w:t>②人工工资按江苏省住房和城乡建设厅发布《建设工程人工工资指导价的通知》（苏建函价（202</w:t>
      </w:r>
      <w:r>
        <w:rPr>
          <w:rFonts w:hint="eastAsia" w:ascii="宋体" w:hAnsi="宋体" w:cs="Calibri"/>
          <w:b/>
          <w:color w:val="auto"/>
          <w:szCs w:val="21"/>
          <w:highlight w:val="none"/>
          <w:lang w:val="en-US" w:eastAsia="zh-CN"/>
        </w:rPr>
        <w:t>4</w:t>
      </w:r>
      <w:r>
        <w:rPr>
          <w:rFonts w:hint="eastAsia" w:ascii="宋体" w:hAnsi="宋体" w:cs="Calibri"/>
          <w:b/>
          <w:color w:val="auto"/>
          <w:szCs w:val="21"/>
          <w:highlight w:val="none"/>
        </w:rPr>
        <w:t>）348号）执行，机械台班单价按省造价管理部门规定，材料按市造价管理部门发布的《南通建设工程造价信息》（20</w:t>
      </w:r>
      <w:r>
        <w:rPr>
          <w:rFonts w:ascii="宋体" w:hAnsi="宋体" w:cs="Calibri"/>
          <w:b/>
          <w:color w:val="auto"/>
          <w:szCs w:val="21"/>
          <w:highlight w:val="none"/>
        </w:rPr>
        <w:t>2</w:t>
      </w:r>
      <w:r>
        <w:rPr>
          <w:rFonts w:hint="eastAsia" w:ascii="宋体" w:hAnsi="宋体" w:cs="Calibri"/>
          <w:b/>
          <w:color w:val="auto"/>
          <w:szCs w:val="21"/>
          <w:highlight w:val="none"/>
          <w:lang w:val="en-US" w:eastAsia="zh-CN"/>
        </w:rPr>
        <w:t>5</w:t>
      </w:r>
      <w:r>
        <w:rPr>
          <w:rFonts w:hint="eastAsia" w:ascii="宋体" w:hAnsi="宋体" w:cs="Calibri"/>
          <w:b/>
          <w:color w:val="auto"/>
          <w:szCs w:val="21"/>
          <w:highlight w:val="none"/>
        </w:rPr>
        <w:t>年第1期）取定，材料价在</w:t>
      </w:r>
      <w:r>
        <w:rPr>
          <w:rFonts w:ascii="宋体" w:hAnsi="宋体" w:cs="Calibri"/>
          <w:b/>
          <w:color w:val="auto"/>
          <w:szCs w:val="21"/>
          <w:highlight w:val="none"/>
        </w:rPr>
        <w:t>一定</w:t>
      </w:r>
      <w:r>
        <w:rPr>
          <w:rFonts w:hint="eastAsia" w:ascii="宋体" w:hAnsi="宋体" w:cs="Calibri"/>
          <w:b/>
          <w:color w:val="auto"/>
          <w:szCs w:val="21"/>
          <w:highlight w:val="none"/>
        </w:rPr>
        <w:t>波动</w:t>
      </w:r>
      <w:r>
        <w:rPr>
          <w:rFonts w:ascii="宋体" w:hAnsi="宋体" w:cs="Calibri"/>
          <w:b/>
          <w:color w:val="auto"/>
          <w:szCs w:val="21"/>
          <w:highlight w:val="none"/>
        </w:rPr>
        <w:t>幅度范围</w:t>
      </w:r>
      <w:r>
        <w:rPr>
          <w:rFonts w:hint="eastAsia" w:ascii="宋体" w:hAnsi="宋体" w:cs="Calibri"/>
          <w:b/>
          <w:color w:val="auto"/>
          <w:szCs w:val="21"/>
          <w:highlight w:val="none"/>
        </w:rPr>
        <w:t>（</w:t>
      </w:r>
      <w:r>
        <w:rPr>
          <w:rFonts w:ascii="宋体" w:hAnsi="宋体" w:cs="Calibri"/>
          <w:b/>
          <w:color w:val="auto"/>
          <w:szCs w:val="21"/>
          <w:highlight w:val="none"/>
        </w:rPr>
        <w:t>详见</w:t>
      </w:r>
      <w:r>
        <w:rPr>
          <w:rFonts w:hint="eastAsia" w:ascii="宋体" w:hAnsi="宋体" w:cs="Calibri"/>
          <w:b/>
          <w:color w:val="auto"/>
          <w:szCs w:val="21"/>
          <w:highlight w:val="none"/>
        </w:rPr>
        <w:t>第6</w:t>
      </w:r>
      <w:r>
        <w:rPr>
          <w:rFonts w:ascii="宋体" w:hAnsi="宋体" w:cs="Calibri"/>
          <w:b/>
          <w:color w:val="auto"/>
          <w:szCs w:val="21"/>
          <w:highlight w:val="none"/>
        </w:rPr>
        <w:t>.1.3</w:t>
      </w:r>
      <w:r>
        <w:rPr>
          <w:rFonts w:hint="eastAsia" w:ascii="宋体" w:hAnsi="宋体" w:cs="Calibri"/>
          <w:b/>
          <w:color w:val="auto"/>
          <w:szCs w:val="21"/>
          <w:highlight w:val="none"/>
        </w:rPr>
        <w:t>条</w:t>
      </w:r>
      <w:r>
        <w:rPr>
          <w:rFonts w:ascii="宋体" w:hAnsi="宋体" w:cs="Calibri"/>
          <w:b/>
          <w:color w:val="auto"/>
          <w:szCs w:val="21"/>
          <w:highlight w:val="none"/>
        </w:rPr>
        <w:t>）内</w:t>
      </w:r>
      <w:r>
        <w:rPr>
          <w:rFonts w:hint="eastAsia" w:ascii="宋体" w:hAnsi="宋体" w:cs="Calibri"/>
          <w:b/>
          <w:color w:val="auto"/>
          <w:szCs w:val="21"/>
          <w:highlight w:val="none"/>
        </w:rPr>
        <w:t>不予</w:t>
      </w:r>
      <w:r>
        <w:rPr>
          <w:rFonts w:ascii="宋体" w:hAnsi="宋体" w:cs="Calibri"/>
          <w:b/>
          <w:color w:val="auto"/>
          <w:szCs w:val="21"/>
          <w:highlight w:val="none"/>
        </w:rPr>
        <w:t>调整，无指导价的主材通过认质认价的形式取定</w:t>
      </w:r>
      <w:r>
        <w:rPr>
          <w:rFonts w:hint="eastAsia" w:ascii="宋体" w:hAnsi="宋体" w:cs="Calibri"/>
          <w:b/>
          <w:color w:val="auto"/>
          <w:szCs w:val="21"/>
          <w:highlight w:val="none"/>
        </w:rPr>
        <w:t>（招标人认质认价的</w:t>
      </w:r>
      <w:r>
        <w:rPr>
          <w:rFonts w:ascii="宋体" w:hAnsi="宋体" w:cs="Calibri"/>
          <w:b/>
          <w:color w:val="auto"/>
          <w:szCs w:val="21"/>
          <w:highlight w:val="none"/>
        </w:rPr>
        <w:t>材料</w:t>
      </w:r>
      <w:r>
        <w:rPr>
          <w:rFonts w:hint="eastAsia" w:ascii="宋体" w:hAnsi="宋体" w:cs="Calibri"/>
          <w:b/>
          <w:color w:val="auto"/>
          <w:szCs w:val="21"/>
          <w:highlight w:val="none"/>
        </w:rPr>
        <w:t>价不下浮）。</w:t>
      </w:r>
    </w:p>
    <w:p w14:paraId="28D9DFA3">
      <w:pPr>
        <w:spacing w:line="400" w:lineRule="exact"/>
        <w:ind w:firstLine="420"/>
        <w:rPr>
          <w:rFonts w:hint="eastAsia" w:ascii="宋体" w:hAnsi="宋体" w:cs="Calibri"/>
          <w:b/>
          <w:color w:val="auto"/>
          <w:szCs w:val="21"/>
          <w:highlight w:val="none"/>
        </w:rPr>
      </w:pPr>
      <w:r>
        <w:rPr>
          <w:rFonts w:hint="eastAsia" w:ascii="宋体" w:hAnsi="宋体" w:cs="Calibri"/>
          <w:b/>
          <w:color w:val="auto"/>
          <w:szCs w:val="21"/>
          <w:highlight w:val="none"/>
        </w:rPr>
        <w:t>③本工程不可竞争费用项目及其费率见下表：</w:t>
      </w:r>
    </w:p>
    <w:tbl>
      <w:tblPr>
        <w:tblStyle w:val="25"/>
        <w:tblW w:w="0" w:type="auto"/>
        <w:jc w:val="center"/>
        <w:tblBorders>
          <w:top w:val="none" w:color="auto" w:sz="2" w:space="0"/>
          <w:left w:val="none" w:color="auto" w:sz="2" w:space="0"/>
          <w:bottom w:val="none" w:color="auto" w:sz="2" w:space="0"/>
          <w:right w:val="none" w:color="auto" w:sz="2" w:space="0"/>
          <w:insideH w:val="none" w:color="auto" w:sz="2" w:space="0"/>
          <w:insideV w:val="none" w:color="auto" w:sz="2" w:space="0"/>
        </w:tblBorders>
        <w:tblLayout w:type="fixed"/>
        <w:tblCellMar>
          <w:top w:w="0" w:type="dxa"/>
          <w:left w:w="108" w:type="dxa"/>
          <w:bottom w:w="0" w:type="dxa"/>
          <w:right w:w="108" w:type="dxa"/>
        </w:tblCellMar>
      </w:tblPr>
      <w:tblGrid>
        <w:gridCol w:w="837"/>
        <w:gridCol w:w="1504"/>
        <w:gridCol w:w="1896"/>
        <w:gridCol w:w="2122"/>
        <w:gridCol w:w="2658"/>
      </w:tblGrid>
      <w:tr w14:paraId="6A24AB4B">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1" w:hRule="atLeast"/>
          <w:jc w:val="center"/>
        </w:trPr>
        <w:tc>
          <w:tcPr>
            <w:tcW w:w="837" w:type="dxa"/>
            <w:tcBorders>
              <w:top w:val="single" w:color="auto" w:sz="8" w:space="0"/>
              <w:left w:val="single" w:color="auto" w:sz="8" w:space="0"/>
              <w:bottom w:val="single" w:color="000000" w:sz="8" w:space="0"/>
              <w:right w:val="single" w:color="auto" w:sz="8" w:space="0"/>
            </w:tcBorders>
            <w:vAlign w:val="center"/>
          </w:tcPr>
          <w:p w14:paraId="2D5836B6">
            <w:pPr>
              <w:spacing w:line="400" w:lineRule="exact"/>
              <w:jc w:val="center"/>
              <w:rPr>
                <w:rFonts w:hint="eastAsia" w:ascii="宋体" w:hAnsi="宋体" w:cs="Calibri"/>
                <w:b/>
                <w:color w:val="auto"/>
                <w:szCs w:val="21"/>
                <w:highlight w:val="none"/>
              </w:rPr>
            </w:pPr>
            <w:r>
              <w:rPr>
                <w:rFonts w:ascii="宋体" w:hAnsi="宋体" w:cs="Calibri"/>
                <w:b/>
                <w:color w:val="auto"/>
                <w:szCs w:val="21"/>
                <w:highlight w:val="none"/>
              </w:rPr>
              <w:t>序号</w:t>
            </w:r>
          </w:p>
        </w:tc>
        <w:tc>
          <w:tcPr>
            <w:tcW w:w="1504" w:type="dxa"/>
            <w:tcBorders>
              <w:top w:val="single" w:color="auto" w:sz="8" w:space="0"/>
              <w:left w:val="single" w:color="auto" w:sz="8" w:space="0"/>
              <w:bottom w:val="single" w:color="000000" w:sz="8" w:space="0"/>
              <w:right w:val="single" w:color="auto" w:sz="8" w:space="0"/>
            </w:tcBorders>
            <w:vAlign w:val="center"/>
          </w:tcPr>
          <w:p w14:paraId="77D814F9">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费用类别</w:t>
            </w:r>
          </w:p>
        </w:tc>
        <w:tc>
          <w:tcPr>
            <w:tcW w:w="1896" w:type="dxa"/>
            <w:tcBorders>
              <w:top w:val="single" w:color="auto" w:sz="8" w:space="0"/>
              <w:left w:val="single" w:color="auto" w:sz="8" w:space="0"/>
              <w:bottom w:val="single" w:color="000000" w:sz="8" w:space="0"/>
              <w:right w:val="single" w:color="auto" w:sz="8" w:space="0"/>
            </w:tcBorders>
            <w:vAlign w:val="center"/>
          </w:tcPr>
          <w:p w14:paraId="1DBE28DC">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费用名称</w:t>
            </w:r>
          </w:p>
        </w:tc>
        <w:tc>
          <w:tcPr>
            <w:tcW w:w="2122" w:type="dxa"/>
            <w:tcBorders>
              <w:top w:val="single" w:color="auto" w:sz="8" w:space="0"/>
              <w:left w:val="single" w:color="auto" w:sz="8" w:space="0"/>
              <w:bottom w:val="single" w:color="000000" w:sz="8" w:space="0"/>
              <w:right w:val="single" w:color="auto" w:sz="8" w:space="0"/>
            </w:tcBorders>
            <w:vAlign w:val="center"/>
          </w:tcPr>
          <w:p w14:paraId="7DB3660D">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计费基数</w:t>
            </w:r>
          </w:p>
        </w:tc>
        <w:tc>
          <w:tcPr>
            <w:tcW w:w="2658" w:type="dxa"/>
            <w:tcBorders>
              <w:top w:val="single" w:color="auto" w:sz="8" w:space="0"/>
              <w:left w:val="single" w:color="auto" w:sz="8" w:space="0"/>
              <w:bottom w:val="single" w:color="auto" w:sz="8" w:space="0"/>
              <w:right w:val="single" w:color="auto" w:sz="8" w:space="0"/>
            </w:tcBorders>
          </w:tcPr>
          <w:p w14:paraId="3465FAE1">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市政工程</w:t>
            </w:r>
          </w:p>
        </w:tc>
      </w:tr>
      <w:tr w14:paraId="3E456CDC">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1" w:hRule="atLeast"/>
          <w:jc w:val="center"/>
        </w:trPr>
        <w:tc>
          <w:tcPr>
            <w:tcW w:w="837" w:type="dxa"/>
            <w:tcBorders>
              <w:top w:val="single" w:color="auto" w:sz="8" w:space="0"/>
              <w:left w:val="single" w:color="auto" w:sz="8" w:space="0"/>
              <w:bottom w:val="single" w:color="000000" w:sz="8" w:space="0"/>
              <w:right w:val="single" w:color="auto" w:sz="8" w:space="0"/>
            </w:tcBorders>
            <w:vAlign w:val="center"/>
          </w:tcPr>
          <w:p w14:paraId="5DE0DA7C">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1</w:t>
            </w:r>
          </w:p>
        </w:tc>
        <w:tc>
          <w:tcPr>
            <w:tcW w:w="1504" w:type="dxa"/>
            <w:vMerge w:val="restart"/>
            <w:tcBorders>
              <w:top w:val="single" w:color="auto" w:sz="8" w:space="0"/>
              <w:left w:val="single" w:color="auto" w:sz="8" w:space="0"/>
              <w:right w:val="single" w:color="auto" w:sz="8" w:space="0"/>
            </w:tcBorders>
            <w:vAlign w:val="center"/>
          </w:tcPr>
          <w:p w14:paraId="7A824B7B">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安全文明施工措施费</w:t>
            </w:r>
          </w:p>
        </w:tc>
        <w:tc>
          <w:tcPr>
            <w:tcW w:w="1896" w:type="dxa"/>
            <w:tcBorders>
              <w:top w:val="single" w:color="auto" w:sz="8" w:space="0"/>
              <w:left w:val="single" w:color="auto" w:sz="8" w:space="0"/>
              <w:bottom w:val="single" w:color="000000" w:sz="8" w:space="0"/>
              <w:right w:val="single" w:color="auto" w:sz="8" w:space="0"/>
            </w:tcBorders>
            <w:vAlign w:val="center"/>
          </w:tcPr>
          <w:p w14:paraId="45A0B59C">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基本费</w:t>
            </w:r>
          </w:p>
        </w:tc>
        <w:tc>
          <w:tcPr>
            <w:tcW w:w="2122" w:type="dxa"/>
            <w:vMerge w:val="restart"/>
            <w:tcBorders>
              <w:top w:val="single" w:color="auto" w:sz="8" w:space="0"/>
              <w:left w:val="single" w:color="auto" w:sz="8" w:space="0"/>
              <w:right w:val="single" w:color="auto" w:sz="8" w:space="0"/>
            </w:tcBorders>
            <w:vAlign w:val="center"/>
          </w:tcPr>
          <w:p w14:paraId="513ACD54">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分部分项工程费+单价措施项目费-除税工程设备费</w:t>
            </w:r>
          </w:p>
        </w:tc>
        <w:tc>
          <w:tcPr>
            <w:tcW w:w="2658" w:type="dxa"/>
            <w:tcBorders>
              <w:top w:val="single" w:color="auto" w:sz="8" w:space="0"/>
              <w:left w:val="single" w:color="auto" w:sz="8" w:space="0"/>
              <w:bottom w:val="single" w:color="auto" w:sz="8" w:space="0"/>
              <w:right w:val="single" w:color="auto" w:sz="8" w:space="0"/>
            </w:tcBorders>
            <w:vAlign w:val="center"/>
          </w:tcPr>
          <w:p w14:paraId="45671599">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1.5%</w:t>
            </w:r>
          </w:p>
        </w:tc>
      </w:tr>
      <w:tr w14:paraId="62DBCE7D">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1" w:hRule="atLeast"/>
          <w:jc w:val="center"/>
        </w:trPr>
        <w:tc>
          <w:tcPr>
            <w:tcW w:w="837" w:type="dxa"/>
            <w:tcBorders>
              <w:top w:val="single" w:color="auto" w:sz="8" w:space="0"/>
              <w:left w:val="single" w:color="auto" w:sz="8" w:space="0"/>
              <w:bottom w:val="single" w:color="000000" w:sz="8" w:space="0"/>
              <w:right w:val="single" w:color="auto" w:sz="8" w:space="0"/>
            </w:tcBorders>
            <w:vAlign w:val="center"/>
          </w:tcPr>
          <w:p w14:paraId="2238BC73">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2</w:t>
            </w:r>
          </w:p>
        </w:tc>
        <w:tc>
          <w:tcPr>
            <w:tcW w:w="1504" w:type="dxa"/>
            <w:vMerge w:val="continue"/>
            <w:tcBorders>
              <w:left w:val="single" w:color="auto" w:sz="8" w:space="0"/>
              <w:bottom w:val="single" w:color="000000" w:sz="8" w:space="0"/>
              <w:right w:val="single" w:color="auto" w:sz="8" w:space="0"/>
            </w:tcBorders>
            <w:vAlign w:val="center"/>
          </w:tcPr>
          <w:p w14:paraId="0637492A">
            <w:pPr>
              <w:spacing w:line="400" w:lineRule="exact"/>
              <w:jc w:val="center"/>
              <w:rPr>
                <w:rFonts w:hint="eastAsia" w:ascii="宋体" w:hAnsi="宋体" w:cs="Calibri"/>
                <w:b/>
                <w:color w:val="auto"/>
                <w:szCs w:val="21"/>
                <w:highlight w:val="none"/>
              </w:rPr>
            </w:pPr>
          </w:p>
        </w:tc>
        <w:tc>
          <w:tcPr>
            <w:tcW w:w="1896" w:type="dxa"/>
            <w:tcBorders>
              <w:top w:val="single" w:color="auto" w:sz="8" w:space="0"/>
              <w:left w:val="single" w:color="auto" w:sz="8" w:space="0"/>
              <w:bottom w:val="single" w:color="000000" w:sz="8" w:space="0"/>
              <w:right w:val="single" w:color="auto" w:sz="8" w:space="0"/>
            </w:tcBorders>
            <w:vAlign w:val="center"/>
          </w:tcPr>
          <w:p w14:paraId="4F82DBD8">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扬尘污染防治增加费</w:t>
            </w:r>
          </w:p>
        </w:tc>
        <w:tc>
          <w:tcPr>
            <w:tcW w:w="2122" w:type="dxa"/>
            <w:vMerge w:val="continue"/>
            <w:tcBorders>
              <w:left w:val="single" w:color="auto" w:sz="8" w:space="0"/>
              <w:bottom w:val="single" w:color="000000" w:sz="8" w:space="0"/>
              <w:right w:val="single" w:color="auto" w:sz="8" w:space="0"/>
            </w:tcBorders>
            <w:vAlign w:val="center"/>
          </w:tcPr>
          <w:p w14:paraId="027B21BF">
            <w:pPr>
              <w:spacing w:line="400" w:lineRule="exact"/>
              <w:jc w:val="center"/>
              <w:rPr>
                <w:rFonts w:hint="eastAsia" w:ascii="宋体" w:hAnsi="宋体" w:cs="Calibri"/>
                <w:b/>
                <w:color w:val="auto"/>
                <w:szCs w:val="21"/>
                <w:highlight w:val="none"/>
              </w:rPr>
            </w:pPr>
          </w:p>
        </w:tc>
        <w:tc>
          <w:tcPr>
            <w:tcW w:w="2658" w:type="dxa"/>
            <w:tcBorders>
              <w:top w:val="single" w:color="auto" w:sz="8" w:space="0"/>
              <w:left w:val="single" w:color="auto" w:sz="8" w:space="0"/>
              <w:bottom w:val="single" w:color="auto" w:sz="8" w:space="0"/>
              <w:right w:val="single" w:color="auto" w:sz="8" w:space="0"/>
            </w:tcBorders>
            <w:vAlign w:val="center"/>
          </w:tcPr>
          <w:p w14:paraId="6D4BA4BB">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0.31%</w:t>
            </w:r>
          </w:p>
        </w:tc>
      </w:tr>
      <w:tr w14:paraId="6DE96E7A">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1" w:hRule="atLeast"/>
          <w:jc w:val="center"/>
        </w:trPr>
        <w:tc>
          <w:tcPr>
            <w:tcW w:w="837" w:type="dxa"/>
            <w:tcBorders>
              <w:top w:val="single" w:color="auto" w:sz="8" w:space="0"/>
              <w:left w:val="single" w:color="auto" w:sz="8" w:space="0"/>
              <w:bottom w:val="single" w:color="000000" w:sz="8" w:space="0"/>
              <w:right w:val="single" w:color="auto" w:sz="8" w:space="0"/>
            </w:tcBorders>
            <w:vAlign w:val="center"/>
          </w:tcPr>
          <w:p w14:paraId="46DDF8AA">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3</w:t>
            </w:r>
          </w:p>
        </w:tc>
        <w:tc>
          <w:tcPr>
            <w:tcW w:w="1504" w:type="dxa"/>
            <w:vMerge w:val="restart"/>
            <w:tcBorders>
              <w:top w:val="single" w:color="auto" w:sz="8" w:space="0"/>
              <w:left w:val="single" w:color="auto" w:sz="8" w:space="0"/>
              <w:right w:val="single" w:color="auto" w:sz="8" w:space="0"/>
            </w:tcBorders>
            <w:vAlign w:val="center"/>
          </w:tcPr>
          <w:p w14:paraId="3144A15B">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规费</w:t>
            </w:r>
          </w:p>
        </w:tc>
        <w:tc>
          <w:tcPr>
            <w:tcW w:w="1896" w:type="dxa"/>
            <w:tcBorders>
              <w:top w:val="single" w:color="auto" w:sz="8" w:space="0"/>
              <w:left w:val="single" w:color="auto" w:sz="8" w:space="0"/>
              <w:bottom w:val="single" w:color="000000" w:sz="8" w:space="0"/>
              <w:right w:val="single" w:color="auto" w:sz="8" w:space="0"/>
            </w:tcBorders>
            <w:vAlign w:val="center"/>
          </w:tcPr>
          <w:p w14:paraId="335565F7">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社会保障费</w:t>
            </w:r>
          </w:p>
        </w:tc>
        <w:tc>
          <w:tcPr>
            <w:tcW w:w="2122" w:type="dxa"/>
            <w:vMerge w:val="restart"/>
            <w:tcBorders>
              <w:top w:val="single" w:color="auto" w:sz="8" w:space="0"/>
              <w:left w:val="single" w:color="auto" w:sz="8" w:space="0"/>
              <w:right w:val="single" w:color="auto" w:sz="8" w:space="0"/>
            </w:tcBorders>
            <w:vAlign w:val="center"/>
          </w:tcPr>
          <w:p w14:paraId="22CF9022">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分部分项工程费</w:t>
            </w:r>
            <w:r>
              <w:rPr>
                <w:rFonts w:ascii="宋体" w:hAnsi="宋体" w:cs="Calibri"/>
                <w:b/>
                <w:color w:val="auto"/>
                <w:szCs w:val="21"/>
                <w:highlight w:val="none"/>
              </w:rPr>
              <w:t>+</w:t>
            </w:r>
            <w:r>
              <w:rPr>
                <w:rFonts w:hint="eastAsia" w:ascii="宋体" w:hAnsi="宋体" w:cs="Calibri"/>
                <w:b/>
                <w:color w:val="auto"/>
                <w:szCs w:val="21"/>
                <w:highlight w:val="none"/>
              </w:rPr>
              <w:t>措施项目费</w:t>
            </w:r>
            <w:r>
              <w:rPr>
                <w:rFonts w:ascii="宋体" w:hAnsi="宋体" w:cs="Calibri"/>
                <w:b/>
                <w:color w:val="auto"/>
                <w:szCs w:val="21"/>
                <w:highlight w:val="none"/>
              </w:rPr>
              <w:t>+</w:t>
            </w:r>
            <w:r>
              <w:rPr>
                <w:rFonts w:hint="eastAsia" w:ascii="宋体" w:hAnsi="宋体" w:cs="Calibri"/>
                <w:b/>
                <w:color w:val="auto"/>
                <w:szCs w:val="21"/>
                <w:highlight w:val="none"/>
              </w:rPr>
              <w:t>其他项目费</w:t>
            </w:r>
            <w:r>
              <w:rPr>
                <w:rFonts w:ascii="宋体" w:hAnsi="宋体" w:cs="Calibri"/>
                <w:b/>
                <w:color w:val="auto"/>
                <w:szCs w:val="21"/>
                <w:highlight w:val="none"/>
              </w:rPr>
              <w:t>-</w:t>
            </w:r>
            <w:r>
              <w:rPr>
                <w:rFonts w:hint="eastAsia" w:ascii="宋体" w:hAnsi="宋体" w:cs="Calibri"/>
                <w:b/>
                <w:color w:val="auto"/>
                <w:szCs w:val="21"/>
                <w:highlight w:val="none"/>
              </w:rPr>
              <w:t>除税工程设备费</w:t>
            </w:r>
          </w:p>
        </w:tc>
        <w:tc>
          <w:tcPr>
            <w:tcW w:w="2658" w:type="dxa"/>
            <w:tcBorders>
              <w:top w:val="single" w:color="auto" w:sz="8" w:space="0"/>
              <w:left w:val="single" w:color="auto" w:sz="8" w:space="0"/>
              <w:bottom w:val="single" w:color="auto" w:sz="8" w:space="0"/>
              <w:right w:val="single" w:color="auto" w:sz="8" w:space="0"/>
            </w:tcBorders>
            <w:vAlign w:val="center"/>
          </w:tcPr>
          <w:p w14:paraId="0E0EA439">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2.0%</w:t>
            </w:r>
          </w:p>
        </w:tc>
      </w:tr>
      <w:tr w14:paraId="06FE195A">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1" w:hRule="atLeast"/>
          <w:jc w:val="center"/>
        </w:trPr>
        <w:tc>
          <w:tcPr>
            <w:tcW w:w="837" w:type="dxa"/>
            <w:tcBorders>
              <w:top w:val="single" w:color="auto" w:sz="8" w:space="0"/>
              <w:left w:val="single" w:color="auto" w:sz="8" w:space="0"/>
              <w:bottom w:val="single" w:color="000000" w:sz="8" w:space="0"/>
              <w:right w:val="single" w:color="auto" w:sz="8" w:space="0"/>
            </w:tcBorders>
            <w:vAlign w:val="center"/>
          </w:tcPr>
          <w:p w14:paraId="01E7CEF1">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4</w:t>
            </w:r>
          </w:p>
        </w:tc>
        <w:tc>
          <w:tcPr>
            <w:tcW w:w="1504" w:type="dxa"/>
            <w:vMerge w:val="continue"/>
            <w:tcBorders>
              <w:left w:val="single" w:color="auto" w:sz="8" w:space="0"/>
              <w:bottom w:val="single" w:color="000000" w:sz="8" w:space="0"/>
              <w:right w:val="single" w:color="auto" w:sz="8" w:space="0"/>
            </w:tcBorders>
            <w:vAlign w:val="center"/>
          </w:tcPr>
          <w:p w14:paraId="5F0E0F93">
            <w:pPr>
              <w:spacing w:line="400" w:lineRule="exact"/>
              <w:jc w:val="center"/>
              <w:rPr>
                <w:rFonts w:hint="eastAsia" w:ascii="宋体" w:hAnsi="宋体" w:cs="Calibri"/>
                <w:b/>
                <w:color w:val="auto"/>
                <w:szCs w:val="21"/>
                <w:highlight w:val="none"/>
              </w:rPr>
            </w:pPr>
          </w:p>
        </w:tc>
        <w:tc>
          <w:tcPr>
            <w:tcW w:w="1896" w:type="dxa"/>
            <w:tcBorders>
              <w:top w:val="single" w:color="auto" w:sz="8" w:space="0"/>
              <w:left w:val="single" w:color="auto" w:sz="8" w:space="0"/>
              <w:bottom w:val="single" w:color="000000" w:sz="8" w:space="0"/>
              <w:right w:val="single" w:color="auto" w:sz="8" w:space="0"/>
            </w:tcBorders>
            <w:vAlign w:val="center"/>
          </w:tcPr>
          <w:p w14:paraId="0CFB66F6">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住房公积金</w:t>
            </w:r>
          </w:p>
        </w:tc>
        <w:tc>
          <w:tcPr>
            <w:tcW w:w="2122" w:type="dxa"/>
            <w:vMerge w:val="continue"/>
            <w:tcBorders>
              <w:left w:val="single" w:color="auto" w:sz="8" w:space="0"/>
              <w:bottom w:val="single" w:color="000000" w:sz="8" w:space="0"/>
              <w:right w:val="single" w:color="auto" w:sz="8" w:space="0"/>
            </w:tcBorders>
            <w:vAlign w:val="center"/>
          </w:tcPr>
          <w:p w14:paraId="75BC1B92">
            <w:pPr>
              <w:spacing w:line="400" w:lineRule="exact"/>
              <w:jc w:val="center"/>
              <w:rPr>
                <w:rFonts w:hint="eastAsia" w:ascii="宋体" w:hAnsi="宋体" w:cs="Calibri"/>
                <w:b/>
                <w:color w:val="auto"/>
                <w:szCs w:val="21"/>
                <w:highlight w:val="none"/>
              </w:rPr>
            </w:pPr>
          </w:p>
        </w:tc>
        <w:tc>
          <w:tcPr>
            <w:tcW w:w="2658" w:type="dxa"/>
            <w:tcBorders>
              <w:top w:val="single" w:color="auto" w:sz="8" w:space="0"/>
              <w:left w:val="single" w:color="auto" w:sz="8" w:space="0"/>
              <w:bottom w:val="single" w:color="auto" w:sz="8" w:space="0"/>
              <w:right w:val="single" w:color="auto" w:sz="8" w:space="0"/>
            </w:tcBorders>
            <w:vAlign w:val="center"/>
          </w:tcPr>
          <w:p w14:paraId="5613819A">
            <w:pPr>
              <w:spacing w:line="400" w:lineRule="exact"/>
              <w:jc w:val="center"/>
              <w:rPr>
                <w:rFonts w:hint="eastAsia" w:ascii="宋体" w:hAnsi="宋体" w:cs="Calibri"/>
                <w:b/>
                <w:color w:val="auto"/>
                <w:szCs w:val="21"/>
                <w:highlight w:val="none"/>
              </w:rPr>
            </w:pPr>
            <w:r>
              <w:rPr>
                <w:rFonts w:ascii="宋体" w:hAnsi="宋体" w:cs="Calibri"/>
                <w:b/>
                <w:color w:val="auto"/>
                <w:szCs w:val="21"/>
                <w:highlight w:val="none"/>
              </w:rPr>
              <w:t>0.</w:t>
            </w:r>
            <w:r>
              <w:rPr>
                <w:rFonts w:hint="eastAsia" w:ascii="宋体" w:hAnsi="宋体" w:cs="Calibri"/>
                <w:b/>
                <w:color w:val="auto"/>
                <w:szCs w:val="21"/>
                <w:highlight w:val="none"/>
              </w:rPr>
              <w:t>34%</w:t>
            </w:r>
          </w:p>
        </w:tc>
      </w:tr>
      <w:tr w14:paraId="5CB66C26">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1" w:hRule="atLeast"/>
          <w:jc w:val="center"/>
        </w:trPr>
        <w:tc>
          <w:tcPr>
            <w:tcW w:w="837" w:type="dxa"/>
            <w:tcBorders>
              <w:top w:val="single" w:color="auto" w:sz="8" w:space="0"/>
              <w:left w:val="single" w:color="auto" w:sz="8" w:space="0"/>
              <w:bottom w:val="single" w:color="000000" w:sz="8" w:space="0"/>
              <w:right w:val="single" w:color="auto" w:sz="8" w:space="0"/>
            </w:tcBorders>
            <w:vAlign w:val="center"/>
          </w:tcPr>
          <w:p w14:paraId="1CC48ABD">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5</w:t>
            </w:r>
          </w:p>
        </w:tc>
        <w:tc>
          <w:tcPr>
            <w:tcW w:w="1504" w:type="dxa"/>
            <w:tcBorders>
              <w:top w:val="single" w:color="auto" w:sz="8" w:space="0"/>
              <w:left w:val="single" w:color="auto" w:sz="8" w:space="0"/>
              <w:bottom w:val="single" w:color="000000" w:sz="8" w:space="0"/>
              <w:right w:val="single" w:color="auto" w:sz="8" w:space="0"/>
            </w:tcBorders>
            <w:vAlign w:val="center"/>
          </w:tcPr>
          <w:p w14:paraId="41A50D1E">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税  金</w:t>
            </w:r>
          </w:p>
        </w:tc>
        <w:tc>
          <w:tcPr>
            <w:tcW w:w="1896" w:type="dxa"/>
            <w:tcBorders>
              <w:top w:val="single" w:color="auto" w:sz="8" w:space="0"/>
              <w:left w:val="single" w:color="auto" w:sz="8" w:space="0"/>
              <w:bottom w:val="single" w:color="000000" w:sz="8" w:space="0"/>
              <w:right w:val="single" w:color="auto" w:sz="8" w:space="0"/>
            </w:tcBorders>
            <w:vAlign w:val="center"/>
          </w:tcPr>
          <w:p w14:paraId="03CE8676">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税   金</w:t>
            </w:r>
          </w:p>
        </w:tc>
        <w:tc>
          <w:tcPr>
            <w:tcW w:w="2122" w:type="dxa"/>
            <w:tcBorders>
              <w:top w:val="single" w:color="auto" w:sz="8" w:space="0"/>
              <w:left w:val="single" w:color="auto" w:sz="8" w:space="0"/>
              <w:bottom w:val="single" w:color="000000" w:sz="8" w:space="0"/>
              <w:right w:val="single" w:color="auto" w:sz="8" w:space="0"/>
            </w:tcBorders>
            <w:vAlign w:val="center"/>
          </w:tcPr>
          <w:p w14:paraId="24F2D73C">
            <w:pPr>
              <w:spacing w:line="400" w:lineRule="exact"/>
              <w:jc w:val="center"/>
              <w:rPr>
                <w:rFonts w:hint="eastAsia" w:ascii="宋体" w:hAnsi="宋体" w:cs="Calibri"/>
                <w:b/>
                <w:color w:val="auto"/>
                <w:szCs w:val="21"/>
                <w:highlight w:val="none"/>
              </w:rPr>
            </w:pPr>
            <w:r>
              <w:rPr>
                <w:rFonts w:hint="eastAsia" w:ascii="宋体" w:hAnsi="宋体" w:cs="Calibri"/>
                <w:b/>
                <w:color w:val="auto"/>
                <w:szCs w:val="21"/>
                <w:highlight w:val="none"/>
              </w:rPr>
              <w:t>税前造价</w:t>
            </w:r>
          </w:p>
        </w:tc>
        <w:tc>
          <w:tcPr>
            <w:tcW w:w="2658" w:type="dxa"/>
            <w:tcBorders>
              <w:top w:val="single" w:color="auto" w:sz="8" w:space="0"/>
              <w:left w:val="single" w:color="auto" w:sz="8" w:space="0"/>
              <w:bottom w:val="single" w:color="auto" w:sz="8" w:space="0"/>
              <w:right w:val="single" w:color="auto" w:sz="8" w:space="0"/>
            </w:tcBorders>
            <w:vAlign w:val="center"/>
          </w:tcPr>
          <w:p w14:paraId="2D16C502">
            <w:pPr>
              <w:spacing w:line="400" w:lineRule="exact"/>
              <w:jc w:val="center"/>
              <w:rPr>
                <w:rFonts w:hint="eastAsia" w:ascii="宋体" w:hAnsi="宋体" w:cs="Calibri"/>
                <w:b/>
                <w:color w:val="auto"/>
                <w:szCs w:val="21"/>
                <w:highlight w:val="none"/>
              </w:rPr>
            </w:pPr>
            <w:r>
              <w:rPr>
                <w:rFonts w:ascii="宋体" w:hAnsi="宋体" w:cs="Calibri"/>
                <w:b/>
                <w:color w:val="auto"/>
                <w:szCs w:val="21"/>
                <w:highlight w:val="none"/>
              </w:rPr>
              <w:t>9</w:t>
            </w:r>
            <w:r>
              <w:rPr>
                <w:rFonts w:hint="eastAsia" w:ascii="宋体" w:hAnsi="宋体" w:cs="Calibri"/>
                <w:b/>
                <w:color w:val="auto"/>
                <w:szCs w:val="21"/>
                <w:highlight w:val="none"/>
              </w:rPr>
              <w:t>%</w:t>
            </w:r>
          </w:p>
        </w:tc>
      </w:tr>
    </w:tbl>
    <w:p w14:paraId="7F27499E">
      <w:pPr>
        <w:spacing w:line="400" w:lineRule="exact"/>
        <w:ind w:firstLine="420" w:firstLineChars="200"/>
        <w:rPr>
          <w:rFonts w:hint="eastAsia" w:ascii="宋体" w:hAnsi="宋体" w:cs="Calibri"/>
          <w:color w:val="auto"/>
          <w:szCs w:val="21"/>
          <w:highlight w:val="none"/>
        </w:rPr>
      </w:pPr>
    </w:p>
    <w:p w14:paraId="44C49599">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注：现场安全文明施工措施费结算时需经造价管理处核定，未经核定的，结算时不得计取。</w:t>
      </w:r>
    </w:p>
    <w:p w14:paraId="71FF5534">
      <w:pPr>
        <w:spacing w:line="400" w:lineRule="exact"/>
        <w:ind w:firstLine="420" w:firstLineChars="200"/>
        <w:rPr>
          <w:rFonts w:hint="eastAsia" w:ascii="宋体" w:hAnsi="宋体" w:eastAsia="宋体" w:cs="Calibri"/>
          <w:color w:val="auto"/>
          <w:szCs w:val="21"/>
          <w:highlight w:val="none"/>
        </w:rPr>
      </w:pPr>
      <w:r>
        <w:rPr>
          <w:rFonts w:hint="eastAsia" w:ascii="宋体" w:hAnsi="宋体" w:cs="Calibri"/>
          <w:color w:val="auto"/>
          <w:szCs w:val="21"/>
          <w:highlight w:val="none"/>
        </w:rPr>
        <w:t>④总价措施项目费计取以下费用：临时设施费率市政工程按1.65%；</w:t>
      </w:r>
    </w:p>
    <w:p w14:paraId="44F91648">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⑤单价措施项目费一般情况下不予</w:t>
      </w:r>
      <w:r>
        <w:rPr>
          <w:rFonts w:ascii="宋体" w:hAnsi="宋体" w:cs="Calibri"/>
          <w:color w:val="auto"/>
          <w:szCs w:val="21"/>
          <w:highlight w:val="none"/>
        </w:rPr>
        <w:t>计取</w:t>
      </w:r>
      <w:r>
        <w:rPr>
          <w:rFonts w:hint="eastAsia" w:ascii="宋体" w:hAnsi="宋体" w:cs="Calibri"/>
          <w:color w:val="auto"/>
          <w:szCs w:val="21"/>
          <w:highlight w:val="none"/>
        </w:rPr>
        <w:t xml:space="preserve">； </w:t>
      </w:r>
    </w:p>
    <w:p w14:paraId="184D01B5">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⑥下列费用在竣工结算时不再另行计算：</w:t>
      </w:r>
    </w:p>
    <w:p w14:paraId="0F949C12">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ascii="宋体" w:hAnsi="宋体" w:cs="宋体"/>
          <w:b/>
          <w:bCs/>
          <w:color w:val="auto"/>
          <w:szCs w:val="21"/>
          <w:highlight w:val="none"/>
        </w:rPr>
        <w:t>A</w:t>
      </w:r>
      <w:r>
        <w:rPr>
          <w:rFonts w:hint="eastAsia" w:ascii="宋体" w:hAnsi="宋体" w:cs="宋体"/>
          <w:b/>
          <w:bCs/>
          <w:color w:val="auto"/>
          <w:szCs w:val="21"/>
          <w:highlight w:val="none"/>
        </w:rPr>
        <w:t>、本工程施工期间涉及环保、消防、城市卫生、市政、居委会、派出所等相关部门收取的费用，以及夜间文明施工、保护周边地下管线和架空线的安全的费用等已包含</w:t>
      </w:r>
      <w:r>
        <w:rPr>
          <w:rFonts w:ascii="宋体" w:hAnsi="宋体" w:cs="宋体"/>
          <w:b/>
          <w:bCs/>
          <w:color w:val="auto"/>
          <w:szCs w:val="21"/>
          <w:highlight w:val="none"/>
        </w:rPr>
        <w:t>在合同价中</w:t>
      </w:r>
      <w:r>
        <w:rPr>
          <w:rFonts w:hint="eastAsia" w:ascii="宋体" w:hAnsi="宋体" w:cs="宋体"/>
          <w:b/>
          <w:bCs/>
          <w:color w:val="auto"/>
          <w:szCs w:val="21"/>
          <w:highlight w:val="none"/>
        </w:rPr>
        <w:t>，竣工结算时一律不作调整。</w:t>
      </w:r>
    </w:p>
    <w:p w14:paraId="012EB1F0">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ascii="宋体" w:hAnsi="宋体" w:cs="宋体"/>
          <w:b/>
          <w:bCs/>
          <w:color w:val="auto"/>
          <w:szCs w:val="21"/>
          <w:highlight w:val="none"/>
        </w:rPr>
        <w:t>B</w:t>
      </w:r>
      <w:r>
        <w:rPr>
          <w:rFonts w:hint="eastAsia" w:ascii="宋体" w:hAnsi="宋体" w:cs="宋体"/>
          <w:b/>
          <w:bCs/>
          <w:color w:val="auto"/>
          <w:szCs w:val="21"/>
          <w:highlight w:val="none"/>
        </w:rPr>
        <w:t>、承包人应独立、有效地做好该工程周边的有关群众工作，并充分考虑工程实施范围内外的单位、个人和其他可能出现阻挠施工的情况，若发生的机械台班停置费、二次机械进退场费、人员窝工、处理周边群众纠纷等费用和损失，该费用已包含</w:t>
      </w:r>
      <w:r>
        <w:rPr>
          <w:rFonts w:ascii="宋体" w:hAnsi="宋体" w:cs="宋体"/>
          <w:b/>
          <w:bCs/>
          <w:color w:val="auto"/>
          <w:szCs w:val="21"/>
          <w:highlight w:val="none"/>
        </w:rPr>
        <w:t>在合同价中</w:t>
      </w:r>
      <w:r>
        <w:rPr>
          <w:rFonts w:hint="eastAsia" w:ascii="宋体" w:hAnsi="宋体" w:cs="宋体"/>
          <w:b/>
          <w:bCs/>
          <w:color w:val="auto"/>
          <w:szCs w:val="21"/>
          <w:highlight w:val="none"/>
        </w:rPr>
        <w:t>，工程竣工结算时不作调整。</w:t>
      </w:r>
    </w:p>
    <w:p w14:paraId="211FD410">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ascii="宋体" w:hAnsi="宋体" w:cs="宋体"/>
          <w:b/>
          <w:bCs/>
          <w:color w:val="auto"/>
          <w:szCs w:val="21"/>
          <w:highlight w:val="none"/>
        </w:rPr>
        <w:t>C</w:t>
      </w:r>
      <w:r>
        <w:rPr>
          <w:rFonts w:hint="eastAsia" w:ascii="宋体" w:hAnsi="宋体" w:cs="宋体"/>
          <w:b/>
          <w:bCs/>
          <w:color w:val="auto"/>
          <w:szCs w:val="21"/>
          <w:highlight w:val="none"/>
        </w:rPr>
        <w:t>、因施工场地狭小、周边现状设施</w:t>
      </w:r>
      <w:r>
        <w:rPr>
          <w:rFonts w:ascii="宋体" w:hAnsi="宋体" w:cs="宋体"/>
          <w:b/>
          <w:bCs/>
          <w:color w:val="auto"/>
          <w:szCs w:val="21"/>
          <w:highlight w:val="none"/>
        </w:rPr>
        <w:t>保护</w:t>
      </w:r>
      <w:r>
        <w:rPr>
          <w:rFonts w:hint="eastAsia" w:ascii="宋体" w:hAnsi="宋体" w:cs="宋体"/>
          <w:b/>
          <w:bCs/>
          <w:color w:val="auto"/>
          <w:szCs w:val="21"/>
          <w:highlight w:val="none"/>
        </w:rPr>
        <w:t>等发生的一切费用已包含</w:t>
      </w:r>
      <w:r>
        <w:rPr>
          <w:rFonts w:ascii="宋体" w:hAnsi="宋体" w:cs="宋体"/>
          <w:b/>
          <w:bCs/>
          <w:color w:val="auto"/>
          <w:szCs w:val="21"/>
          <w:highlight w:val="none"/>
        </w:rPr>
        <w:t>在合同价中</w:t>
      </w:r>
      <w:r>
        <w:rPr>
          <w:rFonts w:hint="eastAsia" w:ascii="宋体" w:hAnsi="宋体" w:cs="宋体"/>
          <w:b/>
          <w:bCs/>
          <w:color w:val="auto"/>
          <w:szCs w:val="21"/>
          <w:highlight w:val="none"/>
        </w:rPr>
        <w:t>，竣工结算时一律不作调整。</w:t>
      </w:r>
    </w:p>
    <w:p w14:paraId="2B1EC487">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ascii="宋体" w:hAnsi="宋体" w:cs="宋体"/>
          <w:b/>
          <w:bCs/>
          <w:color w:val="auto"/>
          <w:szCs w:val="21"/>
          <w:highlight w:val="none"/>
        </w:rPr>
        <w:t>D</w:t>
      </w:r>
      <w:r>
        <w:rPr>
          <w:rFonts w:hint="eastAsia" w:ascii="宋体" w:hAnsi="宋体" w:cs="宋体"/>
          <w:b/>
          <w:bCs/>
          <w:color w:val="auto"/>
          <w:szCs w:val="21"/>
          <w:highlight w:val="none"/>
        </w:rPr>
        <w:t>、赶工费、按质论价费、二次搬运费、特殊条件下施工增加费、冬雨季施工增加费、夜间施工增加费、社会</w:t>
      </w:r>
      <w:r>
        <w:rPr>
          <w:rFonts w:ascii="宋体" w:hAnsi="宋体" w:cs="宋体"/>
          <w:b/>
          <w:bCs/>
          <w:color w:val="auto"/>
          <w:szCs w:val="21"/>
          <w:highlight w:val="none"/>
        </w:rPr>
        <w:t>车辆行人干扰</w:t>
      </w:r>
      <w:r>
        <w:rPr>
          <w:rFonts w:hint="eastAsia" w:ascii="宋体" w:hAnsi="宋体" w:cs="宋体"/>
          <w:b/>
          <w:bCs/>
          <w:color w:val="auto"/>
          <w:szCs w:val="21"/>
          <w:highlight w:val="none"/>
        </w:rPr>
        <w:t>费已包含</w:t>
      </w:r>
      <w:r>
        <w:rPr>
          <w:rFonts w:ascii="宋体" w:hAnsi="宋体" w:cs="宋体"/>
          <w:b/>
          <w:bCs/>
          <w:color w:val="auto"/>
          <w:szCs w:val="21"/>
          <w:highlight w:val="none"/>
        </w:rPr>
        <w:t>在合同价中</w:t>
      </w:r>
      <w:r>
        <w:rPr>
          <w:rFonts w:hint="eastAsia" w:ascii="宋体" w:hAnsi="宋体" w:cs="宋体"/>
          <w:b/>
          <w:bCs/>
          <w:color w:val="auto"/>
          <w:szCs w:val="21"/>
          <w:highlight w:val="none"/>
        </w:rPr>
        <w:t>，竣工结算时一律不作调整。</w:t>
      </w:r>
    </w:p>
    <w:p w14:paraId="7DF3DBE7">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ascii="宋体" w:hAnsi="宋体" w:cs="宋体"/>
          <w:b/>
          <w:bCs/>
          <w:color w:val="auto"/>
          <w:szCs w:val="21"/>
          <w:highlight w:val="none"/>
        </w:rPr>
        <w:t>E</w:t>
      </w:r>
      <w:r>
        <w:rPr>
          <w:rFonts w:hint="eastAsia" w:ascii="宋体" w:hAnsi="宋体" w:cs="宋体"/>
          <w:b/>
          <w:bCs/>
          <w:color w:val="auto"/>
          <w:szCs w:val="21"/>
          <w:highlight w:val="none"/>
        </w:rPr>
        <w:t>、大型机械进退场费已包含于全费用综合单价中，施工过程中的大型机械进退场一般情况下不予计量。</w:t>
      </w:r>
    </w:p>
    <w:p w14:paraId="41F1AB90">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ascii="宋体" w:hAnsi="宋体" w:cs="宋体"/>
          <w:b/>
          <w:bCs/>
          <w:color w:val="auto"/>
          <w:szCs w:val="21"/>
          <w:highlight w:val="none"/>
        </w:rPr>
        <w:t>F</w:t>
      </w:r>
      <w:r>
        <w:rPr>
          <w:rFonts w:hint="eastAsia" w:ascii="宋体" w:hAnsi="宋体" w:cs="宋体"/>
          <w:b/>
          <w:bCs/>
          <w:color w:val="auto"/>
          <w:szCs w:val="21"/>
          <w:highlight w:val="none"/>
        </w:rPr>
        <w:t>、</w:t>
      </w:r>
      <w:r>
        <w:rPr>
          <w:rFonts w:ascii="宋体" w:hAnsi="宋体" w:cs="宋体"/>
          <w:b/>
          <w:bCs/>
          <w:color w:val="auto"/>
          <w:szCs w:val="21"/>
          <w:highlight w:val="none"/>
        </w:rPr>
        <w:t>施工中需要清障、挪车所发生的费用</w:t>
      </w:r>
      <w:r>
        <w:rPr>
          <w:rFonts w:hint="eastAsia" w:ascii="宋体" w:hAnsi="宋体" w:cs="宋体"/>
          <w:b/>
          <w:bCs/>
          <w:color w:val="auto"/>
          <w:szCs w:val="21"/>
          <w:highlight w:val="none"/>
        </w:rPr>
        <w:t>已包含</w:t>
      </w:r>
      <w:r>
        <w:rPr>
          <w:rFonts w:ascii="宋体" w:hAnsi="宋体" w:cs="宋体"/>
          <w:b/>
          <w:bCs/>
          <w:color w:val="auto"/>
          <w:szCs w:val="21"/>
          <w:highlight w:val="none"/>
        </w:rPr>
        <w:t>在合同价中</w:t>
      </w:r>
      <w:r>
        <w:rPr>
          <w:rFonts w:hint="eastAsia" w:ascii="宋体" w:hAnsi="宋体" w:cs="宋体"/>
          <w:b/>
          <w:bCs/>
          <w:color w:val="auto"/>
          <w:szCs w:val="21"/>
          <w:highlight w:val="none"/>
        </w:rPr>
        <w:t>，</w:t>
      </w:r>
      <w:r>
        <w:rPr>
          <w:rFonts w:ascii="宋体" w:hAnsi="宋体" w:cs="宋体"/>
          <w:b/>
          <w:bCs/>
          <w:color w:val="auto"/>
          <w:szCs w:val="21"/>
          <w:highlight w:val="none"/>
        </w:rPr>
        <w:t>结算时不予</w:t>
      </w:r>
      <w:r>
        <w:rPr>
          <w:rFonts w:hint="eastAsia" w:ascii="宋体" w:hAnsi="宋体" w:cs="宋体"/>
          <w:b/>
          <w:bCs/>
          <w:color w:val="auto"/>
          <w:szCs w:val="21"/>
          <w:highlight w:val="none"/>
        </w:rPr>
        <w:t>计量。</w:t>
      </w:r>
    </w:p>
    <w:p w14:paraId="6081C29F">
      <w:pPr>
        <w:autoSpaceDE w:val="0"/>
        <w:autoSpaceDN w:val="0"/>
        <w:adjustRightInd w:val="0"/>
        <w:spacing w:line="400" w:lineRule="exact"/>
        <w:ind w:firstLine="420" w:firstLineChars="200"/>
        <w:jc w:val="left"/>
        <w:rPr>
          <w:rFonts w:hint="eastAsia" w:ascii="宋体" w:hAnsi="宋体" w:cs="宋体"/>
          <w:b/>
          <w:bCs/>
          <w:color w:val="auto"/>
          <w:szCs w:val="21"/>
          <w:highlight w:val="none"/>
        </w:rPr>
      </w:pPr>
      <w:r>
        <w:rPr>
          <w:rFonts w:ascii="宋体" w:hAnsi="宋体" w:cs="Calibri"/>
          <w:color w:val="auto"/>
          <w:szCs w:val="21"/>
          <w:highlight w:val="none"/>
        </w:rPr>
        <w:t>6.1.3</w:t>
      </w:r>
      <w:r>
        <w:rPr>
          <w:rFonts w:hint="eastAsia" w:ascii="宋体" w:hAnsi="宋体" w:cs="Calibri"/>
          <w:color w:val="auto"/>
          <w:szCs w:val="21"/>
          <w:highlight w:val="none"/>
          <w:lang w:val="en-US" w:eastAsia="zh-CN"/>
        </w:rPr>
        <w:t xml:space="preserve"> </w:t>
      </w:r>
      <w:r>
        <w:rPr>
          <w:rFonts w:hint="eastAsia" w:ascii="宋体" w:hAnsi="宋体" w:cs="宋体"/>
          <w:b/>
          <w:bCs/>
          <w:color w:val="auto"/>
          <w:szCs w:val="21"/>
          <w:highlight w:val="none"/>
        </w:rPr>
        <w:t>主要材料价格调整原则。</w:t>
      </w:r>
    </w:p>
    <w:p w14:paraId="15DD2EAF">
      <w:pPr>
        <w:autoSpaceDE w:val="0"/>
        <w:autoSpaceDN w:val="0"/>
        <w:adjustRightInd w:val="0"/>
        <w:spacing w:line="400" w:lineRule="exact"/>
        <w:ind w:firstLine="422" w:firstLineChars="200"/>
        <w:jc w:val="left"/>
        <w:rPr>
          <w:rFonts w:hint="eastAsia" w:ascii="宋体" w:hAnsi="宋体" w:cs="宋体"/>
          <w:b/>
          <w:bCs/>
          <w:color w:val="auto"/>
          <w:szCs w:val="21"/>
          <w:highlight w:val="none"/>
        </w:rPr>
      </w:pPr>
      <w:r>
        <w:rPr>
          <w:rFonts w:hint="eastAsia" w:ascii="宋体" w:hAnsi="宋体" w:cs="宋体"/>
          <w:b/>
          <w:bCs/>
          <w:color w:val="auto"/>
          <w:szCs w:val="21"/>
          <w:highlight w:val="none"/>
        </w:rPr>
        <w:t>（1）应予调整价格的建筑材料：</w:t>
      </w:r>
      <w:r>
        <w:rPr>
          <w:rFonts w:hint="eastAsia" w:ascii="宋体" w:hAnsi="宋体" w:cs="宋体"/>
          <w:b/>
          <w:bCs/>
          <w:color w:val="auto"/>
          <w:szCs w:val="21"/>
          <w:highlight w:val="none"/>
          <w:u w:val="single"/>
        </w:rPr>
        <w:t>沥青类</w:t>
      </w:r>
      <w:r>
        <w:rPr>
          <w:rFonts w:ascii="宋体" w:hAnsi="宋体" w:cs="宋体"/>
          <w:b/>
          <w:bCs/>
          <w:color w:val="auto"/>
          <w:szCs w:val="21"/>
          <w:highlight w:val="none"/>
          <w:u w:val="single"/>
        </w:rPr>
        <w:t>制品</w:t>
      </w:r>
      <w:r>
        <w:rPr>
          <w:rFonts w:hint="eastAsia" w:ascii="宋体" w:hAnsi="宋体" w:cs="宋体"/>
          <w:b/>
          <w:bCs/>
          <w:color w:val="auto"/>
          <w:szCs w:val="21"/>
          <w:highlight w:val="none"/>
          <w:u w:val="single"/>
        </w:rPr>
        <w:t>、商品混凝土、</w:t>
      </w:r>
      <w:r>
        <w:rPr>
          <w:rFonts w:ascii="宋体" w:hAnsi="宋体" w:cs="宋体"/>
          <w:b/>
          <w:bCs/>
          <w:color w:val="auto"/>
          <w:szCs w:val="21"/>
          <w:highlight w:val="none"/>
          <w:u w:val="single"/>
        </w:rPr>
        <w:t>水泥稳定碎石</w:t>
      </w:r>
      <w:r>
        <w:rPr>
          <w:rFonts w:hint="eastAsia" w:ascii="宋体" w:hAnsi="宋体" w:cs="宋体"/>
          <w:b/>
          <w:bCs/>
          <w:color w:val="auto"/>
          <w:szCs w:val="21"/>
          <w:highlight w:val="none"/>
        </w:rPr>
        <w:t>，施工期间应予调价材料价格的涨、跌幅度以本工程招标控制价（招标人</w:t>
      </w:r>
      <w:r>
        <w:rPr>
          <w:rFonts w:ascii="宋体" w:hAnsi="宋体" w:cs="宋体"/>
          <w:b/>
          <w:bCs/>
          <w:color w:val="auto"/>
          <w:szCs w:val="21"/>
          <w:highlight w:val="none"/>
        </w:rPr>
        <w:t>提供的已标价的工程量清单，具体详见第</w:t>
      </w:r>
      <w:r>
        <w:rPr>
          <w:rFonts w:hint="eastAsia" w:ascii="宋体" w:hAnsi="宋体" w:cs="宋体"/>
          <w:b/>
          <w:bCs/>
          <w:color w:val="auto"/>
          <w:szCs w:val="21"/>
          <w:highlight w:val="none"/>
        </w:rPr>
        <w:t>五章）所采用的20</w:t>
      </w:r>
      <w:r>
        <w:rPr>
          <w:rFonts w:ascii="宋体" w:hAnsi="宋体" w:cs="宋体"/>
          <w:b/>
          <w:bCs/>
          <w:color w:val="auto"/>
          <w:szCs w:val="21"/>
          <w:highlight w:val="none"/>
        </w:rPr>
        <w:t>2</w:t>
      </w:r>
      <w:r>
        <w:rPr>
          <w:rFonts w:hint="eastAsia" w:ascii="宋体" w:hAnsi="宋体" w:cs="宋体"/>
          <w:b/>
          <w:bCs/>
          <w:color w:val="auto"/>
          <w:szCs w:val="21"/>
          <w:highlight w:val="none"/>
          <w:lang w:val="en-US" w:eastAsia="zh-CN"/>
        </w:rPr>
        <w:t>5</w:t>
      </w:r>
      <w:r>
        <w:rPr>
          <w:rFonts w:hint="eastAsia" w:ascii="宋体" w:hAnsi="宋体" w:cs="宋体"/>
          <w:b/>
          <w:bCs/>
          <w:color w:val="auto"/>
          <w:szCs w:val="21"/>
          <w:highlight w:val="none"/>
        </w:rPr>
        <w:t>年第1期指导价格为基础，当工程施工期间建筑材料价格上涨或下降幅度在合同约定范围以内的，其差价由承包人承担或受益，上涨或下降幅度超过合同约定范围的部分由发包人承担或受益，本次约定波动范围为</w:t>
      </w:r>
      <w:r>
        <w:rPr>
          <w:rFonts w:hint="eastAsia" w:ascii="宋体" w:hAnsi="宋体" w:cs="宋体"/>
          <w:b/>
          <w:bCs/>
          <w:color w:val="auto"/>
          <w:szCs w:val="21"/>
          <w:highlight w:val="none"/>
          <w:u w:val="single"/>
        </w:rPr>
        <w:t xml:space="preserve"> 10%  </w:t>
      </w:r>
      <w:r>
        <w:rPr>
          <w:rFonts w:hint="eastAsia" w:ascii="宋体" w:hAnsi="宋体" w:cs="宋体"/>
          <w:b/>
          <w:bCs/>
          <w:color w:val="auto"/>
          <w:szCs w:val="21"/>
          <w:highlight w:val="none"/>
        </w:rPr>
        <w:t>。</w:t>
      </w:r>
    </w:p>
    <w:p w14:paraId="4023AD3E">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①上涨超出</w:t>
      </w:r>
      <w:r>
        <w:rPr>
          <w:rFonts w:ascii="宋体" w:hAnsi="宋体"/>
          <w:color w:val="auto"/>
          <w:szCs w:val="21"/>
          <w:highlight w:val="none"/>
        </w:rPr>
        <w:t>10</w:t>
      </w:r>
      <w:r>
        <w:rPr>
          <w:rFonts w:hint="eastAsia" w:ascii="宋体" w:hAnsi="宋体"/>
          <w:color w:val="auto"/>
          <w:szCs w:val="21"/>
          <w:highlight w:val="none"/>
        </w:rPr>
        <w:t>%时，差价（正值）=【施工期间可调价材料加权平均指导价格-基准日档期的月份指导价格×(1+</w:t>
      </w:r>
      <w:r>
        <w:rPr>
          <w:rFonts w:ascii="宋体" w:hAnsi="宋体"/>
          <w:color w:val="auto"/>
          <w:szCs w:val="21"/>
          <w:highlight w:val="none"/>
        </w:rPr>
        <w:t>10</w:t>
      </w:r>
      <w:r>
        <w:rPr>
          <w:rFonts w:hint="eastAsia" w:ascii="宋体" w:hAnsi="宋体"/>
          <w:color w:val="auto"/>
          <w:szCs w:val="21"/>
          <w:highlight w:val="none"/>
        </w:rPr>
        <w:t>%)）】×该类主要建筑材料数量；</w:t>
      </w:r>
    </w:p>
    <w:p w14:paraId="723D8DAA">
      <w:pPr>
        <w:spacing w:line="400" w:lineRule="exact"/>
        <w:ind w:firstLine="420" w:firstLineChars="200"/>
        <w:rPr>
          <w:rFonts w:hint="eastAsia" w:ascii="宋体" w:hAnsi="宋体"/>
          <w:color w:val="auto"/>
          <w:szCs w:val="21"/>
          <w:highlight w:val="none"/>
        </w:rPr>
      </w:pPr>
      <w:r>
        <w:rPr>
          <w:rFonts w:hint="eastAsia" w:ascii="宋体" w:hAnsi="宋体"/>
          <w:color w:val="auto"/>
          <w:szCs w:val="21"/>
          <w:highlight w:val="none"/>
        </w:rPr>
        <w:t>②下跌超出</w:t>
      </w:r>
      <w:r>
        <w:rPr>
          <w:rFonts w:ascii="宋体" w:hAnsi="宋体"/>
          <w:color w:val="auto"/>
          <w:szCs w:val="21"/>
          <w:highlight w:val="none"/>
        </w:rPr>
        <w:t>10</w:t>
      </w:r>
      <w:r>
        <w:rPr>
          <w:rFonts w:hint="eastAsia" w:ascii="宋体" w:hAnsi="宋体"/>
          <w:color w:val="auto"/>
          <w:szCs w:val="21"/>
          <w:highlight w:val="none"/>
        </w:rPr>
        <w:t>%时，差价（负值）=【施工期间可调价材料加权平均指导价格-基准日档期的月份指导价格×（1-</w:t>
      </w:r>
      <w:r>
        <w:rPr>
          <w:rFonts w:ascii="宋体" w:hAnsi="宋体"/>
          <w:color w:val="auto"/>
          <w:szCs w:val="21"/>
          <w:highlight w:val="none"/>
        </w:rPr>
        <w:t>10</w:t>
      </w:r>
      <w:r>
        <w:rPr>
          <w:rFonts w:hint="eastAsia" w:ascii="宋体" w:hAnsi="宋体"/>
          <w:color w:val="auto"/>
          <w:szCs w:val="21"/>
          <w:highlight w:val="none"/>
        </w:rPr>
        <w:t>%）】× 该类主要建筑材料数量。</w:t>
      </w:r>
    </w:p>
    <w:p w14:paraId="1E4CB15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（2）对于其余材料、人工价格、施工机械台班费一律不作调整，请投标人自行综合考虑投标</w:t>
      </w:r>
      <w:r>
        <w:rPr>
          <w:rFonts w:hint="eastAsia" w:ascii="宋体" w:hAnsi="宋体" w:cs="Calibri"/>
          <w:color w:val="auto"/>
          <w:szCs w:val="21"/>
          <w:highlight w:val="none"/>
          <w:lang w:val="en-US" w:eastAsia="zh-CN"/>
        </w:rPr>
        <w:t>报价</w:t>
      </w:r>
      <w:r>
        <w:rPr>
          <w:rFonts w:hint="eastAsia" w:ascii="宋体" w:hAnsi="宋体" w:cs="Calibri"/>
          <w:color w:val="auto"/>
          <w:szCs w:val="21"/>
          <w:highlight w:val="none"/>
        </w:rPr>
        <w:t>中。</w:t>
      </w:r>
    </w:p>
    <w:p w14:paraId="56C51E43">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 xml:space="preserve">6.2工程预付款 </w:t>
      </w:r>
    </w:p>
    <w:p w14:paraId="625A5F1F">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发包人向承包人预付的工程款的时间和金额：签订合同后发包人向承包人支付预付款，预付款金额为500万元*</w:t>
      </w:r>
      <w:r>
        <w:rPr>
          <w:rFonts w:hint="eastAsia" w:ascii="宋体" w:hAnsi="宋体" w:cs="Calibri"/>
          <w:color w:val="auto"/>
          <w:szCs w:val="21"/>
          <w:highlight w:val="none"/>
          <w:lang w:eastAsia="zh-CN"/>
        </w:rPr>
        <w:t>（</w:t>
      </w:r>
      <w:r>
        <w:rPr>
          <w:rFonts w:hint="eastAsia" w:ascii="宋体" w:hAnsi="宋体" w:cs="Calibri"/>
          <w:color w:val="auto"/>
          <w:szCs w:val="21"/>
          <w:highlight w:val="none"/>
          <w:lang w:val="en-US" w:eastAsia="zh-CN"/>
        </w:rPr>
        <w:t>1-</w:t>
      </w:r>
      <w:r>
        <w:rPr>
          <w:rFonts w:hint="eastAsia" w:ascii="宋体" w:hAnsi="宋体" w:cs="Calibri"/>
          <w:color w:val="auto"/>
          <w:szCs w:val="21"/>
          <w:highlight w:val="none"/>
        </w:rPr>
        <w:t>中标</w:t>
      </w:r>
      <w:r>
        <w:rPr>
          <w:rFonts w:hint="eastAsia" w:ascii="宋体" w:hAnsi="宋体" w:cs="Calibri"/>
          <w:color w:val="auto"/>
          <w:szCs w:val="21"/>
          <w:highlight w:val="none"/>
          <w:lang w:val="en-US" w:eastAsia="zh-CN"/>
        </w:rPr>
        <w:t>优惠率）</w:t>
      </w:r>
      <w:r>
        <w:rPr>
          <w:rFonts w:hint="eastAsia" w:ascii="宋体" w:hAnsi="宋体" w:cs="Calibri"/>
          <w:color w:val="auto"/>
          <w:szCs w:val="21"/>
          <w:highlight w:val="none"/>
        </w:rPr>
        <w:t>*10%。</w:t>
      </w:r>
    </w:p>
    <w:p w14:paraId="044F2B2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6.3计量原则与程序</w:t>
      </w:r>
    </w:p>
    <w:p w14:paraId="6585BC0B">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6.3.1根据发包人派发的任务单、</w:t>
      </w:r>
      <w:r>
        <w:rPr>
          <w:rFonts w:ascii="宋体" w:hAnsi="宋体" w:cs="Calibri"/>
          <w:b/>
          <w:color w:val="auto"/>
          <w:szCs w:val="21"/>
          <w:highlight w:val="none"/>
        </w:rPr>
        <w:t>工程量清单</w:t>
      </w:r>
      <w:r>
        <w:rPr>
          <w:rFonts w:hint="eastAsia" w:ascii="宋体" w:hAnsi="宋体" w:cs="Calibri"/>
          <w:b/>
          <w:color w:val="auto"/>
          <w:szCs w:val="21"/>
          <w:highlight w:val="none"/>
        </w:rPr>
        <w:t>中</w:t>
      </w:r>
      <w:r>
        <w:rPr>
          <w:rFonts w:ascii="宋体" w:hAnsi="宋体" w:cs="Calibri"/>
          <w:b/>
          <w:color w:val="auto"/>
          <w:szCs w:val="21"/>
          <w:highlight w:val="none"/>
        </w:rPr>
        <w:t>项目的特征描述</w:t>
      </w:r>
      <w:r>
        <w:rPr>
          <w:rFonts w:hint="eastAsia" w:ascii="宋体" w:hAnsi="宋体" w:cs="Calibri"/>
          <w:b/>
          <w:color w:val="auto"/>
          <w:szCs w:val="21"/>
          <w:highlight w:val="none"/>
        </w:rPr>
        <w:t>、</w:t>
      </w:r>
      <w:r>
        <w:rPr>
          <w:rFonts w:ascii="宋体" w:hAnsi="宋体" w:cs="Calibri"/>
          <w:b/>
          <w:color w:val="auto"/>
          <w:szCs w:val="21"/>
          <w:highlight w:val="none"/>
        </w:rPr>
        <w:t>计量单位，</w:t>
      </w:r>
      <w:r>
        <w:rPr>
          <w:rFonts w:hint="eastAsia" w:ascii="宋体" w:hAnsi="宋体" w:cs="Calibri"/>
          <w:b/>
          <w:color w:val="auto"/>
          <w:szCs w:val="21"/>
          <w:highlight w:val="none"/>
        </w:rPr>
        <w:t>对已完工并</w:t>
      </w:r>
      <w:r>
        <w:rPr>
          <w:rFonts w:ascii="宋体" w:hAnsi="宋体" w:cs="Calibri"/>
          <w:b/>
          <w:color w:val="auto"/>
          <w:szCs w:val="21"/>
          <w:highlight w:val="none"/>
        </w:rPr>
        <w:t>验收合格的工</w:t>
      </w:r>
      <w:r>
        <w:rPr>
          <w:rFonts w:hint="eastAsia" w:ascii="宋体" w:hAnsi="宋体" w:cs="Calibri"/>
          <w:b/>
          <w:color w:val="auto"/>
          <w:szCs w:val="21"/>
          <w:highlight w:val="none"/>
        </w:rPr>
        <w:t>程量进行计量，工程量应由监理工程师现场确认，</w:t>
      </w:r>
      <w:r>
        <w:rPr>
          <w:rFonts w:ascii="宋体" w:hAnsi="宋体" w:cs="Calibri"/>
          <w:b/>
          <w:color w:val="auto"/>
          <w:szCs w:val="21"/>
          <w:highlight w:val="none"/>
        </w:rPr>
        <w:t>并形成书面报告</w:t>
      </w:r>
      <w:r>
        <w:rPr>
          <w:rFonts w:hint="eastAsia" w:ascii="宋体" w:hAnsi="宋体" w:cs="Calibri"/>
          <w:b/>
          <w:color w:val="auto"/>
          <w:szCs w:val="21"/>
          <w:highlight w:val="none"/>
        </w:rPr>
        <w:t>。</w:t>
      </w:r>
    </w:p>
    <w:p w14:paraId="2BA0E12C">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6.3.2承包人在施工过程中必须收集齐全所有隐蔽项目（包含但不限于土方开挖外运、拆除、基层垫层面层的铺设及厚度测量、降水、回填处理、管道开挖安放、窨井开挖砌筑抹灰等）的施工全过程影像视频资料以供后期审计使用，在送审结算资料中必须一并提交。所有签证资料必须附详细影像彩色照片，所摄照片必须有可参照性并附有拍摄时间做为佐证。如隐蔽项目影像资料未能反映计量单、清单及其他结算资料列明的工作内容，则结算时该项内容不予认可。</w:t>
      </w:r>
    </w:p>
    <w:p w14:paraId="6B479C88">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6.4工程款支付</w:t>
      </w:r>
    </w:p>
    <w:p w14:paraId="0172DDD6">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6.4.1付款周期约定</w:t>
      </w:r>
    </w:p>
    <w:p w14:paraId="4107820A">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（1）设施巡查费用依据路段里程与考核结果按双月拨付，每次付款前须由发包人、承包人与监理单位对双月考核结果进行确认。</w:t>
      </w:r>
    </w:p>
    <w:p w14:paraId="16FA9B3B">
      <w:pPr>
        <w:spacing w:line="400" w:lineRule="exact"/>
        <w:ind w:firstLine="422" w:firstLineChars="200"/>
        <w:rPr>
          <w:rFonts w:hint="eastAsia" w:ascii="宋体" w:hAnsi="宋体" w:cs="Calibri"/>
          <w:b/>
          <w:bCs/>
          <w:color w:val="auto"/>
          <w:szCs w:val="21"/>
          <w:highlight w:val="none"/>
        </w:rPr>
      </w:pPr>
      <w:r>
        <w:rPr>
          <w:rFonts w:hint="eastAsia" w:ascii="宋体" w:hAnsi="宋体" w:cs="Calibri"/>
          <w:b/>
          <w:color w:val="auto"/>
          <w:szCs w:val="21"/>
          <w:highlight w:val="none"/>
        </w:rPr>
        <w:t>（2）设施养护维修项目</w:t>
      </w:r>
      <w:bookmarkStart w:id="24" w:name="_Hlk64287493"/>
      <w:r>
        <w:rPr>
          <w:rFonts w:hint="eastAsia" w:ascii="宋体" w:hAnsi="宋体" w:cs="Calibri"/>
          <w:b/>
          <w:color w:val="auto"/>
          <w:szCs w:val="21"/>
          <w:highlight w:val="none"/>
        </w:rPr>
        <w:t>按月审计结算，付款暂定每年4月、6月、8月、</w:t>
      </w:r>
      <w:r>
        <w:rPr>
          <w:rFonts w:ascii="宋体" w:hAnsi="宋体" w:cs="Calibri"/>
          <w:b/>
          <w:color w:val="auto"/>
          <w:szCs w:val="21"/>
          <w:highlight w:val="none"/>
        </w:rPr>
        <w:t>10</w:t>
      </w:r>
      <w:r>
        <w:rPr>
          <w:rFonts w:hint="eastAsia" w:ascii="宋体" w:hAnsi="宋体" w:cs="Calibri"/>
          <w:b/>
          <w:color w:val="auto"/>
          <w:szCs w:val="21"/>
          <w:highlight w:val="none"/>
        </w:rPr>
        <w:t>月、12月，并依据审计结果按比例拨付。承包人应于次月的前5个工作日（或发包人要求的期限）内将上个月</w:t>
      </w:r>
      <w:r>
        <w:rPr>
          <w:rFonts w:hint="eastAsia" w:ascii="宋体" w:hAnsi="宋体" w:cs="Calibri"/>
          <w:b/>
          <w:bCs/>
          <w:color w:val="auto"/>
          <w:szCs w:val="21"/>
          <w:highlight w:val="none"/>
        </w:rPr>
        <w:t>实施完成且验收合格的设施养护维修项目的结算书</w:t>
      </w:r>
      <w:bookmarkEnd w:id="24"/>
      <w:r>
        <w:rPr>
          <w:rFonts w:hint="eastAsia" w:ascii="宋体" w:hAnsi="宋体" w:cs="Calibri"/>
          <w:b/>
          <w:bCs/>
          <w:color w:val="auto"/>
          <w:szCs w:val="21"/>
          <w:highlight w:val="none"/>
        </w:rPr>
        <w:t>(含每项养护维修任务的指令单、江苏省建设工程监理现场用表B.</w:t>
      </w:r>
      <w:r>
        <w:rPr>
          <w:rFonts w:ascii="宋体" w:hAnsi="宋体" w:cs="Calibri"/>
          <w:b/>
          <w:bCs/>
          <w:color w:val="auto"/>
          <w:szCs w:val="21"/>
          <w:highlight w:val="none"/>
        </w:rPr>
        <w:t>2.1</w:t>
      </w:r>
      <w:r>
        <w:rPr>
          <w:rFonts w:hint="eastAsia" w:ascii="宋体" w:hAnsi="宋体" w:cs="Calibri"/>
          <w:b/>
          <w:bCs/>
          <w:color w:val="auto"/>
          <w:szCs w:val="21"/>
          <w:highlight w:val="none"/>
        </w:rPr>
        <w:t>、结算</w:t>
      </w:r>
      <w:r>
        <w:rPr>
          <w:rFonts w:ascii="宋体" w:hAnsi="宋体" w:cs="Calibri"/>
          <w:b/>
          <w:bCs/>
          <w:color w:val="auto"/>
          <w:szCs w:val="21"/>
          <w:highlight w:val="none"/>
        </w:rPr>
        <w:t>书</w:t>
      </w:r>
      <w:r>
        <w:rPr>
          <w:rFonts w:hint="eastAsia" w:ascii="宋体" w:hAnsi="宋体" w:cs="Calibri"/>
          <w:b/>
          <w:bCs/>
          <w:color w:val="auto"/>
          <w:szCs w:val="21"/>
          <w:highlight w:val="none"/>
        </w:rPr>
        <w:t>、结算文件</w:t>
      </w:r>
      <w:r>
        <w:rPr>
          <w:rFonts w:ascii="宋体" w:hAnsi="宋体" w:cs="Calibri"/>
          <w:b/>
          <w:bCs/>
          <w:color w:val="auto"/>
          <w:szCs w:val="21"/>
          <w:highlight w:val="none"/>
        </w:rPr>
        <w:t>软件版、</w:t>
      </w:r>
      <w:r>
        <w:rPr>
          <w:rFonts w:hint="eastAsia" w:ascii="宋体" w:hAnsi="宋体" w:cs="Calibri"/>
          <w:b/>
          <w:bCs/>
          <w:color w:val="auto"/>
          <w:szCs w:val="21"/>
          <w:highlight w:val="none"/>
        </w:rPr>
        <w:t>竣工图、工程技术资料、影像资料、</w:t>
      </w:r>
      <w:bookmarkStart w:id="25" w:name="_Hlk64406206"/>
      <w:r>
        <w:rPr>
          <w:rFonts w:hint="eastAsia" w:ascii="宋体" w:hAnsi="宋体" w:cs="Calibri"/>
          <w:b/>
          <w:bCs/>
          <w:color w:val="auto"/>
          <w:szCs w:val="21"/>
          <w:highlight w:val="none"/>
        </w:rPr>
        <w:t>当月设施养护维修考核结果</w:t>
      </w:r>
      <w:bookmarkEnd w:id="25"/>
      <w:r>
        <w:rPr>
          <w:rFonts w:hint="eastAsia" w:ascii="宋体" w:hAnsi="宋体" w:cs="Calibri"/>
          <w:b/>
          <w:bCs/>
          <w:color w:val="auto"/>
          <w:szCs w:val="21"/>
          <w:highlight w:val="none"/>
        </w:rPr>
        <w:t>等，电子资料一套、纸质资料三套）报监理单位审核，监理单位审核后送发包人委托的第三方审计机构审核，待审计机构出具审计报告后付至审计价的90%；余款待服务期满后一年且所有的设施养护维修项目结算审计完成后一并拨付。</w:t>
      </w:r>
    </w:p>
    <w:p w14:paraId="60579B2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（3）其他约定：</w:t>
      </w:r>
    </w:p>
    <w:p w14:paraId="4346379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①承包人不得因拖欠材料商、分包商等工程款而影响工程进度和质量，否则承包人除承担违约责任外，还需承担发包人对其罚款，金额为拖欠款的20%。</w:t>
      </w:r>
    </w:p>
    <w:p w14:paraId="6B3F326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②发包人有权直接扣除按合同规定对承包人的各项违约金或罚金，并以工程联系单的形式发放给承包人。</w:t>
      </w:r>
    </w:p>
    <w:p w14:paraId="5A87A76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③所有工程付款发包人必须提供齐全的资料且必须经总监理工程师和发包方项目负责人签发付款证书后发包人才予以支付。</w:t>
      </w:r>
    </w:p>
    <w:p w14:paraId="0DCA1461">
      <w:pPr>
        <w:pStyle w:val="43"/>
        <w:rPr>
          <w:rFonts w:hint="eastAsia" w:ascii="宋体" w:hAnsi="宋体" w:cs="Calibri" w:eastAsiaTheme="minorEastAsia"/>
          <w:color w:val="auto"/>
          <w:kern w:val="2"/>
          <w:sz w:val="21"/>
          <w:szCs w:val="21"/>
          <w:highlight w:val="none"/>
          <w:lang w:val="en-US" w:eastAsia="zh-CN" w:bidi="ar-SA"/>
        </w:rPr>
      </w:pPr>
      <w:r>
        <w:rPr>
          <w:rFonts w:hint="eastAsia" w:ascii="宋体" w:hAnsi="宋体" w:cs="Calibri" w:eastAsiaTheme="minorEastAsia"/>
          <w:color w:val="auto"/>
          <w:kern w:val="2"/>
          <w:sz w:val="21"/>
          <w:szCs w:val="21"/>
          <w:highlight w:val="none"/>
          <w:lang w:val="en-US" w:eastAsia="zh-CN" w:bidi="ar-SA"/>
        </w:rPr>
        <w:fldChar w:fldCharType="begin"/>
      </w:r>
      <w:r>
        <w:rPr>
          <w:rFonts w:hint="eastAsia" w:ascii="宋体" w:hAnsi="宋体" w:cs="Calibri" w:eastAsiaTheme="minorEastAsia"/>
          <w:color w:val="auto"/>
          <w:kern w:val="2"/>
          <w:sz w:val="21"/>
          <w:szCs w:val="21"/>
          <w:highlight w:val="none"/>
          <w:lang w:val="en-US" w:eastAsia="zh-CN" w:bidi="ar-SA"/>
        </w:rPr>
        <w:instrText xml:space="preserve"> = 4 \* GB3 \* MERGEFORMAT </w:instrText>
      </w:r>
      <w:r>
        <w:rPr>
          <w:rFonts w:hint="eastAsia" w:ascii="宋体" w:hAnsi="宋体" w:cs="Calibri" w:eastAsiaTheme="minorEastAsia"/>
          <w:color w:val="auto"/>
          <w:kern w:val="2"/>
          <w:sz w:val="21"/>
          <w:szCs w:val="21"/>
          <w:highlight w:val="none"/>
          <w:lang w:val="en-US" w:eastAsia="zh-CN" w:bidi="ar-SA"/>
        </w:rPr>
        <w:fldChar w:fldCharType="separate"/>
      </w:r>
      <w:r>
        <w:rPr>
          <w:rFonts w:hint="eastAsia" w:ascii="宋体" w:hAnsi="宋体" w:cs="Calibri" w:eastAsiaTheme="minorEastAsia"/>
          <w:color w:val="auto"/>
          <w:kern w:val="2"/>
          <w:sz w:val="21"/>
          <w:szCs w:val="21"/>
          <w:highlight w:val="none"/>
          <w:lang w:val="en-US" w:eastAsia="zh-CN" w:bidi="ar-SA"/>
        </w:rPr>
        <w:t>④</w:t>
      </w:r>
      <w:r>
        <w:rPr>
          <w:rFonts w:hint="eastAsia" w:ascii="宋体" w:hAnsi="宋体" w:cs="Calibri" w:eastAsiaTheme="minorEastAsia"/>
          <w:color w:val="auto"/>
          <w:kern w:val="2"/>
          <w:sz w:val="21"/>
          <w:szCs w:val="21"/>
          <w:highlight w:val="none"/>
          <w:lang w:val="en-US" w:eastAsia="zh-CN" w:bidi="ar-SA"/>
        </w:rPr>
        <w:fldChar w:fldCharType="end"/>
      </w:r>
      <w:r>
        <w:rPr>
          <w:rFonts w:hint="eastAsia" w:ascii="宋体" w:hAnsi="宋体" w:cs="Calibri" w:eastAsiaTheme="minorEastAsia"/>
          <w:color w:val="auto"/>
          <w:kern w:val="2"/>
          <w:sz w:val="21"/>
          <w:szCs w:val="21"/>
          <w:highlight w:val="none"/>
          <w:lang w:val="en-US" w:eastAsia="zh-CN" w:bidi="ar-SA"/>
        </w:rPr>
        <w:t>工程款支付时，乙方应</w:t>
      </w:r>
      <w:r>
        <w:rPr>
          <w:rFonts w:hint="eastAsia" w:ascii="宋体" w:cs="Calibri" w:eastAsiaTheme="minorEastAsia"/>
          <w:color w:val="auto"/>
          <w:kern w:val="2"/>
          <w:sz w:val="21"/>
          <w:szCs w:val="21"/>
          <w:highlight w:val="none"/>
          <w:lang w:val="en-US" w:eastAsia="zh-CN" w:bidi="ar-SA"/>
        </w:rPr>
        <w:t>开具</w:t>
      </w:r>
      <w:r>
        <w:rPr>
          <w:rFonts w:hint="eastAsia" w:ascii="宋体" w:hAnsi="宋体" w:cs="Calibri" w:eastAsiaTheme="minorEastAsia"/>
          <w:color w:val="auto"/>
          <w:kern w:val="2"/>
          <w:sz w:val="21"/>
          <w:szCs w:val="21"/>
          <w:highlight w:val="none"/>
          <w:lang w:val="en-US" w:eastAsia="zh-CN" w:bidi="ar-SA"/>
        </w:rPr>
        <w:t>崇川区税务主管部门认可的增值税发票</w:t>
      </w:r>
      <w:r>
        <w:rPr>
          <w:rFonts w:hint="eastAsia" w:ascii="宋体" w:cs="Calibri" w:eastAsiaTheme="minorEastAsia"/>
          <w:color w:val="auto"/>
          <w:kern w:val="2"/>
          <w:sz w:val="21"/>
          <w:szCs w:val="21"/>
          <w:highlight w:val="none"/>
          <w:lang w:val="en-US" w:eastAsia="zh-CN" w:bidi="ar-SA"/>
        </w:rPr>
        <w:t>提供给甲方</w:t>
      </w:r>
      <w:r>
        <w:rPr>
          <w:rFonts w:hint="eastAsia" w:ascii="宋体" w:hAnsi="宋体" w:cs="Calibri" w:eastAsiaTheme="minorEastAsia"/>
          <w:color w:val="auto"/>
          <w:kern w:val="2"/>
          <w:sz w:val="21"/>
          <w:szCs w:val="21"/>
          <w:highlight w:val="none"/>
          <w:lang w:val="en-US" w:eastAsia="zh-CN" w:bidi="ar-SA"/>
        </w:rPr>
        <w:t>。</w:t>
      </w:r>
    </w:p>
    <w:p w14:paraId="7BB4129E">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6.4.2结算审计约定</w:t>
      </w:r>
    </w:p>
    <w:p w14:paraId="4988BC7D">
      <w:pPr>
        <w:numPr>
          <w:ilvl w:val="0"/>
          <w:numId w:val="4"/>
        </w:numPr>
        <w:spacing w:line="400" w:lineRule="exact"/>
        <w:ind w:firstLine="420" w:firstLineChars="200"/>
        <w:rPr>
          <w:rFonts w:hint="eastAsia" w:ascii="宋体" w:hAnsi="宋体" w:cs="Calibri"/>
          <w:b/>
          <w:bCs/>
          <w:color w:val="auto"/>
          <w:szCs w:val="21"/>
          <w:highlight w:val="none"/>
        </w:rPr>
      </w:pPr>
      <w:r>
        <w:rPr>
          <w:rFonts w:hint="eastAsia" w:ascii="宋体" w:hAnsi="宋体" w:cs="Calibri"/>
          <w:color w:val="auto"/>
          <w:szCs w:val="21"/>
          <w:highlight w:val="none"/>
        </w:rPr>
        <w:t>本项目按月按实结算审计，</w:t>
      </w:r>
      <w:r>
        <w:rPr>
          <w:rFonts w:hint="eastAsia" w:ascii="宋体" w:hAnsi="宋体" w:cs="Calibri"/>
          <w:b/>
          <w:color w:val="auto"/>
          <w:szCs w:val="21"/>
          <w:highlight w:val="none"/>
        </w:rPr>
        <w:t>承包人应于次月前5个工作日（或发包人要求的期限）内将上个月</w:t>
      </w:r>
      <w:r>
        <w:rPr>
          <w:rFonts w:hint="eastAsia" w:ascii="宋体" w:hAnsi="宋体" w:cs="Calibri"/>
          <w:b/>
          <w:bCs/>
          <w:color w:val="auto"/>
          <w:szCs w:val="21"/>
          <w:highlight w:val="none"/>
        </w:rPr>
        <w:t>实施完成且验收合格的养护维修项目的结算资料</w:t>
      </w:r>
      <w:bookmarkStart w:id="26" w:name="_Hlk64288031"/>
      <w:r>
        <w:rPr>
          <w:rFonts w:hint="eastAsia" w:ascii="宋体" w:hAnsi="宋体" w:cs="Calibri"/>
          <w:b/>
          <w:bCs/>
          <w:color w:val="auto"/>
          <w:szCs w:val="21"/>
          <w:highlight w:val="none"/>
        </w:rPr>
        <w:t>(含每项养护维修任务的指令单、江苏省建设工程监理现场用表B.</w:t>
      </w:r>
      <w:r>
        <w:rPr>
          <w:rFonts w:ascii="宋体" w:hAnsi="宋体" w:cs="Calibri"/>
          <w:b/>
          <w:bCs/>
          <w:color w:val="auto"/>
          <w:szCs w:val="21"/>
          <w:highlight w:val="none"/>
        </w:rPr>
        <w:t>2.1</w:t>
      </w:r>
      <w:r>
        <w:rPr>
          <w:rFonts w:hint="eastAsia" w:ascii="宋体" w:hAnsi="宋体" w:cs="Calibri"/>
          <w:b/>
          <w:bCs/>
          <w:color w:val="auto"/>
          <w:szCs w:val="21"/>
          <w:highlight w:val="none"/>
        </w:rPr>
        <w:t>、结算</w:t>
      </w:r>
      <w:r>
        <w:rPr>
          <w:rFonts w:ascii="宋体" w:hAnsi="宋体" w:cs="Calibri"/>
          <w:b/>
          <w:bCs/>
          <w:color w:val="auto"/>
          <w:szCs w:val="21"/>
          <w:highlight w:val="none"/>
        </w:rPr>
        <w:t>书</w:t>
      </w:r>
      <w:r>
        <w:rPr>
          <w:rFonts w:hint="eastAsia" w:ascii="宋体" w:hAnsi="宋体" w:cs="Calibri"/>
          <w:b/>
          <w:bCs/>
          <w:color w:val="auto"/>
          <w:szCs w:val="21"/>
          <w:highlight w:val="none"/>
        </w:rPr>
        <w:t>、结算文件</w:t>
      </w:r>
      <w:r>
        <w:rPr>
          <w:rFonts w:ascii="宋体" w:hAnsi="宋体" w:cs="Calibri"/>
          <w:b/>
          <w:bCs/>
          <w:color w:val="auto"/>
          <w:szCs w:val="21"/>
          <w:highlight w:val="none"/>
        </w:rPr>
        <w:t>软件版、</w:t>
      </w:r>
      <w:r>
        <w:rPr>
          <w:rFonts w:hint="eastAsia" w:ascii="宋体" w:hAnsi="宋体" w:cs="Calibri"/>
          <w:b/>
          <w:bCs/>
          <w:color w:val="auto"/>
          <w:szCs w:val="21"/>
          <w:highlight w:val="none"/>
        </w:rPr>
        <w:t>竣工图、工程技术资料、影像资料、当月设施养护维修考核结果等，电子资料一套、纸质资料三套）报监理单位审核，监理单位审核后送发包人委托的第三方审计机构审核。</w:t>
      </w:r>
      <w:bookmarkEnd w:id="26"/>
    </w:p>
    <w:p w14:paraId="2D87C62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hAnsi="宋体" w:cs="宋体"/>
          <w:color w:val="auto"/>
          <w:szCs w:val="21"/>
          <w:highlight w:val="none"/>
          <w:lang w:val="zh-CN"/>
        </w:rPr>
      </w:pPr>
      <w:r>
        <w:rPr>
          <w:rFonts w:hint="eastAsia" w:ascii="宋体" w:hAnsi="宋体" w:cs="Calibri"/>
          <w:color w:val="auto"/>
          <w:szCs w:val="21"/>
          <w:highlight w:val="none"/>
        </w:rPr>
        <w:t>（2）</w:t>
      </w:r>
      <w:r>
        <w:rPr>
          <w:rFonts w:hint="eastAsia" w:hAnsi="宋体" w:cs="宋体"/>
          <w:color w:val="auto"/>
          <w:szCs w:val="21"/>
          <w:highlight w:val="none"/>
          <w:lang w:val="zh-CN"/>
        </w:rPr>
        <w:t>承包人未能在发包人要求的期限内将结算资料报监理单位审核的，按5</w:t>
      </w:r>
      <w:r>
        <w:rPr>
          <w:rFonts w:hAnsi="宋体" w:cs="宋体"/>
          <w:color w:val="auto"/>
          <w:szCs w:val="21"/>
          <w:highlight w:val="none"/>
          <w:lang w:val="zh-CN"/>
        </w:rPr>
        <w:t>00</w:t>
      </w:r>
      <w:r>
        <w:rPr>
          <w:rFonts w:hint="eastAsia" w:hAnsi="宋体" w:cs="宋体"/>
          <w:color w:val="auto"/>
          <w:szCs w:val="21"/>
          <w:highlight w:val="none"/>
          <w:lang w:val="zh-CN"/>
        </w:rPr>
        <w:t>元/天（日历天）在结算中扣除。</w:t>
      </w:r>
    </w:p>
    <w:p w14:paraId="7EB26CC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cs="Calibri"/>
          <w:color w:val="auto"/>
          <w:szCs w:val="21"/>
          <w:highlight w:val="none"/>
        </w:rPr>
      </w:pPr>
      <w:r>
        <w:rPr>
          <w:rFonts w:hint="eastAsia" w:ascii="宋体" w:hAnsi="宋体" w:cs="Calibri"/>
          <w:color w:val="auto"/>
          <w:szCs w:val="21"/>
          <w:highlight w:val="none"/>
        </w:rPr>
        <w:t>（3）</w:t>
      </w:r>
      <w:r>
        <w:rPr>
          <w:rFonts w:hint="eastAsia" w:ascii="宋体" w:hAnsi="宋体" w:cs="Calibri"/>
          <w:b/>
          <w:bCs/>
          <w:color w:val="auto"/>
          <w:szCs w:val="21"/>
          <w:highlight w:val="none"/>
        </w:rPr>
        <w:t>承包人应如实报送工程结算，如经发包人委托的第三方审计机构审核后，核减</w:t>
      </w:r>
      <w:r>
        <w:rPr>
          <w:rFonts w:ascii="宋体" w:hAnsi="宋体" w:cs="Calibri"/>
          <w:b/>
          <w:bCs/>
          <w:color w:val="auto"/>
          <w:szCs w:val="21"/>
          <w:highlight w:val="none"/>
        </w:rPr>
        <w:t>金额</w:t>
      </w:r>
      <w:r>
        <w:rPr>
          <w:rFonts w:hint="eastAsia" w:ascii="宋体" w:hAnsi="宋体" w:cs="Calibri"/>
          <w:b/>
          <w:bCs/>
          <w:color w:val="auto"/>
          <w:szCs w:val="21"/>
          <w:highlight w:val="none"/>
        </w:rPr>
        <w:t>超过监理审核价5%（不含5%）的，超额</w:t>
      </w:r>
      <w:r>
        <w:rPr>
          <w:rFonts w:ascii="宋体" w:hAnsi="宋体" w:cs="Calibri"/>
          <w:b/>
          <w:bCs/>
          <w:color w:val="auto"/>
          <w:szCs w:val="21"/>
          <w:highlight w:val="none"/>
        </w:rPr>
        <w:t>审计费</w:t>
      </w:r>
      <w:r>
        <w:rPr>
          <w:rFonts w:hint="eastAsia" w:ascii="宋体" w:hAnsi="宋体" w:cs="Calibri"/>
          <w:b/>
          <w:bCs/>
          <w:color w:val="auto"/>
          <w:szCs w:val="21"/>
          <w:highlight w:val="none"/>
        </w:rPr>
        <w:t>由承包人承担。</w:t>
      </w:r>
    </w:p>
    <w:p w14:paraId="49236664">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7.安全文明施工</w:t>
      </w:r>
    </w:p>
    <w:p w14:paraId="51D0B3A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7.1安全生产责任</w:t>
      </w:r>
    </w:p>
    <w:p w14:paraId="38259687">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7.1.1承包人应贯彻“安全第一、预防为主、综合治理”的方针，严格按《建设工程安全生产管理条例》等法律、法规的要求，建立、健全安全生产责任制度和安全生产教育培训制度，采取安全措施保障施工安全。</w:t>
      </w:r>
    </w:p>
    <w:p w14:paraId="2FAB4EE1">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7.1.2承包人须对本合同范围内所有施工范围和施工人员负全部安全施工责任。承包人应做好施工现场一切安全防护工作，杜绝安全隐患。在合同期限内因承包人施工安全防护措施不力，造成发生安全事故（包括第三方伤害），承包人承担一切责任，发包人概不负责。如因安全事故给发包人造成损失的，承包人应按实给予赔偿。</w:t>
      </w:r>
    </w:p>
    <w:p w14:paraId="6C554180">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7.1.3承包人对因工程施工可能造成损害的毗邻建筑物、构筑物和地下管线等，应当采取专项防护措施。承包人应当遵守有关环境保护法律、法规的规定，在施工现场采取措施，防止或减少粉尘、废气、废水、固体废物、噪声、振动和施工照明对人和环境的危害和污染。</w:t>
      </w:r>
    </w:p>
    <w:p w14:paraId="4CF4AE9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7.1.4承包人必须建立完善的消防管理制度，并有专人负责现场的消防管理，施工现场须配备足够的消防器材，满足消防要求。承包人应当在施工现场建立消防安全责任制，确定消防安全责任人，制定用火、用电，使用易燃易爆材料等各项消防安全管理制度和操作规程，设置消防通道、消防水源，配备消防设施和灭火器材，并在施工现场设置明显标志。</w:t>
      </w:r>
    </w:p>
    <w:p w14:paraId="24A9431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7.2安全生产目标及相应事项的约定</w:t>
      </w:r>
    </w:p>
    <w:p w14:paraId="599D4F3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7.2.1承包人施工组织设计中必须编制专项安全技术措施和施工现场临时用电方案。承包人应严格执行《危险性较大的分部分项工程安全管理办法》（建质[2009]87 号）及《南通市市本级城建工程安全文明施工管理办法（试行）》（通城建指[2011]6 号）。</w:t>
      </w:r>
    </w:p>
    <w:p w14:paraId="6417264C">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7.2.2承包人在工地现场必须配备专职安全员，安全员应当经建设局或者其他有关部门考核合格后方可任职。</w:t>
      </w:r>
    </w:p>
    <w:p w14:paraId="341979FC">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7.2.3工程施工前，承包人负责项目管理的技术人员应当对有关安全施工的技术要求向施工作业班组、作业人员作出书面交底及详细说明，并由双方签字确认。</w:t>
      </w:r>
    </w:p>
    <w:p w14:paraId="631C136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7.2.4承包人使用的安全防护用具、机械设备、施工机具及配件，应当具有生产（制造）许可证、产品合格证，并在进入施工现场前进行查验，经监理工程师审查签字确认后方可使用。</w:t>
      </w:r>
    </w:p>
    <w:p w14:paraId="4FB9743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7.2.5特种作业人员，必须按照国家有关规定经过专门的安全作业培训，并取得特种作业操作资格证书后，方可上岗作业。</w:t>
      </w:r>
    </w:p>
    <w:p w14:paraId="6678058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7.2.6在整个工程施工期间，承包人应在施工现场设立如下安全措施，并在完工交付后撤除：</w:t>
      </w:r>
    </w:p>
    <w:p w14:paraId="7F27DD87">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（1）为确保工程安全施工须设立足够的标志、指示牌、警示牌等；</w:t>
      </w:r>
    </w:p>
    <w:p w14:paraId="7C9A3043">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（2）所有机械设备包括各类电动工具的安全保护和接地装置和操作说明；</w:t>
      </w:r>
    </w:p>
    <w:p w14:paraId="4380632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（3）施工洞口、施工工作面等，必须进行“洞口临边”防护并做好安全标志（包括夜间信号灯），防止行人、行车造成安全事故发生。</w:t>
      </w:r>
    </w:p>
    <w:p w14:paraId="059479F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7.2.7承包人应为现场施工人员配备必需的安全防护设施和设备，施工人员必须穿戴统一印有“市政维修”字样的马夹和安全帽。</w:t>
      </w:r>
    </w:p>
    <w:p w14:paraId="464E1E14">
      <w:pPr>
        <w:spacing w:line="400" w:lineRule="exact"/>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7.3承包人</w:t>
      </w:r>
      <w:r>
        <w:rPr>
          <w:rFonts w:ascii="宋体" w:hAnsi="宋体" w:cs="Calibri"/>
          <w:b/>
          <w:color w:val="auto"/>
          <w:szCs w:val="21"/>
          <w:highlight w:val="none"/>
        </w:rPr>
        <w:t>还应按</w:t>
      </w:r>
      <w:r>
        <w:rPr>
          <w:rFonts w:hint="eastAsia" w:ascii="宋体" w:hAnsi="宋体" w:cs="Calibri"/>
          <w:b/>
          <w:color w:val="auto"/>
          <w:szCs w:val="21"/>
          <w:highlight w:val="none"/>
        </w:rPr>
        <w:t>《城市道路养护维修作业安全防护设施技术规程》要求</w:t>
      </w:r>
      <w:r>
        <w:rPr>
          <w:rFonts w:ascii="宋体" w:hAnsi="宋体" w:cs="Calibri"/>
          <w:b/>
          <w:color w:val="auto"/>
          <w:szCs w:val="21"/>
          <w:highlight w:val="none"/>
        </w:rPr>
        <w:t>实施养护作业</w:t>
      </w:r>
      <w:r>
        <w:rPr>
          <w:rFonts w:hint="eastAsia" w:ascii="宋体" w:hAnsi="宋体" w:cs="Calibri"/>
          <w:b/>
          <w:color w:val="auto"/>
          <w:szCs w:val="21"/>
          <w:highlight w:val="none"/>
        </w:rPr>
        <w:t>，详见</w:t>
      </w:r>
      <w:r>
        <w:rPr>
          <w:rFonts w:ascii="宋体" w:hAnsi="宋体" w:cs="Calibri"/>
          <w:b/>
          <w:color w:val="auto"/>
          <w:szCs w:val="21"/>
          <w:highlight w:val="none"/>
        </w:rPr>
        <w:t>附件4</w:t>
      </w:r>
      <w:r>
        <w:rPr>
          <w:rFonts w:hint="eastAsia" w:ascii="宋体" w:hAnsi="宋体" w:cs="Calibri"/>
          <w:b/>
          <w:color w:val="auto"/>
          <w:szCs w:val="21"/>
          <w:highlight w:val="none"/>
        </w:rPr>
        <w:t>。</w:t>
      </w:r>
    </w:p>
    <w:p w14:paraId="542E8D45">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w:t>
      </w:r>
      <w:r>
        <w:rPr>
          <w:rFonts w:ascii="宋体" w:hAnsi="宋体" w:cs="Calibri"/>
          <w:color w:val="auto"/>
          <w:szCs w:val="21"/>
          <w:highlight w:val="none"/>
        </w:rPr>
        <w:t>4</w:t>
      </w:r>
      <w:r>
        <w:rPr>
          <w:rFonts w:hint="eastAsia" w:ascii="宋体" w:hAnsi="宋体" w:cs="Calibri"/>
          <w:color w:val="auto"/>
          <w:szCs w:val="21"/>
          <w:highlight w:val="none"/>
        </w:rPr>
        <w:t>文明施工约定</w:t>
      </w:r>
    </w:p>
    <w:p w14:paraId="31EFD43F">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w:t>
      </w:r>
      <w:r>
        <w:rPr>
          <w:rFonts w:ascii="宋体" w:hAnsi="宋体" w:cs="Calibri"/>
          <w:color w:val="auto"/>
          <w:szCs w:val="21"/>
          <w:highlight w:val="none"/>
        </w:rPr>
        <w:t>4</w:t>
      </w:r>
      <w:r>
        <w:rPr>
          <w:rFonts w:hint="eastAsia" w:ascii="宋体" w:hAnsi="宋体" w:cs="Calibri"/>
          <w:color w:val="auto"/>
          <w:szCs w:val="21"/>
          <w:highlight w:val="none"/>
        </w:rPr>
        <w:t>.1承包人应遵守国家和工程所在地有关法规、规范、规程和标准的规定，履行文明施工义务，确保文明施工和安全。</w:t>
      </w:r>
    </w:p>
    <w:p w14:paraId="2E2F0C8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w:t>
      </w:r>
      <w:r>
        <w:rPr>
          <w:rFonts w:ascii="宋体" w:hAnsi="宋体" w:cs="Calibri"/>
          <w:color w:val="auto"/>
          <w:szCs w:val="21"/>
          <w:highlight w:val="none"/>
        </w:rPr>
        <w:t>4</w:t>
      </w:r>
      <w:r>
        <w:rPr>
          <w:rFonts w:hint="eastAsia" w:ascii="宋体" w:hAnsi="宋体" w:cs="Calibri"/>
          <w:color w:val="auto"/>
          <w:szCs w:val="21"/>
          <w:highlight w:val="none"/>
        </w:rPr>
        <w:t>.2承包人必须按文明工地要求，做好场地清理及相关工作，配合发包人创文创卫等文明检查工作并承担相关费用。</w:t>
      </w:r>
    </w:p>
    <w:p w14:paraId="046F26D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w:t>
      </w:r>
      <w:r>
        <w:rPr>
          <w:rFonts w:ascii="宋体" w:hAnsi="宋体" w:cs="Calibri"/>
          <w:color w:val="auto"/>
          <w:szCs w:val="21"/>
          <w:highlight w:val="none"/>
        </w:rPr>
        <w:t>4</w:t>
      </w:r>
      <w:r>
        <w:rPr>
          <w:rFonts w:hint="eastAsia" w:ascii="宋体" w:hAnsi="宋体" w:cs="Calibri"/>
          <w:color w:val="auto"/>
          <w:szCs w:val="21"/>
          <w:highlight w:val="none"/>
        </w:rPr>
        <w:t>.3承包人必须服从发包人现场的统一管理和协调，做到文明施工。施工现场要设立标语、标牌，做到文明施工，树立企业形象，主动接受社会监督和有关部门的管理。</w:t>
      </w:r>
    </w:p>
    <w:p w14:paraId="5BD65E3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w:t>
      </w:r>
      <w:r>
        <w:rPr>
          <w:rFonts w:ascii="宋体" w:hAnsi="宋体" w:cs="Calibri"/>
          <w:color w:val="auto"/>
          <w:szCs w:val="21"/>
          <w:highlight w:val="none"/>
        </w:rPr>
        <w:t>4</w:t>
      </w:r>
      <w:r>
        <w:rPr>
          <w:rFonts w:hint="eastAsia" w:ascii="宋体" w:hAnsi="宋体" w:cs="Calibri"/>
          <w:color w:val="auto"/>
          <w:szCs w:val="21"/>
          <w:highlight w:val="none"/>
        </w:rPr>
        <w:t>.4承包人应当规范现场施工秩序，实行标准化管理：</w:t>
      </w:r>
    </w:p>
    <w:p w14:paraId="42B6688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（1）承包人的施工场地（现场）必须干净整洁、做到无淤泥、无杂物，材料堆放整齐；</w:t>
      </w:r>
    </w:p>
    <w:p w14:paraId="77E07A6C">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（2）严格遵守“工完、料尽、场地净”的原则，不留垃圾、不留剩余施工材料和施工机具；</w:t>
      </w:r>
    </w:p>
    <w:p w14:paraId="3677AA0D">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（3）材料进入现场应按指定位置堆放整齐，不得影响交通车辆和行人通道。材料堆放场地应有专职的管理人员。</w:t>
      </w:r>
    </w:p>
    <w:p w14:paraId="2BFF04F6">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7.</w:t>
      </w:r>
      <w:r>
        <w:rPr>
          <w:rFonts w:ascii="宋体" w:hAnsi="宋体" w:cs="Calibri"/>
          <w:color w:val="auto"/>
          <w:szCs w:val="21"/>
          <w:highlight w:val="none"/>
        </w:rPr>
        <w:t>4</w:t>
      </w:r>
      <w:r>
        <w:rPr>
          <w:rFonts w:hint="eastAsia" w:ascii="宋体" w:hAnsi="宋体" w:cs="Calibri"/>
          <w:color w:val="auto"/>
          <w:szCs w:val="21"/>
          <w:highlight w:val="none"/>
        </w:rPr>
        <w:t>.5现场施工扬尘控制，必须严格按关于印发</w:t>
      </w:r>
      <w:r>
        <w:rPr>
          <w:rFonts w:hint="eastAsia" w:hAnsi="宋体" w:cs="宋体"/>
          <w:b/>
          <w:bCs/>
          <w:color w:val="auto"/>
          <w:szCs w:val="21"/>
          <w:highlight w:val="none"/>
          <w:u w:val="single"/>
        </w:rPr>
        <w:t>《南通市扬尘整治百日行动方案》的通知（市扬尘整治“654”专项行动领导小组办公室，2022年9月9日）</w:t>
      </w:r>
      <w:r>
        <w:rPr>
          <w:rFonts w:hint="eastAsia" w:ascii="宋体" w:hAnsi="宋体" w:cs="Calibri"/>
          <w:color w:val="auto"/>
          <w:szCs w:val="21"/>
          <w:highlight w:val="none"/>
        </w:rPr>
        <w:t>要求逐项落实。</w:t>
      </w:r>
    </w:p>
    <w:p w14:paraId="58D4D565">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8.质量与验收</w:t>
      </w:r>
    </w:p>
    <w:p w14:paraId="7434FA63">
      <w:pPr>
        <w:spacing w:line="400" w:lineRule="exact"/>
        <w:ind w:firstLine="420" w:firstLineChars="200"/>
        <w:rPr>
          <w:rFonts w:hint="eastAsia" w:ascii="宋体" w:hAnsi="宋体" w:cs="Calibri"/>
          <w:color w:val="auto"/>
          <w:szCs w:val="21"/>
          <w:highlight w:val="none"/>
        </w:rPr>
      </w:pPr>
      <w:r>
        <w:rPr>
          <w:rFonts w:ascii="宋体" w:hAnsi="宋体" w:cs="Calibri"/>
          <w:color w:val="auto"/>
          <w:szCs w:val="21"/>
          <w:highlight w:val="none"/>
        </w:rPr>
        <w:t>8.</w:t>
      </w:r>
      <w:r>
        <w:rPr>
          <w:rFonts w:hint="eastAsia" w:ascii="宋体" w:hAnsi="宋体" w:cs="Calibri"/>
          <w:color w:val="auto"/>
          <w:szCs w:val="21"/>
          <w:highlight w:val="none"/>
        </w:rPr>
        <w:t>1设施巡查质量执行《崇川区市政设施日常巡查月度考核评价标准》。</w:t>
      </w:r>
    </w:p>
    <w:p w14:paraId="3687541F">
      <w:pPr>
        <w:spacing w:line="400" w:lineRule="exact"/>
        <w:ind w:firstLine="420" w:firstLineChars="200"/>
        <w:rPr>
          <w:rFonts w:hint="eastAsia" w:ascii="宋体" w:hAnsi="宋体" w:cs="Calibri"/>
          <w:color w:val="auto"/>
          <w:szCs w:val="21"/>
          <w:highlight w:val="none"/>
        </w:rPr>
      </w:pPr>
      <w:r>
        <w:rPr>
          <w:rFonts w:ascii="宋体" w:hAnsi="宋体" w:cs="Calibri"/>
          <w:color w:val="auto"/>
          <w:szCs w:val="21"/>
          <w:highlight w:val="none"/>
        </w:rPr>
        <w:t>8</w:t>
      </w:r>
      <w:r>
        <w:rPr>
          <w:rFonts w:hint="eastAsia" w:ascii="宋体" w:hAnsi="宋体" w:cs="Calibri"/>
          <w:color w:val="auto"/>
          <w:szCs w:val="21"/>
          <w:highlight w:val="none"/>
        </w:rPr>
        <w:t>.</w:t>
      </w:r>
      <w:r>
        <w:rPr>
          <w:rFonts w:ascii="宋体" w:hAnsi="宋体" w:cs="Calibri"/>
          <w:color w:val="auto"/>
          <w:szCs w:val="21"/>
          <w:highlight w:val="none"/>
        </w:rPr>
        <w:t>2</w:t>
      </w:r>
      <w:r>
        <w:rPr>
          <w:rFonts w:hint="eastAsia" w:ascii="宋体" w:hAnsi="宋体" w:cs="Calibri"/>
          <w:color w:val="auto"/>
          <w:szCs w:val="21"/>
          <w:highlight w:val="none"/>
        </w:rPr>
        <w:t>设施养护维修质量目标合格，符合《城镇道路养护技术规范》（CJJ36-2016）、《城镇道路工程施工与质量验收规范》（CJJ1-2008）、《沥青路面施工及验收规范》（GB50092-96）、《城镇给水排水技术规范》（GB50788-2012）、《城市桥梁养护技术规范》（CJJ99-2017）、《给水排水管道工程施工及验收规范》（GB 50268-2008）等规范要求，以及《崇川区市政设施养护维修技术标准》、《崇川区市政设施巡查考核评价标准》、《崇川区市政设施养护维修考核评价标准》的要求。</w:t>
      </w:r>
    </w:p>
    <w:p w14:paraId="346E39D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8.</w:t>
      </w:r>
      <w:r>
        <w:rPr>
          <w:rFonts w:ascii="宋体" w:hAnsi="宋体" w:cs="Calibri"/>
          <w:color w:val="auto"/>
          <w:szCs w:val="21"/>
          <w:highlight w:val="none"/>
        </w:rPr>
        <w:t>3</w:t>
      </w:r>
      <w:r>
        <w:rPr>
          <w:rFonts w:hint="eastAsia" w:ascii="宋体" w:hAnsi="宋体" w:cs="Calibri"/>
          <w:color w:val="auto"/>
          <w:szCs w:val="21"/>
          <w:highlight w:val="none"/>
        </w:rPr>
        <w:t>隐蔽工程和中间验收</w:t>
      </w:r>
    </w:p>
    <w:p w14:paraId="202109F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8.</w:t>
      </w:r>
      <w:r>
        <w:rPr>
          <w:rFonts w:ascii="宋体" w:hAnsi="宋体" w:cs="Calibri"/>
          <w:color w:val="auto"/>
          <w:szCs w:val="21"/>
          <w:highlight w:val="none"/>
        </w:rPr>
        <w:t>3</w:t>
      </w:r>
      <w:r>
        <w:rPr>
          <w:rFonts w:hint="eastAsia" w:ascii="宋体" w:hAnsi="宋体" w:cs="Calibri"/>
          <w:color w:val="auto"/>
          <w:szCs w:val="21"/>
          <w:highlight w:val="none"/>
        </w:rPr>
        <w:t>.1隐蔽工程验收：工程具备覆盖、掩埋条件或达到条款约定的部位，承包人自检合格后在隐蔽施工前24小时通知发包人和监理单位进行验收，验收合格后方可进行隐蔽工程施工。</w:t>
      </w:r>
    </w:p>
    <w:p w14:paraId="2CF2419F">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8.</w:t>
      </w:r>
      <w:r>
        <w:rPr>
          <w:rFonts w:ascii="宋体" w:hAnsi="宋体" w:cs="Calibri"/>
          <w:color w:val="auto"/>
          <w:szCs w:val="21"/>
          <w:highlight w:val="none"/>
        </w:rPr>
        <w:t>3</w:t>
      </w:r>
      <w:r>
        <w:rPr>
          <w:rFonts w:hint="eastAsia" w:ascii="宋体" w:hAnsi="宋体" w:cs="Calibri"/>
          <w:color w:val="auto"/>
          <w:szCs w:val="21"/>
          <w:highlight w:val="none"/>
        </w:rPr>
        <w:t>.2中间验收部位: 按工序进行分部验收，承包人在进行下道工序前，必须通知监理单位与发包人进行验收，验收合格才能进行下道工序的施工。</w:t>
      </w:r>
    </w:p>
    <w:p w14:paraId="0FB5DAA8">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9.材料与设备供应</w:t>
      </w:r>
    </w:p>
    <w:p w14:paraId="3ABF2CC1">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9.1本工程的所有材料，均由承包人按国家标准及规范要求自行采购和保管。未经验收合格的材料，不得用于本工程。</w:t>
      </w:r>
    </w:p>
    <w:p w14:paraId="3D4C8391">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 xml:space="preserve">9.2采购前，承包人应将材料样品报发包人和监理人确认，并提供出厂证明、合格证书。发包人及监理人的事先认可并不免除承包人对所采购材料应承担的产品质量责任。  </w:t>
      </w:r>
    </w:p>
    <w:p w14:paraId="71B328B0">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9.3发包人与监理人如发现使用的材料无报验手续或不符合要求的，可责令停工或返工。因材料不合格返工所发生的费用由承包人承担，工期不予顺延，拒不返工的或返工不经过发包人与监理人确认的，该部分材料及与该部分材料衔接的后续工作的工作量均不计量及验收。</w:t>
      </w:r>
    </w:p>
    <w:p w14:paraId="1720F2ED">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9.4任何一批材料中存在不符合要求的，该批材料应全部予以退货，无论使用与否，其费用全部由承包人支付，且不允许由于更换而延长工期。</w:t>
      </w:r>
    </w:p>
    <w:p w14:paraId="3F924A67">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9.5本工程所用混凝土宜采用商品混凝土，且其供应厂商应获得业主及总监认可，水泥宜采用硅酸盐水泥，粗集料应采用质地坚硬、耐久、洁净，最大公称粒径不得大于31.5mm，不得使用卵石，石灰岩石料，再生碎石，现场所有使用的水泥均取用42.5及42.5以上标号的普通硅酸盐或硅酸盐水泥。</w:t>
      </w:r>
    </w:p>
    <w:p w14:paraId="713B3E58">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9.6水泥稳定碎石须购买成品。土路基中的灰土、水泥土拌和形式应按拌和均匀的原则；道路结构层中水泥石灰土是否购买成品，由承包人在确保工程质量、工期、工地文明施工要求的情况下自行考虑，供货商必须获得发包人、监理考察并认可。</w:t>
      </w:r>
    </w:p>
    <w:p w14:paraId="0CD50779">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9.7本工程混凝土</w:t>
      </w:r>
      <w:r>
        <w:rPr>
          <w:rFonts w:ascii="宋体" w:hAnsi="宋体" w:cs="Calibri"/>
          <w:color w:val="auto"/>
          <w:szCs w:val="21"/>
          <w:highlight w:val="none"/>
        </w:rPr>
        <w:t>侧石、平石、收边石、树穴镶边石</w:t>
      </w:r>
      <w:r>
        <w:rPr>
          <w:rFonts w:hint="eastAsia" w:ascii="宋体" w:hAnsi="宋体" w:cs="Calibri"/>
          <w:color w:val="auto"/>
          <w:szCs w:val="21"/>
          <w:highlight w:val="none"/>
        </w:rPr>
        <w:t>须购买成品，其供应商必须获得业主、监理考察并认可。</w:t>
      </w:r>
    </w:p>
    <w:p w14:paraId="55D295AC">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9.8发包人实壁管推荐品牌：三德、培达、杰通，承包人必须按推荐的材料品牌或者不低于推荐品牌等级及标准的其他品牌进行采购，管材必须为厂家国标产品。</w:t>
      </w:r>
    </w:p>
    <w:p w14:paraId="283917F1">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9.9本工程禁止使用细砂、泥沙、海砂，禁止使用砂浆王及其他替代产品。</w:t>
      </w:r>
    </w:p>
    <w:p w14:paraId="760B76A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9.10 承包人应自行考虑沥青保温措施，确保开始碾压温度符合规范要求。</w:t>
      </w:r>
    </w:p>
    <w:p w14:paraId="13057C16">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9.11 承包人应配备折叠式雨棚、风力吹扫机、冷补料等材料及设备以应对应急抢险工程维修的需要。</w:t>
      </w:r>
    </w:p>
    <w:p w14:paraId="3292EBD0">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9.12承包人应在采购前将窨井井盖井篦的样品、品牌、生产厂家、产地、合格证等资料报发包人确认，所有井盖必须为厂家国标产品，符合最新国家标准所要求的条款，雨水篦及线形边沟盖应该标有品牌及荷载等级，采用球墨铸铁作为材料时，其标准符合国标GB/T1348,球墨铸铁标号QT500-7的要求，球化率大于80%，球化等级不低于三级，球墨铸铁应一次铸造成形，且不得有涂改。发包人铸铁井盖、</w:t>
      </w:r>
      <w:r>
        <w:rPr>
          <w:rFonts w:ascii="宋体" w:hAnsi="宋体" w:cs="Calibri"/>
          <w:color w:val="auto"/>
          <w:szCs w:val="21"/>
          <w:highlight w:val="none"/>
        </w:rPr>
        <w:t>篦盖</w:t>
      </w:r>
      <w:r>
        <w:rPr>
          <w:rFonts w:hint="eastAsia" w:ascii="宋体" w:hAnsi="宋体" w:cs="Calibri"/>
          <w:color w:val="auto"/>
          <w:szCs w:val="21"/>
          <w:highlight w:val="none"/>
        </w:rPr>
        <w:t>推荐品牌：畅途、兴武、东升</w:t>
      </w:r>
      <w:r>
        <w:rPr>
          <w:rFonts w:ascii="宋体" w:hAnsi="宋体" w:cs="Calibri"/>
          <w:color w:val="auto"/>
          <w:szCs w:val="21"/>
          <w:highlight w:val="none"/>
        </w:rPr>
        <w:t>宏运</w:t>
      </w:r>
      <w:r>
        <w:rPr>
          <w:rFonts w:hint="eastAsia" w:ascii="宋体" w:hAnsi="宋体" w:cs="Calibri"/>
          <w:color w:val="auto"/>
          <w:szCs w:val="21"/>
          <w:highlight w:val="none"/>
        </w:rPr>
        <w:t>。</w:t>
      </w:r>
    </w:p>
    <w:p w14:paraId="35FD16C4">
      <w:pPr>
        <w:widowControl/>
        <w:jc w:val="left"/>
        <w:rPr>
          <w:color w:val="auto"/>
          <w:highlight w:val="none"/>
        </w:rPr>
      </w:pPr>
      <w:r>
        <w:rPr>
          <w:rFonts w:hint="eastAsia" w:ascii="宋体" w:hAnsi="宋体" w:cs="宋体"/>
          <w:color w:val="auto"/>
          <w:kern w:val="0"/>
          <w:szCs w:val="21"/>
          <w:highlight w:val="none"/>
          <w:lang w:bidi="ar"/>
        </w:rPr>
        <w:t xml:space="preserve"> </w:t>
      </w:r>
    </w:p>
    <w:tbl>
      <w:tblPr>
        <w:tblStyle w:val="2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8"/>
        <w:gridCol w:w="2659"/>
        <w:gridCol w:w="3483"/>
      </w:tblGrid>
      <w:tr w14:paraId="07ECB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tcPr>
          <w:p w14:paraId="11B39D92">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井盖图片</w:t>
            </w:r>
          </w:p>
        </w:tc>
        <w:tc>
          <w:tcPr>
            <w:tcW w:w="2659" w:type="dxa"/>
            <w:tcBorders>
              <w:top w:val="single" w:color="auto" w:sz="4" w:space="0"/>
              <w:left w:val="single" w:color="auto" w:sz="4" w:space="0"/>
              <w:bottom w:val="single" w:color="auto" w:sz="4" w:space="0"/>
              <w:right w:val="single" w:color="auto" w:sz="4" w:space="0"/>
            </w:tcBorders>
          </w:tcPr>
          <w:p w14:paraId="10F1D5A0">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适用区域</w:t>
            </w:r>
          </w:p>
        </w:tc>
        <w:tc>
          <w:tcPr>
            <w:tcW w:w="3483" w:type="dxa"/>
            <w:tcBorders>
              <w:top w:val="single" w:color="auto" w:sz="4" w:space="0"/>
              <w:left w:val="single" w:color="auto" w:sz="4" w:space="0"/>
              <w:bottom w:val="single" w:color="auto" w:sz="4" w:space="0"/>
              <w:right w:val="single" w:color="auto" w:sz="4" w:space="0"/>
            </w:tcBorders>
          </w:tcPr>
          <w:p w14:paraId="129F85E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其他要求</w:t>
            </w:r>
          </w:p>
        </w:tc>
      </w:tr>
      <w:tr w14:paraId="7FB86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tcPr>
          <w:p w14:paraId="68427CBC">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1312" behindDoc="0" locked="0" layoutInCell="1" allowOverlap="1">
                  <wp:simplePos x="0" y="0"/>
                  <wp:positionH relativeFrom="column">
                    <wp:posOffset>-13970</wp:posOffset>
                  </wp:positionH>
                  <wp:positionV relativeFrom="paragraph">
                    <wp:posOffset>165100</wp:posOffset>
                  </wp:positionV>
                  <wp:extent cx="1800225" cy="1023620"/>
                  <wp:effectExtent l="0" t="0" r="3175" b="5080"/>
                  <wp:wrapSquare wrapText="bothSides"/>
                  <wp:docPr id="1"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4" descr="IMG_256"/>
                          <pic:cNvPicPr>
                            <a:picLocks noChangeAspect="1"/>
                          </pic:cNvPicPr>
                        </pic:nvPicPr>
                        <pic:blipFill>
                          <a:blip r:embed="rId16"/>
                          <a:stretch>
                            <a:fillRect/>
                          </a:stretch>
                        </pic:blipFill>
                        <pic:spPr>
                          <a:xfrm>
                            <a:off x="0" y="0"/>
                            <a:ext cx="1800225" cy="1023620"/>
                          </a:xfrm>
                          <a:prstGeom prst="rect">
                            <a:avLst/>
                          </a:prstGeom>
                          <a:noFill/>
                          <a:ln>
                            <a:noFill/>
                          </a:ln>
                        </pic:spPr>
                      </pic:pic>
                    </a:graphicData>
                  </a:graphic>
                </wp:anchor>
              </w:drawing>
            </w:r>
            <w:r>
              <w:rPr>
                <w:rFonts w:hint="eastAsia" w:ascii="宋体" w:hAnsi="宋体" w:eastAsia="宋体" w:cs="宋体"/>
                <w:color w:val="auto"/>
                <w:sz w:val="21"/>
                <w:szCs w:val="21"/>
                <w:highlight w:val="none"/>
              </w:rPr>
              <w:t>700防沉降球墨铸铁井盖</w:t>
            </w:r>
          </w:p>
        </w:tc>
        <w:tc>
          <w:tcPr>
            <w:tcW w:w="2659" w:type="dxa"/>
            <w:tcBorders>
              <w:top w:val="single" w:color="auto" w:sz="4" w:space="0"/>
              <w:left w:val="single" w:color="auto" w:sz="4" w:space="0"/>
              <w:bottom w:val="single" w:color="auto" w:sz="4" w:space="0"/>
              <w:right w:val="single" w:color="auto" w:sz="4" w:space="0"/>
            </w:tcBorders>
          </w:tcPr>
          <w:p w14:paraId="4B6838D8">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适用于面层为沥青材料的城市道路或小区主干路上，井盖荷载等级D400。</w:t>
            </w:r>
          </w:p>
        </w:tc>
        <w:tc>
          <w:tcPr>
            <w:tcW w:w="3483" w:type="dxa"/>
            <w:tcBorders>
              <w:top w:val="single" w:color="auto" w:sz="4" w:space="0"/>
              <w:left w:val="single" w:color="auto" w:sz="4" w:space="0"/>
              <w:bottom w:val="single" w:color="auto" w:sz="4" w:space="0"/>
              <w:right w:val="single" w:color="auto" w:sz="4" w:space="0"/>
            </w:tcBorders>
          </w:tcPr>
          <w:p w14:paraId="394FE254">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井圈上需设置橡胶垫圈，检查井盖及井圈应采用内扣式结构或者其他可靠设计进行防盗，应设置三点式弹性锁定装置，有防坠板，有防沉降功能，井盖必须防响、防滑、防盗，防位移，整套重量不得低于95kg。</w:t>
            </w:r>
          </w:p>
        </w:tc>
      </w:tr>
      <w:tr w14:paraId="45ED9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1" w:hRule="atLeast"/>
          <w:jc w:val="center"/>
        </w:trPr>
        <w:tc>
          <w:tcPr>
            <w:tcW w:w="3128" w:type="dxa"/>
            <w:tcBorders>
              <w:top w:val="single" w:color="auto" w:sz="4" w:space="0"/>
              <w:left w:val="single" w:color="auto" w:sz="4" w:space="0"/>
              <w:bottom w:val="single" w:color="auto" w:sz="4" w:space="0"/>
              <w:right w:val="single" w:color="auto" w:sz="4" w:space="0"/>
            </w:tcBorders>
          </w:tcPr>
          <w:p w14:paraId="7C3451CA">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2336" behindDoc="0" locked="0" layoutInCell="1" allowOverlap="1">
                  <wp:simplePos x="0" y="0"/>
                  <wp:positionH relativeFrom="column">
                    <wp:posOffset>-13970</wp:posOffset>
                  </wp:positionH>
                  <wp:positionV relativeFrom="paragraph">
                    <wp:posOffset>-786130</wp:posOffset>
                  </wp:positionV>
                  <wp:extent cx="1849120" cy="1051560"/>
                  <wp:effectExtent l="0" t="0" r="5080" b="2540"/>
                  <wp:wrapSquare wrapText="bothSides"/>
                  <wp:docPr id="2" name="图片 12" descr="20151022172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20151022172835"/>
                          <pic:cNvPicPr>
                            <a:picLocks noChangeAspect="1"/>
                          </pic:cNvPicPr>
                        </pic:nvPicPr>
                        <pic:blipFill>
                          <a:blip r:embed="rId17"/>
                          <a:stretch>
                            <a:fillRect/>
                          </a:stretch>
                        </pic:blipFill>
                        <pic:spPr>
                          <a:xfrm>
                            <a:off x="0" y="0"/>
                            <a:ext cx="1849120" cy="1051560"/>
                          </a:xfrm>
                          <a:prstGeom prst="rect">
                            <a:avLst/>
                          </a:prstGeom>
                          <a:noFill/>
                          <a:ln>
                            <a:noFill/>
                          </a:ln>
                        </pic:spPr>
                      </pic:pic>
                    </a:graphicData>
                  </a:graphic>
                </wp:anchor>
              </w:drawing>
            </w:r>
            <w:r>
              <w:rPr>
                <w:rFonts w:hint="eastAsia" w:ascii="宋体" w:hAnsi="宋体" w:eastAsia="宋体" w:cs="宋体"/>
                <w:color w:val="auto"/>
                <w:sz w:val="21"/>
                <w:szCs w:val="21"/>
                <w:highlight w:val="none"/>
              </w:rPr>
              <w:t>700普通球墨铸铁井盖</w:t>
            </w:r>
          </w:p>
        </w:tc>
        <w:tc>
          <w:tcPr>
            <w:tcW w:w="2659" w:type="dxa"/>
            <w:tcBorders>
              <w:top w:val="single" w:color="auto" w:sz="4" w:space="0"/>
              <w:left w:val="single" w:color="auto" w:sz="4" w:space="0"/>
              <w:bottom w:val="single" w:color="auto" w:sz="4" w:space="0"/>
              <w:right w:val="single" w:color="auto" w:sz="4" w:space="0"/>
            </w:tcBorders>
          </w:tcPr>
          <w:p w14:paraId="45FE0ABB">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适用于市政道路人行道及小区支路，井盖荷载等级不小于C250。</w:t>
            </w:r>
          </w:p>
        </w:tc>
        <w:tc>
          <w:tcPr>
            <w:tcW w:w="3483" w:type="dxa"/>
            <w:tcBorders>
              <w:top w:val="single" w:color="auto" w:sz="4" w:space="0"/>
              <w:left w:val="single" w:color="auto" w:sz="4" w:space="0"/>
              <w:bottom w:val="single" w:color="auto" w:sz="4" w:space="0"/>
              <w:right w:val="single" w:color="auto" w:sz="4" w:space="0"/>
            </w:tcBorders>
          </w:tcPr>
          <w:p w14:paraId="756DD516">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井圈上需设置橡胶垫圈，可设置三点式弹性锁定装置，井盖必须有防响、防滑、防盗，有防坠网（板），整套重量不得低于60kg。</w:t>
            </w:r>
          </w:p>
        </w:tc>
      </w:tr>
      <w:tr w14:paraId="2A10D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tcPr>
          <w:p w14:paraId="5F87F993">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3360" behindDoc="0" locked="0" layoutInCell="1" allowOverlap="1">
                  <wp:simplePos x="0" y="0"/>
                  <wp:positionH relativeFrom="column">
                    <wp:posOffset>12700</wp:posOffset>
                  </wp:positionH>
                  <wp:positionV relativeFrom="paragraph">
                    <wp:posOffset>306705</wp:posOffset>
                  </wp:positionV>
                  <wp:extent cx="1800225" cy="1023620"/>
                  <wp:effectExtent l="0" t="0" r="3175" b="5080"/>
                  <wp:wrapSquare wrapText="bothSides"/>
                  <wp:docPr id="3"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 descr="IMG_256"/>
                          <pic:cNvPicPr>
                            <a:picLocks noChangeAspect="1"/>
                          </pic:cNvPicPr>
                        </pic:nvPicPr>
                        <pic:blipFill>
                          <a:blip r:embed="rId18"/>
                          <a:stretch>
                            <a:fillRect/>
                          </a:stretch>
                        </pic:blipFill>
                        <pic:spPr>
                          <a:xfrm>
                            <a:off x="0" y="0"/>
                            <a:ext cx="1800225" cy="1023620"/>
                          </a:xfrm>
                          <a:prstGeom prst="rect">
                            <a:avLst/>
                          </a:prstGeom>
                          <a:noFill/>
                          <a:ln>
                            <a:noFill/>
                          </a:ln>
                        </pic:spPr>
                      </pic:pic>
                    </a:graphicData>
                  </a:graphic>
                </wp:anchor>
              </w:drawing>
            </w:r>
          </w:p>
          <w:p w14:paraId="262F4AD2">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雨水篦</w:t>
            </w:r>
          </w:p>
        </w:tc>
        <w:tc>
          <w:tcPr>
            <w:tcW w:w="2659" w:type="dxa"/>
            <w:tcBorders>
              <w:top w:val="single" w:color="auto" w:sz="4" w:space="0"/>
              <w:left w:val="single" w:color="auto" w:sz="4" w:space="0"/>
              <w:bottom w:val="single" w:color="auto" w:sz="4" w:space="0"/>
              <w:right w:val="single" w:color="auto" w:sz="4" w:space="0"/>
            </w:tcBorders>
          </w:tcPr>
          <w:p w14:paraId="69EF6BD1">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篦面尺寸：450mm×750mm、多用于城市道路，要求井盖荷载等级不小于C250。</w:t>
            </w:r>
          </w:p>
          <w:p w14:paraId="6AA5FFBC">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篦面尺寸： 380mm×500mm，多用于背街后巷、小区内部道路，井盖荷载等级不小于C250。</w:t>
            </w:r>
          </w:p>
        </w:tc>
        <w:tc>
          <w:tcPr>
            <w:tcW w:w="3483" w:type="dxa"/>
            <w:tcBorders>
              <w:top w:val="single" w:color="auto" w:sz="4" w:space="0"/>
              <w:left w:val="single" w:color="auto" w:sz="4" w:space="0"/>
              <w:bottom w:val="single" w:color="auto" w:sz="4" w:space="0"/>
              <w:right w:val="single" w:color="auto" w:sz="4" w:space="0"/>
            </w:tcBorders>
          </w:tcPr>
          <w:p w14:paraId="767803A8">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450mm×750mm整套重量不得低于40kg，</w:t>
            </w:r>
          </w:p>
          <w:p w14:paraId="7C87615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380mm×500mm整套重量不得低于20kg。</w:t>
            </w:r>
          </w:p>
        </w:tc>
      </w:tr>
      <w:tr w14:paraId="3ABC7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30D80E31">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438910" cy="970915"/>
                  <wp:effectExtent l="0" t="0" r="8890" b="6985"/>
                  <wp:docPr id="6" name="图片 1" descr="28b404eabb3a29bb34c956fe4722de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28b404eabb3a29bb34c956fe4722de86"/>
                          <pic:cNvPicPr>
                            <a:picLocks noChangeAspect="1"/>
                          </pic:cNvPicPr>
                        </pic:nvPicPr>
                        <pic:blipFill>
                          <a:blip r:embed="rId19"/>
                          <a:stretch>
                            <a:fillRect/>
                          </a:stretch>
                        </pic:blipFill>
                        <pic:spPr>
                          <a:xfrm>
                            <a:off x="0" y="0"/>
                            <a:ext cx="1438910" cy="970915"/>
                          </a:xfrm>
                          <a:prstGeom prst="rect">
                            <a:avLst/>
                          </a:prstGeom>
                          <a:noFill/>
                          <a:ln>
                            <a:noFill/>
                          </a:ln>
                        </pic:spPr>
                      </pic:pic>
                    </a:graphicData>
                  </a:graphic>
                </wp:inline>
              </w:drawing>
            </w:r>
          </w:p>
          <w:p w14:paraId="48D004C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不锈钢隐形检查井盖</w:t>
            </w:r>
          </w:p>
        </w:tc>
        <w:tc>
          <w:tcPr>
            <w:tcW w:w="2659" w:type="dxa"/>
            <w:tcBorders>
              <w:top w:val="single" w:color="auto" w:sz="4" w:space="0"/>
              <w:left w:val="single" w:color="auto" w:sz="4" w:space="0"/>
              <w:bottom w:val="single" w:color="auto" w:sz="4" w:space="0"/>
              <w:right w:val="single" w:color="auto" w:sz="4" w:space="0"/>
            </w:tcBorders>
          </w:tcPr>
          <w:p w14:paraId="10F9B58D">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人行道、广场、绿化范围、盲道处等需使用隐形检查井盖处，常用规格：600×600mm、500×1000mm。</w:t>
            </w:r>
          </w:p>
        </w:tc>
        <w:tc>
          <w:tcPr>
            <w:tcW w:w="3483" w:type="dxa"/>
            <w:tcBorders>
              <w:top w:val="single" w:color="auto" w:sz="4" w:space="0"/>
              <w:left w:val="single" w:color="auto" w:sz="4" w:space="0"/>
              <w:bottom w:val="single" w:color="auto" w:sz="4" w:space="0"/>
              <w:right w:val="single" w:color="auto" w:sz="4" w:space="0"/>
            </w:tcBorders>
          </w:tcPr>
          <w:p w14:paraId="110EB44F">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不锈钢底板厚度不小于10mm，边框厚度不小于6mm，采用304不锈钢。隐形检查井盖下部按常规设置检查井盖。</w:t>
            </w:r>
          </w:p>
        </w:tc>
      </w:tr>
      <w:tr w14:paraId="15209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tcPr>
          <w:p w14:paraId="35BBDCE1">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anchor distT="0" distB="0" distL="114300" distR="114300" simplePos="0" relativeHeight="251664384" behindDoc="0" locked="0" layoutInCell="1" allowOverlap="1">
                  <wp:simplePos x="0" y="0"/>
                  <wp:positionH relativeFrom="column">
                    <wp:posOffset>5080</wp:posOffset>
                  </wp:positionH>
                  <wp:positionV relativeFrom="paragraph">
                    <wp:posOffset>158115</wp:posOffset>
                  </wp:positionV>
                  <wp:extent cx="1800225" cy="1023620"/>
                  <wp:effectExtent l="0" t="0" r="3175" b="5080"/>
                  <wp:wrapSquare wrapText="bothSides"/>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20"/>
                          <a:stretch>
                            <a:fillRect/>
                          </a:stretch>
                        </pic:blipFill>
                        <pic:spPr>
                          <a:xfrm>
                            <a:off x="0" y="0"/>
                            <a:ext cx="1800225" cy="1023620"/>
                          </a:xfrm>
                          <a:prstGeom prst="rect">
                            <a:avLst/>
                          </a:prstGeom>
                          <a:noFill/>
                          <a:ln>
                            <a:noFill/>
                          </a:ln>
                        </pic:spPr>
                      </pic:pic>
                    </a:graphicData>
                  </a:graphic>
                </wp:anchor>
              </w:drawing>
            </w:r>
            <w:r>
              <w:rPr>
                <w:rFonts w:hint="eastAsia" w:ascii="宋体" w:hAnsi="宋体" w:eastAsia="宋体" w:cs="宋体"/>
                <w:color w:val="auto"/>
                <w:sz w:val="21"/>
                <w:szCs w:val="21"/>
                <w:highlight w:val="none"/>
              </w:rPr>
              <w:t>单开方形球墨铸铁检查井盖</w:t>
            </w:r>
          </w:p>
        </w:tc>
        <w:tc>
          <w:tcPr>
            <w:tcW w:w="2659" w:type="dxa"/>
            <w:tcBorders>
              <w:top w:val="single" w:color="auto" w:sz="4" w:space="0"/>
              <w:left w:val="single" w:color="auto" w:sz="4" w:space="0"/>
              <w:bottom w:val="single" w:color="auto" w:sz="4" w:space="0"/>
              <w:right w:val="single" w:color="auto" w:sz="4" w:space="0"/>
            </w:tcBorders>
          </w:tcPr>
          <w:p w14:paraId="61424D02">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人行道、广场、绿化等小型弱电、电力矩形检查井盖（盲道处采用不锈钢隐形检查井盖）</w:t>
            </w:r>
          </w:p>
        </w:tc>
        <w:tc>
          <w:tcPr>
            <w:tcW w:w="3483" w:type="dxa"/>
            <w:tcBorders>
              <w:top w:val="single" w:color="auto" w:sz="4" w:space="0"/>
              <w:left w:val="single" w:color="auto" w:sz="4" w:space="0"/>
              <w:bottom w:val="single" w:color="auto" w:sz="4" w:space="0"/>
              <w:right w:val="single" w:color="auto" w:sz="4" w:space="0"/>
            </w:tcBorders>
          </w:tcPr>
          <w:p w14:paraId="68E27A5C">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井圈上需设置橡胶垫圈，可设置单点式弹性锁定装置，井盖必须有防响、防滑、防盗，应有防坠网（板），检查井盖承载力不低于C250。</w:t>
            </w:r>
          </w:p>
        </w:tc>
      </w:tr>
      <w:tr w14:paraId="46561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tcPr>
          <w:p w14:paraId="40275EEC">
            <w:pPr>
              <w:spacing w:line="400" w:lineRule="exact"/>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重型横截沟盖</w:t>
            </w:r>
            <w:r>
              <w:rPr>
                <w:rFonts w:hint="eastAsia" w:ascii="宋体" w:hAnsi="宋体" w:eastAsia="宋体" w:cs="宋体"/>
                <w:color w:val="auto"/>
                <w:sz w:val="21"/>
                <w:szCs w:val="21"/>
                <w:highlight w:val="none"/>
              </w:rPr>
              <w:drawing>
                <wp:anchor distT="0" distB="0" distL="114300" distR="114300" simplePos="0" relativeHeight="251665408" behindDoc="0" locked="0" layoutInCell="1" allowOverlap="1">
                  <wp:simplePos x="0" y="0"/>
                  <wp:positionH relativeFrom="column">
                    <wp:posOffset>51435</wp:posOffset>
                  </wp:positionH>
                  <wp:positionV relativeFrom="paragraph">
                    <wp:posOffset>-1395095</wp:posOffset>
                  </wp:positionV>
                  <wp:extent cx="1800225" cy="1412240"/>
                  <wp:effectExtent l="0" t="0" r="3175" b="10160"/>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21"/>
                          <a:srcRect l="8818" t="7996" r="12416" b="9595"/>
                          <a:stretch>
                            <a:fillRect/>
                          </a:stretch>
                        </pic:blipFill>
                        <pic:spPr>
                          <a:xfrm>
                            <a:off x="0" y="0"/>
                            <a:ext cx="1800225" cy="1412240"/>
                          </a:xfrm>
                          <a:prstGeom prst="rect">
                            <a:avLst/>
                          </a:prstGeom>
                          <a:noFill/>
                          <a:ln>
                            <a:noFill/>
                          </a:ln>
                        </pic:spPr>
                      </pic:pic>
                    </a:graphicData>
                  </a:graphic>
                </wp:anchor>
              </w:drawing>
            </w:r>
          </w:p>
        </w:tc>
        <w:tc>
          <w:tcPr>
            <w:tcW w:w="2659" w:type="dxa"/>
            <w:tcBorders>
              <w:top w:val="single" w:color="auto" w:sz="4" w:space="0"/>
              <w:left w:val="single" w:color="auto" w:sz="4" w:space="0"/>
              <w:bottom w:val="single" w:color="auto" w:sz="4" w:space="0"/>
              <w:right w:val="single" w:color="auto" w:sz="4" w:space="0"/>
            </w:tcBorders>
          </w:tcPr>
          <w:p w14:paraId="276D5E23">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适用于增设或改造的雨水拦水沟，井盖荷载等级C250、D400。常用规格：净宽300mm、400mm、500mm、600mm。</w:t>
            </w:r>
          </w:p>
        </w:tc>
        <w:tc>
          <w:tcPr>
            <w:tcW w:w="3483" w:type="dxa"/>
            <w:tcBorders>
              <w:top w:val="single" w:color="auto" w:sz="4" w:space="0"/>
              <w:left w:val="single" w:color="auto" w:sz="4" w:space="0"/>
              <w:bottom w:val="single" w:color="auto" w:sz="4" w:space="0"/>
              <w:right w:val="single" w:color="auto" w:sz="4" w:space="0"/>
            </w:tcBorders>
          </w:tcPr>
          <w:p w14:paraId="1C071FB4">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含可打开与不可打开段</w:t>
            </w:r>
          </w:p>
        </w:tc>
      </w:tr>
      <w:tr w14:paraId="18543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8" w:type="dxa"/>
            <w:tcBorders>
              <w:top w:val="single" w:color="auto" w:sz="4" w:space="0"/>
              <w:left w:val="single" w:color="auto" w:sz="4" w:space="0"/>
              <w:bottom w:val="single" w:color="auto" w:sz="4" w:space="0"/>
              <w:right w:val="single" w:color="auto" w:sz="4" w:space="0"/>
            </w:tcBorders>
            <w:vAlign w:val="center"/>
          </w:tcPr>
          <w:p w14:paraId="3C7C9CF0">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drawing>
                <wp:inline distT="0" distB="0" distL="114300" distR="114300">
                  <wp:extent cx="1799590" cy="1165225"/>
                  <wp:effectExtent l="0" t="0" r="3810" b="3175"/>
                  <wp:docPr id="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pic:cNvPicPr>
                            <a:picLocks noChangeAspect="1"/>
                          </pic:cNvPicPr>
                        </pic:nvPicPr>
                        <pic:blipFill>
                          <a:blip r:embed="rId22"/>
                          <a:stretch>
                            <a:fillRect/>
                          </a:stretch>
                        </pic:blipFill>
                        <pic:spPr>
                          <a:xfrm>
                            <a:off x="0" y="0"/>
                            <a:ext cx="1799590" cy="1165225"/>
                          </a:xfrm>
                          <a:prstGeom prst="rect">
                            <a:avLst/>
                          </a:prstGeom>
                          <a:noFill/>
                          <a:ln>
                            <a:noFill/>
                          </a:ln>
                        </pic:spPr>
                      </pic:pic>
                    </a:graphicData>
                  </a:graphic>
                </wp:inline>
              </w:drawing>
            </w:r>
          </w:p>
          <w:p w14:paraId="311BE97D">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缝隙式线形排水沟</w:t>
            </w:r>
          </w:p>
        </w:tc>
        <w:tc>
          <w:tcPr>
            <w:tcW w:w="2659" w:type="dxa"/>
            <w:tcBorders>
              <w:top w:val="single" w:color="auto" w:sz="4" w:space="0"/>
              <w:left w:val="single" w:color="auto" w:sz="4" w:space="0"/>
              <w:bottom w:val="single" w:color="auto" w:sz="4" w:space="0"/>
              <w:right w:val="single" w:color="auto" w:sz="4" w:space="0"/>
            </w:tcBorders>
          </w:tcPr>
          <w:p w14:paraId="6B08F68A">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适用于人行道、建筑前区、广场雨水收集排放。常用规格：净宽200mm、净宽250mm、净宽300mm。</w:t>
            </w:r>
          </w:p>
        </w:tc>
        <w:tc>
          <w:tcPr>
            <w:tcW w:w="3483" w:type="dxa"/>
            <w:tcBorders>
              <w:top w:val="single" w:color="auto" w:sz="4" w:space="0"/>
              <w:left w:val="single" w:color="auto" w:sz="4" w:space="0"/>
              <w:bottom w:val="single" w:color="auto" w:sz="4" w:space="0"/>
              <w:right w:val="single" w:color="auto" w:sz="4" w:space="0"/>
            </w:tcBorders>
          </w:tcPr>
          <w:p w14:paraId="335FB68E">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沟体：U形树脂混凝土沟体，侧壁厚度不小于2cm；</w:t>
            </w:r>
          </w:p>
          <w:p w14:paraId="5AEE68C8">
            <w:pPr>
              <w:spacing w:line="400" w:lineRule="exac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不锈钢盖板：有固定段及可打开段，不锈钢盖板不锈钢盖板厚度不小于5mm，每条缝宽2cm，开缝方式综合考虑；</w:t>
            </w:r>
          </w:p>
        </w:tc>
      </w:tr>
    </w:tbl>
    <w:p w14:paraId="01AF3A03">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（1）更换雨水篦时，篦面尺寸不得小于原篦面尺寸，在更换作业时，可对检查井进行调整以确保井盖规格统一；</w:t>
      </w:r>
    </w:p>
    <w:p w14:paraId="63339B3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（2）因现场制约等特殊情况无法采用统一规格井盖时，应经过监理单位、建设单位、区建设</w:t>
      </w:r>
      <w:r>
        <w:rPr>
          <w:rFonts w:ascii="宋体" w:hAnsi="宋体" w:cs="Calibri"/>
          <w:color w:val="auto"/>
          <w:szCs w:val="21"/>
          <w:highlight w:val="none"/>
        </w:rPr>
        <w:t>主管部门</w:t>
      </w:r>
      <w:r>
        <w:rPr>
          <w:rFonts w:hint="eastAsia" w:ascii="宋体" w:hAnsi="宋体" w:cs="Calibri"/>
          <w:color w:val="auto"/>
          <w:szCs w:val="21"/>
          <w:highlight w:val="none"/>
        </w:rPr>
        <w:t>确认后方可调整。</w:t>
      </w:r>
    </w:p>
    <w:p w14:paraId="4A848645">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10.违约责任</w:t>
      </w:r>
    </w:p>
    <w:p w14:paraId="5D32141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10.</w:t>
      </w:r>
      <w:r>
        <w:rPr>
          <w:rFonts w:ascii="宋体" w:hAnsi="宋体" w:cs="Calibri"/>
          <w:color w:val="auto"/>
          <w:szCs w:val="21"/>
          <w:highlight w:val="none"/>
        </w:rPr>
        <w:t>1</w:t>
      </w:r>
      <w:r>
        <w:rPr>
          <w:rFonts w:hint="eastAsia" w:ascii="宋体" w:hAnsi="宋体" w:cs="Calibri"/>
          <w:color w:val="auto"/>
          <w:szCs w:val="21"/>
          <w:highlight w:val="none"/>
        </w:rPr>
        <w:t>日常巡查工作违约处理</w:t>
      </w:r>
    </w:p>
    <w:p w14:paraId="2840387C">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参照附件</w:t>
      </w:r>
      <w:r>
        <w:rPr>
          <w:rFonts w:ascii="宋体" w:hAnsi="宋体" w:cs="Calibri"/>
          <w:color w:val="auto"/>
          <w:szCs w:val="21"/>
          <w:highlight w:val="none"/>
        </w:rPr>
        <w:t>2《</w:t>
      </w:r>
      <w:r>
        <w:rPr>
          <w:rFonts w:hint="eastAsia" w:ascii="宋体" w:hAnsi="宋体" w:cs="Calibri"/>
          <w:color w:val="auto"/>
          <w:szCs w:val="21"/>
          <w:highlight w:val="none"/>
        </w:rPr>
        <w:t>崇川区市政设施巡查考核评价标准》的相关</w:t>
      </w:r>
      <w:r>
        <w:rPr>
          <w:rFonts w:ascii="宋体" w:hAnsi="宋体" w:cs="Calibri"/>
          <w:color w:val="auto"/>
          <w:szCs w:val="21"/>
          <w:highlight w:val="none"/>
        </w:rPr>
        <w:t>条例</w:t>
      </w:r>
      <w:r>
        <w:rPr>
          <w:rFonts w:hint="eastAsia" w:ascii="宋体" w:hAnsi="宋体" w:cs="Calibri"/>
          <w:color w:val="auto"/>
          <w:szCs w:val="21"/>
          <w:highlight w:val="none"/>
        </w:rPr>
        <w:t>要求。</w:t>
      </w:r>
    </w:p>
    <w:p w14:paraId="2711702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10.</w:t>
      </w:r>
      <w:r>
        <w:rPr>
          <w:rFonts w:ascii="宋体" w:hAnsi="宋体" w:cs="Calibri"/>
          <w:color w:val="auto"/>
          <w:szCs w:val="21"/>
          <w:highlight w:val="none"/>
        </w:rPr>
        <w:t>2</w:t>
      </w:r>
      <w:bookmarkStart w:id="27" w:name="_Hlk64290722"/>
      <w:r>
        <w:rPr>
          <w:rFonts w:hint="eastAsia" w:ascii="宋体" w:hAnsi="宋体" w:cs="Calibri"/>
          <w:color w:val="auto"/>
          <w:szCs w:val="21"/>
          <w:highlight w:val="none"/>
        </w:rPr>
        <w:t>设施养护维修</w:t>
      </w:r>
      <w:bookmarkEnd w:id="27"/>
      <w:r>
        <w:rPr>
          <w:rFonts w:hint="eastAsia" w:ascii="宋体" w:hAnsi="宋体" w:cs="Calibri"/>
          <w:color w:val="auto"/>
          <w:szCs w:val="21"/>
          <w:highlight w:val="none"/>
        </w:rPr>
        <w:t>任务处置期限与违约处理</w:t>
      </w:r>
    </w:p>
    <w:p w14:paraId="357B6128">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参照附件</w:t>
      </w:r>
      <w:r>
        <w:rPr>
          <w:rFonts w:ascii="宋体" w:hAnsi="宋体" w:cs="Calibri"/>
          <w:color w:val="auto"/>
          <w:szCs w:val="21"/>
          <w:highlight w:val="none"/>
        </w:rPr>
        <w:t>3《</w:t>
      </w:r>
      <w:r>
        <w:rPr>
          <w:rFonts w:hint="eastAsia" w:ascii="宋体" w:hAnsi="宋体" w:cs="Calibri"/>
          <w:color w:val="auto"/>
          <w:szCs w:val="21"/>
          <w:highlight w:val="none"/>
        </w:rPr>
        <w:t>崇川区市政设施养护维修考核评价标准》中“维护及时率考核”的相关</w:t>
      </w:r>
      <w:r>
        <w:rPr>
          <w:rFonts w:ascii="宋体" w:hAnsi="宋体" w:cs="Calibri"/>
          <w:color w:val="auto"/>
          <w:szCs w:val="21"/>
          <w:highlight w:val="none"/>
        </w:rPr>
        <w:t>条例</w:t>
      </w:r>
      <w:r>
        <w:rPr>
          <w:rFonts w:hint="eastAsia" w:ascii="宋体" w:hAnsi="宋体" w:cs="Calibri"/>
          <w:color w:val="auto"/>
          <w:szCs w:val="21"/>
          <w:highlight w:val="none"/>
        </w:rPr>
        <w:t>要求。</w:t>
      </w:r>
    </w:p>
    <w:p w14:paraId="62BB8865">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10.3设施养护维修质量违约及安全文明施工违约行为处理</w:t>
      </w:r>
    </w:p>
    <w:p w14:paraId="51F902B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参照附件</w:t>
      </w:r>
      <w:r>
        <w:rPr>
          <w:rFonts w:ascii="宋体" w:hAnsi="宋体" w:cs="Calibri"/>
          <w:color w:val="auto"/>
          <w:szCs w:val="21"/>
          <w:highlight w:val="none"/>
        </w:rPr>
        <w:t>3《</w:t>
      </w:r>
      <w:r>
        <w:rPr>
          <w:rFonts w:hint="eastAsia" w:ascii="宋体" w:hAnsi="宋体" w:cs="Calibri"/>
          <w:color w:val="auto"/>
          <w:szCs w:val="21"/>
          <w:highlight w:val="none"/>
        </w:rPr>
        <w:t>崇川区市政设施养护维修考核评价标准》中“质量安全要求”的相关</w:t>
      </w:r>
      <w:r>
        <w:rPr>
          <w:rFonts w:ascii="宋体" w:hAnsi="宋体" w:cs="Calibri"/>
          <w:color w:val="auto"/>
          <w:szCs w:val="21"/>
          <w:highlight w:val="none"/>
        </w:rPr>
        <w:t>条例</w:t>
      </w:r>
      <w:r>
        <w:rPr>
          <w:rFonts w:hint="eastAsia" w:ascii="宋体" w:hAnsi="宋体" w:cs="Calibri"/>
          <w:color w:val="auto"/>
          <w:szCs w:val="21"/>
          <w:highlight w:val="none"/>
        </w:rPr>
        <w:t>要求。</w:t>
      </w:r>
    </w:p>
    <w:p w14:paraId="4F9F5165">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10.</w:t>
      </w:r>
      <w:r>
        <w:rPr>
          <w:rFonts w:ascii="宋体" w:hAnsi="宋体" w:cs="Calibri"/>
          <w:color w:val="auto"/>
          <w:szCs w:val="21"/>
          <w:highlight w:val="none"/>
        </w:rPr>
        <w:t>4</w:t>
      </w:r>
      <w:r>
        <w:rPr>
          <w:rFonts w:hint="eastAsia" w:ascii="宋体" w:hAnsi="宋体" w:cs="Calibri"/>
          <w:color w:val="auto"/>
          <w:szCs w:val="21"/>
          <w:highlight w:val="none"/>
        </w:rPr>
        <w:t>资信违约行为</w:t>
      </w:r>
    </w:p>
    <w:p w14:paraId="43FEF5F8">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（1）承包人在施工过程中被发包人发现存在借资质行为，视为承包人违约，发包人有权立即解除合同。</w:t>
      </w:r>
    </w:p>
    <w:p w14:paraId="3759387F">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（2）承包人将工程内容违法转包或分包的，视为承包人违约，发包人有权立即解除合同。</w:t>
      </w:r>
    </w:p>
    <w:p w14:paraId="14104DAA">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10.</w:t>
      </w:r>
      <w:r>
        <w:rPr>
          <w:rFonts w:ascii="宋体" w:hAnsi="宋体" w:cs="Calibri"/>
          <w:color w:val="auto"/>
          <w:szCs w:val="21"/>
          <w:highlight w:val="none"/>
        </w:rPr>
        <w:t>5</w:t>
      </w:r>
      <w:r>
        <w:rPr>
          <w:rFonts w:hint="eastAsia" w:ascii="宋体" w:hAnsi="宋体" w:cs="Calibri"/>
          <w:color w:val="auto"/>
          <w:szCs w:val="21"/>
          <w:highlight w:val="none"/>
        </w:rPr>
        <w:t>信访投诉违约行为</w:t>
      </w:r>
    </w:p>
    <w:p w14:paraId="38A8AD6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参照附件</w:t>
      </w:r>
      <w:r>
        <w:rPr>
          <w:rFonts w:ascii="宋体" w:hAnsi="宋体" w:cs="Calibri"/>
          <w:color w:val="auto"/>
          <w:szCs w:val="21"/>
          <w:highlight w:val="none"/>
        </w:rPr>
        <w:t>3《</w:t>
      </w:r>
      <w:r>
        <w:rPr>
          <w:rFonts w:hint="eastAsia" w:ascii="宋体" w:hAnsi="宋体" w:cs="Calibri"/>
          <w:color w:val="auto"/>
          <w:szCs w:val="21"/>
          <w:highlight w:val="none"/>
        </w:rPr>
        <w:t>崇川区市政设施养护维修考核评价标准》中“其他”的相关</w:t>
      </w:r>
      <w:r>
        <w:rPr>
          <w:rFonts w:ascii="宋体" w:hAnsi="宋体" w:cs="Calibri"/>
          <w:color w:val="auto"/>
          <w:szCs w:val="21"/>
          <w:highlight w:val="none"/>
        </w:rPr>
        <w:t>条例</w:t>
      </w:r>
      <w:r>
        <w:rPr>
          <w:rFonts w:hint="eastAsia" w:ascii="宋体" w:hAnsi="宋体" w:cs="Calibri"/>
          <w:color w:val="auto"/>
          <w:szCs w:val="21"/>
          <w:highlight w:val="none"/>
        </w:rPr>
        <w:t>要求。因承包人的原因出现质量问题、安全事故或者因其他原因受到报纸、电视等媒体的曝光或被政府有关主管部门通报批评，给本工程的社会形象带来负面影响，情节严重的发包人有权解除合同。</w:t>
      </w:r>
    </w:p>
    <w:p w14:paraId="285E12E4">
      <w:pPr>
        <w:keepNext/>
        <w:keepLines/>
        <w:spacing w:before="240" w:beforeLines="100"/>
        <w:jc w:val="left"/>
        <w:outlineLvl w:val="2"/>
        <w:rPr>
          <w:rFonts w:hint="eastAsia" w:ascii="宋体" w:hAnsi="宋体" w:cs="Calibri"/>
          <w:color w:val="auto"/>
          <w:szCs w:val="21"/>
          <w:highlight w:val="none"/>
        </w:rPr>
      </w:pPr>
      <w:r>
        <w:rPr>
          <w:rFonts w:hint="eastAsia" w:ascii="宋体" w:hAnsi="宋体" w:cs="宋体"/>
          <w:b/>
          <w:bCs/>
          <w:color w:val="auto"/>
          <w:szCs w:val="21"/>
          <w:highlight w:val="none"/>
        </w:rPr>
        <w:t>11.缺陷责任</w:t>
      </w:r>
      <w:r>
        <w:rPr>
          <w:rFonts w:hint="eastAsia" w:ascii="宋体" w:hAnsi="宋体" w:cs="Calibri"/>
          <w:color w:val="auto"/>
          <w:szCs w:val="21"/>
          <w:highlight w:val="none"/>
        </w:rPr>
        <w:t xml:space="preserve"> </w:t>
      </w:r>
    </w:p>
    <w:p w14:paraId="0267575F">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11.1缺陷责任期限：</w:t>
      </w:r>
      <w:r>
        <w:rPr>
          <w:rFonts w:hint="eastAsia" w:ascii="宋体" w:hAnsi="宋体" w:cs="Calibri"/>
          <w:color w:val="auto"/>
          <w:szCs w:val="21"/>
          <w:highlight w:val="none"/>
          <w:u w:val="single"/>
        </w:rPr>
        <w:t>一年（12个月）</w:t>
      </w:r>
      <w:r>
        <w:rPr>
          <w:rFonts w:hint="eastAsia" w:ascii="宋体" w:hAnsi="宋体" w:cs="Calibri"/>
          <w:color w:val="auto"/>
          <w:szCs w:val="21"/>
          <w:highlight w:val="none"/>
        </w:rPr>
        <w:t>，自竣工（完工）验收合格之日起开始计算缺陷责任期。</w:t>
      </w:r>
    </w:p>
    <w:p w14:paraId="2F3BE7F3">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11.2缺陷责任期间，因施工质量问题，供应商应在接到修理通知后收到通知后24小时内内派人修理。否则，采购人可委托其它单位和人员修理。因供应商原因造成返修的费用，采购人在尾款内扣除，不足部分由供应商交付。非供应商原因造成的返修经济支出由采购人承担。</w:t>
      </w:r>
    </w:p>
    <w:p w14:paraId="59BDA691">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12.保险</w:t>
      </w:r>
    </w:p>
    <w:p w14:paraId="765252F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 xml:space="preserve">12.1承包人投保内容须至少包含从事危险作业职工的意外伤害险、作业人员的意外伤害险。 </w:t>
      </w:r>
    </w:p>
    <w:p w14:paraId="2C8FB577">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13.其他约定</w:t>
      </w:r>
    </w:p>
    <w:p w14:paraId="30099262">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13.1如有创建卫生文明城市等活动，发包人有权支配承包人完成相关工作，也有权支配其他施工队伍配合完成相关活动工作。</w:t>
      </w:r>
    </w:p>
    <w:p w14:paraId="1AF59EA3">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13.2合同履行期间，一旦发现养护单位恶意破坏或串通他人恶意破坏市政设施的情形，立即终止合同，同时保留对违法承包人起诉的权利。</w:t>
      </w:r>
    </w:p>
    <w:p w14:paraId="08A408A0">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14.争议，仲裁</w:t>
      </w:r>
    </w:p>
    <w:p w14:paraId="26A9A661">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14.1发、承包双方在合同执行过程中发生争议，当事人应本着协商的原则解决，协商不成时，首先在双方自愿的情况下，由主管部门调解，调解不成时，可按下列程序解决：</w:t>
      </w:r>
    </w:p>
    <w:p w14:paraId="2011CB1B">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（1）向</w:t>
      </w:r>
      <w:r>
        <w:rPr>
          <w:rFonts w:hint="eastAsia" w:ascii="宋体" w:hAnsi="宋体" w:cs="Calibri"/>
          <w:color w:val="auto"/>
          <w:szCs w:val="21"/>
          <w:highlight w:val="none"/>
          <w:u w:val="single"/>
        </w:rPr>
        <w:t xml:space="preserve">  崇川区人民法院  </w:t>
      </w:r>
      <w:r>
        <w:rPr>
          <w:rFonts w:hint="eastAsia" w:ascii="宋体" w:hAnsi="宋体" w:cs="Calibri"/>
          <w:color w:val="auto"/>
          <w:szCs w:val="21"/>
          <w:highlight w:val="none"/>
        </w:rPr>
        <w:t>起诉。</w:t>
      </w:r>
    </w:p>
    <w:p w14:paraId="28D58D18">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15.合同附件</w:t>
      </w:r>
    </w:p>
    <w:p w14:paraId="790C6814">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15.1</w:t>
      </w:r>
      <w:r>
        <w:rPr>
          <w:rFonts w:hint="eastAsia" w:ascii="宋体" w:hAnsi="宋体" w:cs="Calibri"/>
          <w:color w:val="auto"/>
          <w:szCs w:val="21"/>
          <w:highlight w:val="none"/>
          <w:lang w:val="en-US" w:eastAsia="zh-CN"/>
        </w:rPr>
        <w:t>采购</w:t>
      </w:r>
      <w:r>
        <w:rPr>
          <w:rFonts w:hint="eastAsia" w:ascii="宋体" w:hAnsi="宋体" w:cs="Calibri"/>
          <w:color w:val="auto"/>
          <w:szCs w:val="21"/>
          <w:highlight w:val="none"/>
        </w:rPr>
        <w:t>公告</w:t>
      </w:r>
    </w:p>
    <w:p w14:paraId="3302A3DE">
      <w:pPr>
        <w:spacing w:line="400" w:lineRule="exact"/>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15.2有关协议条款及补充合同</w:t>
      </w:r>
    </w:p>
    <w:p w14:paraId="0E2B4D38">
      <w:pPr>
        <w:keepNext/>
        <w:keepLines/>
        <w:spacing w:before="240" w:beforeLines="100"/>
        <w:jc w:val="left"/>
        <w:outlineLvl w:val="2"/>
        <w:rPr>
          <w:rFonts w:hint="eastAsia" w:ascii="宋体" w:hAnsi="宋体" w:cs="宋体"/>
          <w:b/>
          <w:bCs/>
          <w:color w:val="auto"/>
          <w:sz w:val="24"/>
          <w:highlight w:val="none"/>
        </w:rPr>
      </w:pPr>
      <w:r>
        <w:rPr>
          <w:rFonts w:hint="eastAsia" w:ascii="宋体" w:hAnsi="宋体" w:cs="宋体"/>
          <w:b/>
          <w:bCs/>
          <w:color w:val="auto"/>
          <w:sz w:val="24"/>
          <w:highlight w:val="none"/>
        </w:rPr>
        <w:t>16.合同份数及有效期</w:t>
      </w:r>
    </w:p>
    <w:p w14:paraId="2A131565">
      <w:pPr>
        <w:spacing w:line="400" w:lineRule="exact"/>
        <w:ind w:firstLine="420" w:firstLineChars="200"/>
        <w:rPr>
          <w:rFonts w:hint="eastAsia" w:ascii="宋体" w:hAnsi="宋体" w:eastAsia="宋体" w:cs="Calibri"/>
          <w:color w:val="auto"/>
          <w:szCs w:val="21"/>
          <w:highlight w:val="none"/>
        </w:rPr>
      </w:pPr>
      <w:r>
        <w:rPr>
          <w:rFonts w:hint="eastAsia" w:ascii="宋体" w:hAnsi="宋体" w:cs="Calibri"/>
          <w:color w:val="auto"/>
          <w:szCs w:val="21"/>
          <w:highlight w:val="none"/>
        </w:rPr>
        <w:t>16.1本合同一式</w:t>
      </w:r>
      <w:r>
        <w:rPr>
          <w:rFonts w:hint="eastAsia" w:ascii="宋体" w:hAnsi="宋体" w:cs="Calibri"/>
          <w:color w:val="auto"/>
          <w:szCs w:val="21"/>
          <w:highlight w:val="none"/>
          <w:u w:val="single"/>
        </w:rPr>
        <w:t>陆</w:t>
      </w:r>
      <w:r>
        <w:rPr>
          <w:rFonts w:hint="eastAsia" w:ascii="宋体" w:hAnsi="宋体" w:cs="Calibri"/>
          <w:color w:val="auto"/>
          <w:szCs w:val="21"/>
          <w:highlight w:val="none"/>
        </w:rPr>
        <w:t>份。双方各执</w:t>
      </w:r>
      <w:r>
        <w:rPr>
          <w:rFonts w:hint="eastAsia" w:ascii="宋体" w:hAnsi="宋体" w:cs="Calibri"/>
          <w:color w:val="auto"/>
          <w:szCs w:val="21"/>
          <w:highlight w:val="none"/>
          <w:u w:val="single"/>
        </w:rPr>
        <w:t>叁</w:t>
      </w:r>
      <w:r>
        <w:rPr>
          <w:rFonts w:hint="eastAsia" w:ascii="宋体" w:hAnsi="宋体" w:cs="Calibri"/>
          <w:color w:val="auto"/>
          <w:szCs w:val="21"/>
          <w:highlight w:val="none"/>
        </w:rPr>
        <w:t>份。</w:t>
      </w:r>
    </w:p>
    <w:p w14:paraId="755DD499">
      <w:pPr>
        <w:autoSpaceDE w:val="0"/>
        <w:autoSpaceDN w:val="0"/>
        <w:adjustRightInd w:val="0"/>
        <w:spacing w:line="420" w:lineRule="exact"/>
        <w:ind w:firstLine="480"/>
        <w:rPr>
          <w:rFonts w:hint="eastAsia" w:hAnsi="宋体" w:cs="宋体"/>
          <w:color w:val="auto"/>
          <w:szCs w:val="21"/>
          <w:highlight w:val="none"/>
          <w:lang w:val="zh-CN"/>
        </w:rPr>
      </w:pPr>
      <w:r>
        <w:rPr>
          <w:rFonts w:hint="eastAsia" w:ascii="宋体" w:hAnsi="宋体" w:cs="Calibri"/>
          <w:color w:val="auto"/>
          <w:szCs w:val="21"/>
          <w:highlight w:val="none"/>
        </w:rPr>
        <w:t>16.2本合同自双方签订之日起生效。</w:t>
      </w:r>
    </w:p>
    <w:p w14:paraId="4AE86F0B">
      <w:pPr>
        <w:autoSpaceDE w:val="0"/>
        <w:autoSpaceDN w:val="0"/>
        <w:adjustRightInd w:val="0"/>
        <w:spacing w:line="420" w:lineRule="exact"/>
        <w:ind w:firstLine="480"/>
        <w:rPr>
          <w:rFonts w:hint="eastAsia" w:hAnsi="宋体" w:cs="宋体"/>
          <w:color w:val="auto"/>
          <w:szCs w:val="21"/>
          <w:highlight w:val="none"/>
          <w:lang w:val="zh-CN"/>
        </w:rPr>
      </w:pPr>
    </w:p>
    <w:p w14:paraId="0F9D2BB6">
      <w:pPr>
        <w:autoSpaceDE w:val="0"/>
        <w:autoSpaceDN w:val="0"/>
        <w:adjustRightInd w:val="0"/>
        <w:spacing w:line="420" w:lineRule="exact"/>
        <w:jc w:val="left"/>
        <w:rPr>
          <w:rFonts w:hint="eastAsia" w:hAnsi="宋体" w:cs="宋体"/>
          <w:b/>
          <w:color w:val="auto"/>
          <w:szCs w:val="21"/>
          <w:highlight w:val="none"/>
          <w:lang w:val="zh-CN"/>
        </w:rPr>
      </w:pPr>
      <w:r>
        <w:rPr>
          <w:rFonts w:hint="eastAsia" w:hAnsi="宋体" w:cs="宋体"/>
          <w:b/>
          <w:color w:val="auto"/>
          <w:szCs w:val="21"/>
          <w:highlight w:val="none"/>
          <w:lang w:val="zh-CN"/>
        </w:rPr>
        <w:t>专用合同条款附件：</w:t>
      </w:r>
    </w:p>
    <w:p w14:paraId="4A327814">
      <w:pPr>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附件1：</w:t>
      </w:r>
      <w:r>
        <w:rPr>
          <w:rFonts w:hint="eastAsia" w:hAnsi="宋体" w:cs="宋体"/>
          <w:bCs/>
          <w:color w:val="auto"/>
          <w:szCs w:val="21"/>
          <w:highlight w:val="none"/>
        </w:rPr>
        <w:t>崇川区市政设施养护维修技术标准</w:t>
      </w:r>
    </w:p>
    <w:p w14:paraId="748759FB">
      <w:pPr>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w:t>
      </w:r>
      <w:r>
        <w:rPr>
          <w:rFonts w:hint="eastAsia" w:hAnsi="宋体" w:cs="宋体"/>
          <w:color w:val="auto"/>
          <w:szCs w:val="21"/>
          <w:highlight w:val="none"/>
        </w:rPr>
        <w:t>2</w:t>
      </w:r>
      <w:r>
        <w:rPr>
          <w:rFonts w:hint="eastAsia" w:hAnsi="宋体" w:cs="宋体"/>
          <w:color w:val="auto"/>
          <w:szCs w:val="21"/>
          <w:highlight w:val="none"/>
          <w:lang w:val="zh-CN"/>
        </w:rPr>
        <w:t>：崇川区市政设施巡查考核评价标准</w:t>
      </w:r>
    </w:p>
    <w:p w14:paraId="7FEB5B86">
      <w:pPr>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w:t>
      </w:r>
      <w:r>
        <w:rPr>
          <w:rFonts w:hint="eastAsia" w:hAnsi="宋体" w:cs="宋体"/>
          <w:color w:val="auto"/>
          <w:szCs w:val="21"/>
          <w:highlight w:val="none"/>
        </w:rPr>
        <w:t>3</w:t>
      </w:r>
      <w:r>
        <w:rPr>
          <w:rFonts w:hint="eastAsia" w:hAnsi="宋体" w:cs="宋体"/>
          <w:color w:val="auto"/>
          <w:szCs w:val="21"/>
          <w:highlight w:val="none"/>
          <w:lang w:val="zh-CN"/>
        </w:rPr>
        <w:t>：崇川区市政设施养护维修考核评价标准</w:t>
      </w:r>
    </w:p>
    <w:p w14:paraId="2B777F7B">
      <w:pPr>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附件4：城市道路养护维修作业安全防护设施技术规程</w:t>
      </w:r>
    </w:p>
    <w:p w14:paraId="4B3487D3">
      <w:pPr>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附件5：廉政合同</w:t>
      </w:r>
    </w:p>
    <w:p w14:paraId="55E71EF4">
      <w:pPr>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附件6：农民工资保证协议</w:t>
      </w:r>
    </w:p>
    <w:p w14:paraId="36C2CC69">
      <w:pPr>
        <w:widowControl/>
        <w:autoSpaceDE w:val="0"/>
        <w:autoSpaceDN w:val="0"/>
        <w:adjustRightInd w:val="0"/>
        <w:spacing w:line="420" w:lineRule="exact"/>
        <w:jc w:val="left"/>
        <w:rPr>
          <w:rFonts w:hint="eastAsia" w:hAnsi="宋体" w:cs="宋体"/>
          <w:color w:val="auto"/>
          <w:szCs w:val="21"/>
          <w:highlight w:val="none"/>
          <w:lang w:val="zh-CN"/>
        </w:rPr>
      </w:pPr>
      <w:r>
        <w:rPr>
          <w:rFonts w:hint="eastAsia" w:hAnsi="宋体" w:cs="宋体"/>
          <w:color w:val="auto"/>
          <w:szCs w:val="21"/>
          <w:highlight w:val="none"/>
          <w:lang w:val="zh-CN"/>
        </w:rPr>
        <w:t>附件7：安全生产协议书</w:t>
      </w:r>
    </w:p>
    <w:p w14:paraId="300019F3">
      <w:pPr>
        <w:widowControl/>
        <w:jc w:val="left"/>
        <w:outlineLvl w:val="2"/>
        <w:rPr>
          <w:rFonts w:hint="eastAsia" w:ascii="宋体" w:hAnsi="宋体" w:cs="宋体"/>
          <w:b/>
          <w:bCs/>
          <w:color w:val="auto"/>
          <w:kern w:val="0"/>
          <w:sz w:val="36"/>
          <w:szCs w:val="36"/>
          <w:highlight w:val="none"/>
          <w:lang w:bidi="ar"/>
        </w:rPr>
      </w:pPr>
    </w:p>
    <w:p w14:paraId="0C48A997">
      <w:pPr>
        <w:widowControl/>
        <w:jc w:val="left"/>
        <w:outlineLvl w:val="2"/>
        <w:rPr>
          <w:rFonts w:hint="eastAsia" w:ascii="宋体" w:hAnsi="宋体" w:cs="宋体"/>
          <w:b/>
          <w:bCs/>
          <w:color w:val="auto"/>
          <w:kern w:val="0"/>
          <w:sz w:val="36"/>
          <w:szCs w:val="36"/>
          <w:highlight w:val="none"/>
          <w:lang w:bidi="ar"/>
        </w:rPr>
      </w:pPr>
    </w:p>
    <w:p w14:paraId="4F8ECB9E">
      <w:pPr>
        <w:widowControl/>
        <w:jc w:val="left"/>
        <w:outlineLvl w:val="2"/>
        <w:rPr>
          <w:rFonts w:hint="eastAsia" w:ascii="宋体" w:hAnsi="宋体" w:cs="宋体"/>
          <w:b/>
          <w:bCs/>
          <w:color w:val="auto"/>
          <w:kern w:val="0"/>
          <w:sz w:val="36"/>
          <w:szCs w:val="36"/>
          <w:highlight w:val="none"/>
          <w:lang w:bidi="ar"/>
        </w:rPr>
      </w:pPr>
    </w:p>
    <w:p w14:paraId="72A5339C">
      <w:pPr>
        <w:widowControl/>
        <w:jc w:val="left"/>
        <w:outlineLvl w:val="2"/>
        <w:rPr>
          <w:rFonts w:hint="eastAsia" w:ascii="宋体" w:hAnsi="宋体" w:cs="宋体"/>
          <w:b/>
          <w:bCs/>
          <w:color w:val="auto"/>
          <w:kern w:val="0"/>
          <w:sz w:val="36"/>
          <w:szCs w:val="36"/>
          <w:highlight w:val="none"/>
          <w:lang w:bidi="ar"/>
        </w:rPr>
      </w:pPr>
    </w:p>
    <w:p w14:paraId="4B307A91">
      <w:pPr>
        <w:widowControl/>
        <w:jc w:val="left"/>
        <w:outlineLvl w:val="2"/>
        <w:rPr>
          <w:color w:val="auto"/>
          <w:highlight w:val="none"/>
        </w:rPr>
      </w:pPr>
      <w:r>
        <w:rPr>
          <w:rFonts w:hint="eastAsia" w:ascii="宋体" w:hAnsi="宋体" w:cs="宋体"/>
          <w:b/>
          <w:bCs/>
          <w:color w:val="auto"/>
          <w:kern w:val="0"/>
          <w:sz w:val="36"/>
          <w:szCs w:val="36"/>
          <w:highlight w:val="none"/>
          <w:lang w:bidi="ar"/>
        </w:rPr>
        <w:t xml:space="preserve">附件1：崇川区市政设施养护维修技术标准 </w:t>
      </w:r>
    </w:p>
    <w:p w14:paraId="2E4E33FF">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为加强城市道路养护技术管理，全面推进市政设施养护维修作业的科学性、规范性，逐步提高市政养护维修的质量水平，根据新颁布（修订）的国家行业标准，结合崇川区本地特点制定本标准。</w:t>
      </w:r>
    </w:p>
    <w:p w14:paraId="6665F9DC">
      <w:pPr>
        <w:spacing w:line="440" w:lineRule="exact"/>
        <w:rPr>
          <w:rFonts w:hint="eastAsia" w:hAnsi="宋体" w:cs="宋体"/>
          <w:b/>
          <w:bCs/>
          <w:color w:val="auto"/>
          <w:szCs w:val="21"/>
          <w:highlight w:val="none"/>
        </w:rPr>
      </w:pPr>
      <w:r>
        <w:rPr>
          <w:rFonts w:hint="eastAsia" w:hAnsi="宋体" w:cs="宋体"/>
          <w:b/>
          <w:bCs/>
          <w:color w:val="auto"/>
          <w:szCs w:val="21"/>
          <w:highlight w:val="none"/>
        </w:rPr>
        <w:t>一、适用范围</w:t>
      </w:r>
    </w:p>
    <w:p w14:paraId="33168731">
      <w:pPr>
        <w:spacing w:line="400" w:lineRule="exact"/>
        <w:rPr>
          <w:rFonts w:hint="eastAsia" w:hAnsi="宋体" w:cs="宋体"/>
          <w:color w:val="auto"/>
          <w:szCs w:val="21"/>
          <w:highlight w:val="none"/>
        </w:rPr>
      </w:pPr>
      <w:r>
        <w:rPr>
          <w:rFonts w:hAnsi="宋体" w:cs="宋体"/>
          <w:color w:val="auto"/>
          <w:szCs w:val="21"/>
          <w:highlight w:val="none"/>
        </w:rPr>
        <w:t>1</w:t>
      </w:r>
      <w:r>
        <w:rPr>
          <w:rFonts w:hint="eastAsia" w:hAnsi="宋体" w:cs="宋体"/>
          <w:color w:val="auto"/>
          <w:szCs w:val="21"/>
          <w:highlight w:val="none"/>
        </w:rPr>
        <w:t>、路面设施养护维修</w:t>
      </w:r>
    </w:p>
    <w:p w14:paraId="1A8F33C3">
      <w:pPr>
        <w:spacing w:line="400" w:lineRule="exact"/>
        <w:rPr>
          <w:rFonts w:hint="eastAsia" w:hAnsi="宋体" w:cs="宋体"/>
          <w:color w:val="auto"/>
          <w:szCs w:val="21"/>
          <w:highlight w:val="none"/>
        </w:rPr>
      </w:pPr>
      <w:r>
        <w:rPr>
          <w:rFonts w:hAnsi="宋体" w:cs="宋体"/>
          <w:color w:val="auto"/>
          <w:szCs w:val="21"/>
          <w:highlight w:val="none"/>
        </w:rPr>
        <w:t>1.1</w:t>
      </w:r>
      <w:r>
        <w:rPr>
          <w:rFonts w:hint="eastAsia" w:hAnsi="宋体" w:cs="宋体"/>
          <w:color w:val="auto"/>
          <w:szCs w:val="21"/>
          <w:highlight w:val="none"/>
        </w:rPr>
        <w:t>路面养护</w:t>
      </w:r>
    </w:p>
    <w:p w14:paraId="677112BD">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路面零星补坑、侧缘石修补、树穴石修补，以及为保持路面功能和设施完好所进行的稀浆封层、钻孔注浆、裂缝灌缝等日常预防性保养。</w:t>
      </w:r>
    </w:p>
    <w:p w14:paraId="3BCE4BDC">
      <w:pPr>
        <w:spacing w:line="400" w:lineRule="exact"/>
        <w:rPr>
          <w:rFonts w:hint="eastAsia" w:hAnsi="宋体" w:cs="宋体"/>
          <w:color w:val="auto"/>
          <w:szCs w:val="21"/>
          <w:highlight w:val="none"/>
        </w:rPr>
      </w:pPr>
      <w:r>
        <w:rPr>
          <w:rFonts w:hint="eastAsia" w:hAnsi="宋体" w:cs="宋体"/>
          <w:color w:val="auto"/>
          <w:szCs w:val="21"/>
          <w:highlight w:val="none"/>
        </w:rPr>
        <w:t>1.</w:t>
      </w:r>
      <w:r>
        <w:rPr>
          <w:rFonts w:hAnsi="宋体" w:cs="宋体"/>
          <w:color w:val="auto"/>
          <w:szCs w:val="21"/>
          <w:highlight w:val="none"/>
        </w:rPr>
        <w:t>2</w:t>
      </w:r>
      <w:r>
        <w:rPr>
          <w:rFonts w:hint="eastAsia" w:hAnsi="宋体" w:cs="宋体"/>
          <w:color w:val="auto"/>
          <w:szCs w:val="21"/>
          <w:highlight w:val="none"/>
        </w:rPr>
        <w:t>道路维修</w:t>
      </w:r>
    </w:p>
    <w:p w14:paraId="6BC03FD5">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对一般性磨耗和局部损坏进行的定期的维修工程，以恢复道路原有技术状况。</w:t>
      </w:r>
    </w:p>
    <w:p w14:paraId="2CB3D4C5">
      <w:pPr>
        <w:spacing w:line="400" w:lineRule="exact"/>
        <w:rPr>
          <w:rFonts w:hint="eastAsia" w:hAnsi="宋体" w:cs="宋体"/>
          <w:color w:val="auto"/>
          <w:szCs w:val="21"/>
          <w:highlight w:val="none"/>
        </w:rPr>
      </w:pPr>
      <w:r>
        <w:rPr>
          <w:rFonts w:hint="eastAsia" w:hAnsi="宋体" w:cs="宋体"/>
          <w:color w:val="auto"/>
          <w:szCs w:val="21"/>
          <w:highlight w:val="none"/>
        </w:rPr>
        <w:t>2、桥梁设施养护维修</w:t>
      </w:r>
    </w:p>
    <w:p w14:paraId="349CAC1C">
      <w:pPr>
        <w:spacing w:line="400" w:lineRule="exact"/>
        <w:rPr>
          <w:rFonts w:hint="eastAsia" w:hAnsi="宋体" w:cs="宋体"/>
          <w:color w:val="auto"/>
          <w:szCs w:val="21"/>
          <w:highlight w:val="none"/>
        </w:rPr>
      </w:pPr>
      <w:r>
        <w:rPr>
          <w:rFonts w:hint="eastAsia" w:hAnsi="宋体" w:cs="宋体"/>
          <w:color w:val="auto"/>
          <w:szCs w:val="21"/>
          <w:highlight w:val="none"/>
        </w:rPr>
        <w:t>2.1桥梁养护</w:t>
      </w:r>
    </w:p>
    <w:p w14:paraId="71A68FCC">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伸缩缝清理、排水孔清理、栏杆清洗除锈补漆等。</w:t>
      </w:r>
    </w:p>
    <w:p w14:paraId="3A2ED9B2">
      <w:pPr>
        <w:spacing w:line="400" w:lineRule="exact"/>
        <w:rPr>
          <w:rFonts w:hint="eastAsia" w:hAnsi="宋体" w:cs="宋体"/>
          <w:color w:val="auto"/>
          <w:szCs w:val="21"/>
          <w:highlight w:val="none"/>
        </w:rPr>
      </w:pPr>
      <w:r>
        <w:rPr>
          <w:rFonts w:hint="eastAsia" w:hAnsi="宋体" w:cs="宋体"/>
          <w:color w:val="auto"/>
          <w:szCs w:val="21"/>
          <w:highlight w:val="none"/>
        </w:rPr>
        <w:t>2.2桥梁维修</w:t>
      </w:r>
    </w:p>
    <w:p w14:paraId="6E5ECA87">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对桥梁的一般性损坏进行修理，恢复其原有的技术水平和标准，包括：栏杆更换、桥面铺装与饰面维修、支座维修、沉降缝维修、伸缩缝更换、结构修补及特种加固等。</w:t>
      </w:r>
    </w:p>
    <w:p w14:paraId="742EDE88">
      <w:pPr>
        <w:spacing w:line="400" w:lineRule="exact"/>
        <w:rPr>
          <w:rFonts w:hint="eastAsia" w:hAnsi="宋体" w:cs="宋体"/>
          <w:b/>
          <w:bCs/>
          <w:color w:val="auto"/>
          <w:szCs w:val="21"/>
          <w:highlight w:val="none"/>
        </w:rPr>
      </w:pPr>
      <w:r>
        <w:rPr>
          <w:rFonts w:hint="eastAsia" w:hAnsi="宋体" w:cs="宋体"/>
          <w:b/>
          <w:bCs/>
          <w:color w:val="auto"/>
          <w:szCs w:val="21"/>
          <w:highlight w:val="none"/>
        </w:rPr>
        <w:t>二、制定依据</w:t>
      </w:r>
    </w:p>
    <w:p w14:paraId="37B7CE70">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《城市道路管理条例》</w:t>
      </w:r>
      <w:bookmarkStart w:id="28" w:name="_Hlk60985698"/>
      <w:r>
        <w:rPr>
          <w:rFonts w:hint="eastAsia" w:hAnsi="宋体" w:cs="宋体"/>
          <w:color w:val="auto"/>
          <w:szCs w:val="21"/>
          <w:highlight w:val="none"/>
        </w:rPr>
        <w:t>（国务院令第198号）</w:t>
      </w:r>
      <w:bookmarkEnd w:id="28"/>
    </w:p>
    <w:p w14:paraId="74249305">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《建设工程安全生产管理条例》（国务院令第</w:t>
      </w:r>
      <w:r>
        <w:rPr>
          <w:rFonts w:hAnsi="宋体" w:cs="宋体"/>
          <w:color w:val="auto"/>
          <w:szCs w:val="21"/>
          <w:highlight w:val="none"/>
        </w:rPr>
        <w:t>393</w:t>
      </w:r>
      <w:r>
        <w:rPr>
          <w:rFonts w:hint="eastAsia" w:hAnsi="宋体" w:cs="宋体"/>
          <w:color w:val="auto"/>
          <w:szCs w:val="21"/>
          <w:highlight w:val="none"/>
        </w:rPr>
        <w:t>号）</w:t>
      </w:r>
    </w:p>
    <w:p w14:paraId="15BBA353">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《城镇道路养护技术规范》CJJ36-2016</w:t>
      </w:r>
    </w:p>
    <w:p w14:paraId="2A253DB5">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 xml:space="preserve">《城市桥梁养护技术标准》CJJ99-2017 </w:t>
      </w:r>
    </w:p>
    <w:p w14:paraId="32DB07C8">
      <w:pPr>
        <w:spacing w:line="400" w:lineRule="exact"/>
        <w:ind w:firstLine="420" w:firstLineChars="200"/>
        <w:rPr>
          <w:rFonts w:hint="eastAsia" w:hAnsi="宋体" w:cs="宋体"/>
          <w:color w:val="auto"/>
          <w:szCs w:val="21"/>
          <w:highlight w:val="none"/>
        </w:rPr>
      </w:pPr>
      <w:r>
        <w:rPr>
          <w:rFonts w:hint="eastAsia" w:hAnsi="宋体" w:cs="宋体"/>
          <w:color w:val="auto"/>
          <w:szCs w:val="21"/>
          <w:highlight w:val="none"/>
        </w:rPr>
        <w:t>《无障碍设计规范》GB 50763-2012</w:t>
      </w:r>
    </w:p>
    <w:p w14:paraId="3BFEC9CA">
      <w:pPr>
        <w:spacing w:line="440" w:lineRule="exact"/>
        <w:rPr>
          <w:rFonts w:hint="eastAsia" w:hAnsi="宋体" w:cs="宋体"/>
          <w:b/>
          <w:bCs/>
          <w:color w:val="auto"/>
          <w:szCs w:val="21"/>
          <w:highlight w:val="none"/>
        </w:rPr>
      </w:pPr>
      <w:r>
        <w:rPr>
          <w:rFonts w:hint="eastAsia" w:hAnsi="宋体" w:cs="宋体"/>
          <w:b/>
          <w:bCs/>
          <w:color w:val="auto"/>
          <w:szCs w:val="21"/>
          <w:highlight w:val="none"/>
        </w:rPr>
        <w:t>三、病害与缺陷界定</w:t>
      </w:r>
    </w:p>
    <w:p w14:paraId="6416872C">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1、沥青路面</w:t>
      </w:r>
    </w:p>
    <w:tbl>
      <w:tblPr>
        <w:tblStyle w:val="25"/>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529"/>
        <w:gridCol w:w="7110"/>
      </w:tblGrid>
      <w:tr w14:paraId="79E47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633" w:type="dxa"/>
            <w:vAlign w:val="center"/>
          </w:tcPr>
          <w:p w14:paraId="6206CB72">
            <w:pPr>
              <w:spacing w:line="440" w:lineRule="exact"/>
              <w:rPr>
                <w:rFonts w:hint="eastAsia" w:hAnsi="宋体" w:cs="宋体"/>
                <w:color w:val="auto"/>
                <w:szCs w:val="21"/>
                <w:highlight w:val="none"/>
              </w:rPr>
            </w:pPr>
            <w:r>
              <w:rPr>
                <w:rFonts w:hint="eastAsia" w:hAnsi="宋体" w:cs="宋体"/>
                <w:color w:val="auto"/>
                <w:szCs w:val="21"/>
                <w:highlight w:val="none"/>
              </w:rPr>
              <w:t>序</w:t>
            </w:r>
          </w:p>
        </w:tc>
        <w:tc>
          <w:tcPr>
            <w:tcW w:w="1529" w:type="dxa"/>
            <w:vAlign w:val="center"/>
          </w:tcPr>
          <w:p w14:paraId="18C37E36">
            <w:pPr>
              <w:spacing w:line="440" w:lineRule="exact"/>
              <w:rPr>
                <w:rFonts w:hint="eastAsia" w:hAnsi="宋体" w:cs="宋体"/>
                <w:color w:val="auto"/>
                <w:szCs w:val="21"/>
                <w:highlight w:val="none"/>
              </w:rPr>
            </w:pPr>
            <w:r>
              <w:rPr>
                <w:rFonts w:hint="eastAsia" w:hAnsi="宋体" w:cs="宋体"/>
                <w:color w:val="auto"/>
                <w:szCs w:val="21"/>
                <w:highlight w:val="none"/>
              </w:rPr>
              <w:t>名称</w:t>
            </w:r>
          </w:p>
        </w:tc>
        <w:tc>
          <w:tcPr>
            <w:tcW w:w="7110" w:type="dxa"/>
            <w:vAlign w:val="center"/>
          </w:tcPr>
          <w:p w14:paraId="34D881F4">
            <w:pPr>
              <w:spacing w:line="440" w:lineRule="exact"/>
              <w:rPr>
                <w:rFonts w:hint="eastAsia" w:hAnsi="宋体" w:cs="宋体"/>
                <w:color w:val="auto"/>
                <w:szCs w:val="21"/>
                <w:highlight w:val="none"/>
              </w:rPr>
            </w:pPr>
            <w:r>
              <w:rPr>
                <w:rFonts w:hint="eastAsia" w:hAnsi="宋体" w:cs="宋体"/>
                <w:color w:val="auto"/>
                <w:szCs w:val="21"/>
                <w:highlight w:val="none"/>
              </w:rPr>
              <w:t>标准范围</w:t>
            </w:r>
          </w:p>
        </w:tc>
      </w:tr>
      <w:tr w14:paraId="2E75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633" w:type="dxa"/>
            <w:vAlign w:val="center"/>
          </w:tcPr>
          <w:p w14:paraId="4E3676A8">
            <w:pPr>
              <w:spacing w:line="440" w:lineRule="exact"/>
              <w:rPr>
                <w:rFonts w:hint="eastAsia" w:hAnsi="宋体" w:cs="宋体"/>
                <w:color w:val="auto"/>
                <w:szCs w:val="21"/>
                <w:highlight w:val="none"/>
              </w:rPr>
            </w:pPr>
            <w:r>
              <w:rPr>
                <w:rFonts w:hint="eastAsia" w:hAnsi="宋体" w:cs="宋体"/>
                <w:color w:val="auto"/>
                <w:szCs w:val="21"/>
                <w:highlight w:val="none"/>
              </w:rPr>
              <w:t>1</w:t>
            </w:r>
          </w:p>
        </w:tc>
        <w:tc>
          <w:tcPr>
            <w:tcW w:w="1529" w:type="dxa"/>
            <w:vAlign w:val="center"/>
          </w:tcPr>
          <w:p w14:paraId="6A0A4C47">
            <w:pPr>
              <w:spacing w:line="440" w:lineRule="exact"/>
              <w:rPr>
                <w:rFonts w:hint="eastAsia" w:hAnsi="宋体" w:cs="宋体"/>
                <w:color w:val="auto"/>
                <w:szCs w:val="21"/>
                <w:highlight w:val="none"/>
              </w:rPr>
            </w:pPr>
            <w:r>
              <w:rPr>
                <w:rFonts w:hint="eastAsia" w:hAnsi="宋体" w:cs="宋体"/>
                <w:color w:val="auto"/>
                <w:szCs w:val="21"/>
                <w:highlight w:val="none"/>
              </w:rPr>
              <w:t>坑槽</w:t>
            </w:r>
          </w:p>
        </w:tc>
        <w:tc>
          <w:tcPr>
            <w:tcW w:w="7110" w:type="dxa"/>
            <w:vAlign w:val="bottom"/>
          </w:tcPr>
          <w:p w14:paraId="12E50B62">
            <w:pPr>
              <w:spacing w:line="440" w:lineRule="exact"/>
              <w:rPr>
                <w:rFonts w:hint="eastAsia" w:hAnsi="宋体" w:cs="宋体"/>
                <w:color w:val="auto"/>
                <w:szCs w:val="21"/>
                <w:highlight w:val="none"/>
              </w:rPr>
            </w:pPr>
            <w:r>
              <w:rPr>
                <w:rFonts w:hint="eastAsia" w:hAnsi="宋体" w:cs="宋体"/>
                <w:color w:val="auto"/>
                <w:szCs w:val="21"/>
                <w:highlight w:val="none"/>
              </w:rPr>
              <w:t>路面破坏成坑洼，深度大于20mm，面积超过0.04m</w:t>
            </w:r>
            <w:r>
              <w:rPr>
                <w:rFonts w:hint="eastAsia" w:hAnsi="宋体" w:cs="宋体"/>
                <w:color w:val="auto"/>
                <w:szCs w:val="21"/>
                <w:highlight w:val="none"/>
                <w:vertAlign w:val="superscript"/>
              </w:rPr>
              <w:t>2</w:t>
            </w:r>
            <w:r>
              <w:rPr>
                <w:rFonts w:hint="eastAsia" w:hAnsi="宋体" w:cs="宋体"/>
                <w:color w:val="auto"/>
                <w:szCs w:val="21"/>
                <w:highlight w:val="none"/>
              </w:rPr>
              <w:t>，数量较多、间距0.2m以内的合并处理</w:t>
            </w:r>
          </w:p>
        </w:tc>
      </w:tr>
      <w:tr w14:paraId="1E25F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7AD9F41A">
            <w:pPr>
              <w:spacing w:line="440" w:lineRule="exact"/>
              <w:rPr>
                <w:rFonts w:hint="eastAsia" w:hAnsi="宋体" w:cs="宋体"/>
                <w:color w:val="auto"/>
                <w:szCs w:val="21"/>
                <w:highlight w:val="none"/>
              </w:rPr>
            </w:pPr>
            <w:r>
              <w:rPr>
                <w:rFonts w:hint="eastAsia" w:hAnsi="宋体" w:cs="宋体"/>
                <w:color w:val="auto"/>
                <w:szCs w:val="21"/>
                <w:highlight w:val="none"/>
              </w:rPr>
              <w:t>2</w:t>
            </w:r>
          </w:p>
        </w:tc>
        <w:tc>
          <w:tcPr>
            <w:tcW w:w="1529" w:type="dxa"/>
            <w:vAlign w:val="center"/>
          </w:tcPr>
          <w:p w14:paraId="0B916E6A">
            <w:pPr>
              <w:spacing w:line="440" w:lineRule="exact"/>
              <w:rPr>
                <w:rFonts w:hint="eastAsia" w:hAnsi="宋体" w:cs="宋体"/>
                <w:color w:val="auto"/>
                <w:szCs w:val="21"/>
                <w:highlight w:val="none"/>
              </w:rPr>
            </w:pPr>
            <w:r>
              <w:rPr>
                <w:rFonts w:hint="eastAsia" w:hAnsi="宋体" w:cs="宋体"/>
                <w:color w:val="auto"/>
                <w:szCs w:val="21"/>
                <w:highlight w:val="none"/>
              </w:rPr>
              <w:t>松散</w:t>
            </w:r>
          </w:p>
        </w:tc>
        <w:tc>
          <w:tcPr>
            <w:tcW w:w="7110" w:type="dxa"/>
            <w:vAlign w:val="bottom"/>
          </w:tcPr>
          <w:p w14:paraId="30160451">
            <w:pPr>
              <w:spacing w:line="440" w:lineRule="exact"/>
              <w:rPr>
                <w:rFonts w:hint="eastAsia" w:hAnsi="宋体" w:cs="宋体"/>
                <w:color w:val="auto"/>
                <w:szCs w:val="21"/>
                <w:highlight w:val="none"/>
              </w:rPr>
            </w:pPr>
            <w:r>
              <w:rPr>
                <w:rFonts w:hint="eastAsia" w:hAnsi="宋体" w:cs="宋体"/>
                <w:color w:val="auto"/>
                <w:szCs w:val="21"/>
                <w:highlight w:val="none"/>
              </w:rPr>
              <w:t>路面结合料失去结合力、集料松动，面积大于0.1m</w:t>
            </w:r>
            <w:r>
              <w:rPr>
                <w:rFonts w:hint="eastAsia" w:hAnsi="宋体" w:cs="宋体"/>
                <w:color w:val="auto"/>
                <w:szCs w:val="21"/>
                <w:highlight w:val="none"/>
                <w:vertAlign w:val="superscript"/>
              </w:rPr>
              <w:t>2</w:t>
            </w:r>
          </w:p>
        </w:tc>
      </w:tr>
      <w:tr w14:paraId="5CCA5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1C4EB782">
            <w:pPr>
              <w:spacing w:line="440" w:lineRule="exact"/>
              <w:rPr>
                <w:rFonts w:hint="eastAsia" w:hAnsi="宋体" w:cs="宋体"/>
                <w:color w:val="auto"/>
                <w:szCs w:val="21"/>
                <w:highlight w:val="none"/>
              </w:rPr>
            </w:pPr>
            <w:r>
              <w:rPr>
                <w:rFonts w:hint="eastAsia" w:hAnsi="宋体" w:cs="宋体"/>
                <w:color w:val="auto"/>
                <w:szCs w:val="21"/>
                <w:highlight w:val="none"/>
              </w:rPr>
              <w:t>3</w:t>
            </w:r>
          </w:p>
        </w:tc>
        <w:tc>
          <w:tcPr>
            <w:tcW w:w="1529" w:type="dxa"/>
            <w:vAlign w:val="center"/>
          </w:tcPr>
          <w:p w14:paraId="2E00CCE6">
            <w:pPr>
              <w:spacing w:line="440" w:lineRule="exact"/>
              <w:rPr>
                <w:rFonts w:hint="eastAsia" w:hAnsi="宋体" w:cs="宋体"/>
                <w:color w:val="auto"/>
                <w:szCs w:val="21"/>
                <w:highlight w:val="none"/>
              </w:rPr>
            </w:pPr>
            <w:r>
              <w:rPr>
                <w:rFonts w:hint="eastAsia" w:hAnsi="宋体" w:cs="宋体"/>
                <w:color w:val="auto"/>
                <w:szCs w:val="21"/>
                <w:highlight w:val="none"/>
              </w:rPr>
              <w:t>拥包</w:t>
            </w:r>
          </w:p>
        </w:tc>
        <w:tc>
          <w:tcPr>
            <w:tcW w:w="7110" w:type="dxa"/>
            <w:vAlign w:val="bottom"/>
          </w:tcPr>
          <w:p w14:paraId="78D19896">
            <w:pPr>
              <w:spacing w:line="440" w:lineRule="exact"/>
              <w:rPr>
                <w:rFonts w:hint="eastAsia" w:hAnsi="宋体" w:cs="宋体"/>
                <w:color w:val="auto"/>
                <w:szCs w:val="21"/>
                <w:highlight w:val="none"/>
              </w:rPr>
            </w:pPr>
            <w:r>
              <w:rPr>
                <w:rFonts w:hint="eastAsia" w:hAnsi="宋体" w:cs="宋体"/>
                <w:color w:val="auto"/>
                <w:szCs w:val="21"/>
                <w:highlight w:val="none"/>
              </w:rPr>
              <w:t>路面局部隆起，峰谷高差大于15mm</w:t>
            </w:r>
          </w:p>
        </w:tc>
      </w:tr>
      <w:tr w14:paraId="4809D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105133F2">
            <w:pPr>
              <w:spacing w:line="440" w:lineRule="exact"/>
              <w:rPr>
                <w:rFonts w:hint="eastAsia" w:hAnsi="宋体" w:cs="宋体"/>
                <w:color w:val="auto"/>
                <w:szCs w:val="21"/>
                <w:highlight w:val="none"/>
              </w:rPr>
            </w:pPr>
            <w:r>
              <w:rPr>
                <w:rFonts w:hint="eastAsia" w:hAnsi="宋体" w:cs="宋体"/>
                <w:color w:val="auto"/>
                <w:szCs w:val="21"/>
                <w:highlight w:val="none"/>
              </w:rPr>
              <w:t>4</w:t>
            </w:r>
          </w:p>
        </w:tc>
        <w:tc>
          <w:tcPr>
            <w:tcW w:w="1529" w:type="dxa"/>
            <w:vAlign w:val="center"/>
          </w:tcPr>
          <w:p w14:paraId="1F0A6C26">
            <w:pPr>
              <w:spacing w:line="440" w:lineRule="exact"/>
              <w:rPr>
                <w:rFonts w:hint="eastAsia" w:hAnsi="宋体" w:cs="宋体"/>
                <w:color w:val="auto"/>
                <w:szCs w:val="21"/>
                <w:highlight w:val="none"/>
              </w:rPr>
            </w:pPr>
            <w:r>
              <w:rPr>
                <w:rFonts w:hint="eastAsia" w:hAnsi="宋体" w:cs="宋体"/>
                <w:color w:val="auto"/>
                <w:szCs w:val="21"/>
                <w:highlight w:val="none"/>
              </w:rPr>
              <w:t>翻浆</w:t>
            </w:r>
          </w:p>
        </w:tc>
        <w:tc>
          <w:tcPr>
            <w:tcW w:w="7110" w:type="dxa"/>
            <w:vAlign w:val="bottom"/>
          </w:tcPr>
          <w:p w14:paraId="5269A672">
            <w:pPr>
              <w:spacing w:line="440" w:lineRule="exact"/>
              <w:rPr>
                <w:rFonts w:hint="eastAsia" w:hAnsi="宋体" w:cs="宋体"/>
                <w:color w:val="auto"/>
                <w:szCs w:val="21"/>
                <w:highlight w:val="none"/>
              </w:rPr>
            </w:pPr>
            <w:r>
              <w:rPr>
                <w:rFonts w:hint="eastAsia" w:hAnsi="宋体" w:cs="宋体"/>
                <w:color w:val="auto"/>
                <w:szCs w:val="21"/>
                <w:highlight w:val="none"/>
              </w:rPr>
              <w:t>地基或路面湿软出现弹簧、破裂、冒出泥浆</w:t>
            </w:r>
          </w:p>
        </w:tc>
      </w:tr>
      <w:tr w14:paraId="07A37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72C745E0">
            <w:pPr>
              <w:spacing w:line="440" w:lineRule="exact"/>
              <w:rPr>
                <w:rFonts w:hint="eastAsia" w:hAnsi="宋体" w:cs="宋体"/>
                <w:color w:val="auto"/>
                <w:szCs w:val="21"/>
                <w:highlight w:val="none"/>
              </w:rPr>
            </w:pPr>
            <w:r>
              <w:rPr>
                <w:rFonts w:hint="eastAsia" w:hAnsi="宋体" w:cs="宋体"/>
                <w:color w:val="auto"/>
                <w:szCs w:val="21"/>
                <w:highlight w:val="none"/>
              </w:rPr>
              <w:t>5</w:t>
            </w:r>
          </w:p>
        </w:tc>
        <w:tc>
          <w:tcPr>
            <w:tcW w:w="1529" w:type="dxa"/>
            <w:vAlign w:val="center"/>
          </w:tcPr>
          <w:p w14:paraId="6F98AECD">
            <w:pPr>
              <w:spacing w:line="440" w:lineRule="exact"/>
              <w:rPr>
                <w:rFonts w:hint="eastAsia" w:hAnsi="宋体" w:cs="宋体"/>
                <w:color w:val="auto"/>
                <w:szCs w:val="21"/>
                <w:highlight w:val="none"/>
              </w:rPr>
            </w:pPr>
            <w:r>
              <w:rPr>
                <w:rFonts w:hint="eastAsia" w:hAnsi="宋体" w:cs="宋体"/>
                <w:color w:val="auto"/>
                <w:szCs w:val="21"/>
                <w:highlight w:val="none"/>
              </w:rPr>
              <w:t>沉陷</w:t>
            </w:r>
          </w:p>
        </w:tc>
        <w:tc>
          <w:tcPr>
            <w:tcW w:w="7110" w:type="dxa"/>
            <w:vAlign w:val="bottom"/>
          </w:tcPr>
          <w:p w14:paraId="694A57B7">
            <w:pPr>
              <w:spacing w:line="440" w:lineRule="exact"/>
              <w:rPr>
                <w:rFonts w:hint="eastAsia" w:hAnsi="宋体" w:cs="宋体"/>
                <w:color w:val="auto"/>
                <w:szCs w:val="21"/>
                <w:highlight w:val="none"/>
              </w:rPr>
            </w:pPr>
            <w:r>
              <w:rPr>
                <w:rFonts w:hint="eastAsia" w:hAnsi="宋体" w:cs="宋体"/>
                <w:color w:val="auto"/>
                <w:szCs w:val="21"/>
                <w:highlight w:val="none"/>
              </w:rPr>
              <w:t>路面路基局部下沉，横向大于30mm</w:t>
            </w:r>
          </w:p>
        </w:tc>
      </w:tr>
      <w:tr w14:paraId="00970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4D46046A">
            <w:pPr>
              <w:spacing w:line="440" w:lineRule="exact"/>
              <w:rPr>
                <w:rFonts w:hint="eastAsia" w:hAnsi="宋体" w:cs="宋体"/>
                <w:color w:val="auto"/>
                <w:szCs w:val="21"/>
                <w:highlight w:val="none"/>
              </w:rPr>
            </w:pPr>
            <w:r>
              <w:rPr>
                <w:rFonts w:hint="eastAsia" w:hAnsi="宋体" w:cs="宋体"/>
                <w:color w:val="auto"/>
                <w:szCs w:val="21"/>
                <w:highlight w:val="none"/>
              </w:rPr>
              <w:t>6</w:t>
            </w:r>
          </w:p>
        </w:tc>
        <w:tc>
          <w:tcPr>
            <w:tcW w:w="1529" w:type="dxa"/>
            <w:vAlign w:val="center"/>
          </w:tcPr>
          <w:p w14:paraId="41DBF37A">
            <w:pPr>
              <w:spacing w:line="440" w:lineRule="exact"/>
              <w:rPr>
                <w:rFonts w:hint="eastAsia" w:hAnsi="宋体" w:cs="宋体"/>
                <w:color w:val="auto"/>
                <w:szCs w:val="21"/>
                <w:highlight w:val="none"/>
              </w:rPr>
            </w:pPr>
            <w:r>
              <w:rPr>
                <w:rFonts w:hint="eastAsia" w:hAnsi="宋体" w:cs="宋体"/>
                <w:color w:val="auto"/>
                <w:szCs w:val="21"/>
                <w:highlight w:val="none"/>
              </w:rPr>
              <w:t>脱皮</w:t>
            </w:r>
          </w:p>
        </w:tc>
        <w:tc>
          <w:tcPr>
            <w:tcW w:w="7110" w:type="dxa"/>
            <w:vAlign w:val="bottom"/>
          </w:tcPr>
          <w:p w14:paraId="715F83CA">
            <w:pPr>
              <w:spacing w:line="440" w:lineRule="exact"/>
              <w:rPr>
                <w:rFonts w:hint="eastAsia" w:hAnsi="宋体" w:cs="宋体"/>
                <w:color w:val="auto"/>
                <w:szCs w:val="21"/>
                <w:highlight w:val="none"/>
              </w:rPr>
            </w:pPr>
            <w:r>
              <w:rPr>
                <w:rFonts w:hint="eastAsia" w:hAnsi="宋体" w:cs="宋体"/>
                <w:color w:val="auto"/>
                <w:szCs w:val="21"/>
                <w:highlight w:val="none"/>
              </w:rPr>
              <w:t>路面层层状脱落，面积大于0.1m</w:t>
            </w:r>
            <w:r>
              <w:rPr>
                <w:rFonts w:hint="eastAsia" w:hAnsi="宋体" w:cs="宋体"/>
                <w:color w:val="auto"/>
                <w:szCs w:val="21"/>
                <w:highlight w:val="none"/>
                <w:vertAlign w:val="superscript"/>
              </w:rPr>
              <w:t>2</w:t>
            </w:r>
          </w:p>
        </w:tc>
      </w:tr>
      <w:tr w14:paraId="04121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633" w:type="dxa"/>
            <w:vAlign w:val="center"/>
          </w:tcPr>
          <w:p w14:paraId="79713983">
            <w:pPr>
              <w:spacing w:line="440" w:lineRule="exact"/>
              <w:rPr>
                <w:rFonts w:hint="eastAsia" w:hAnsi="宋体" w:cs="宋体"/>
                <w:color w:val="auto"/>
                <w:szCs w:val="21"/>
                <w:highlight w:val="none"/>
              </w:rPr>
            </w:pPr>
            <w:r>
              <w:rPr>
                <w:rFonts w:hint="eastAsia" w:hAnsi="宋体" w:cs="宋体"/>
                <w:color w:val="auto"/>
                <w:szCs w:val="21"/>
                <w:highlight w:val="none"/>
              </w:rPr>
              <w:t>7</w:t>
            </w:r>
          </w:p>
        </w:tc>
        <w:tc>
          <w:tcPr>
            <w:tcW w:w="1529" w:type="dxa"/>
            <w:vAlign w:val="center"/>
          </w:tcPr>
          <w:p w14:paraId="66F28E93">
            <w:pPr>
              <w:spacing w:line="440" w:lineRule="exact"/>
              <w:rPr>
                <w:rFonts w:hint="eastAsia" w:hAnsi="宋体" w:cs="宋体"/>
                <w:color w:val="auto"/>
                <w:szCs w:val="21"/>
                <w:highlight w:val="none"/>
              </w:rPr>
            </w:pPr>
            <w:r>
              <w:rPr>
                <w:rFonts w:hint="eastAsia" w:hAnsi="宋体" w:cs="宋体"/>
                <w:color w:val="auto"/>
                <w:szCs w:val="21"/>
                <w:highlight w:val="none"/>
              </w:rPr>
              <w:t>啃边</w:t>
            </w:r>
          </w:p>
        </w:tc>
        <w:tc>
          <w:tcPr>
            <w:tcW w:w="7110" w:type="dxa"/>
            <w:vAlign w:val="bottom"/>
          </w:tcPr>
          <w:p w14:paraId="7AEECE45">
            <w:pPr>
              <w:spacing w:line="440" w:lineRule="exact"/>
              <w:rPr>
                <w:rFonts w:hint="eastAsia" w:hAnsi="宋体" w:cs="宋体"/>
                <w:color w:val="auto"/>
                <w:szCs w:val="21"/>
                <w:highlight w:val="none"/>
              </w:rPr>
            </w:pPr>
            <w:r>
              <w:rPr>
                <w:rFonts w:hint="eastAsia" w:hAnsi="宋体" w:cs="宋体"/>
                <w:color w:val="auto"/>
                <w:szCs w:val="21"/>
                <w:highlight w:val="none"/>
              </w:rPr>
              <w:t xml:space="preserve">路面边缘破碎剥落，宽度大于0.1m </w:t>
            </w:r>
          </w:p>
        </w:tc>
      </w:tr>
      <w:tr w14:paraId="3C193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2DE091AC">
            <w:pPr>
              <w:spacing w:line="440" w:lineRule="exact"/>
              <w:rPr>
                <w:rFonts w:hint="eastAsia" w:hAnsi="宋体" w:cs="宋体"/>
                <w:color w:val="auto"/>
                <w:szCs w:val="21"/>
                <w:highlight w:val="none"/>
              </w:rPr>
            </w:pPr>
            <w:r>
              <w:rPr>
                <w:rFonts w:hint="eastAsia" w:hAnsi="宋体" w:cs="宋体"/>
                <w:color w:val="auto"/>
                <w:szCs w:val="21"/>
                <w:highlight w:val="none"/>
              </w:rPr>
              <w:t>8</w:t>
            </w:r>
          </w:p>
        </w:tc>
        <w:tc>
          <w:tcPr>
            <w:tcW w:w="1529" w:type="dxa"/>
            <w:vAlign w:val="center"/>
          </w:tcPr>
          <w:p w14:paraId="22EE699F">
            <w:pPr>
              <w:spacing w:line="440" w:lineRule="exact"/>
              <w:rPr>
                <w:rFonts w:hint="eastAsia" w:hAnsi="宋体" w:cs="宋体"/>
                <w:color w:val="auto"/>
                <w:szCs w:val="21"/>
                <w:highlight w:val="none"/>
              </w:rPr>
            </w:pPr>
            <w:r>
              <w:rPr>
                <w:rFonts w:hint="eastAsia" w:hAnsi="宋体" w:cs="宋体"/>
                <w:color w:val="auto"/>
                <w:szCs w:val="21"/>
                <w:highlight w:val="none"/>
              </w:rPr>
              <w:t>泛油</w:t>
            </w:r>
          </w:p>
        </w:tc>
        <w:tc>
          <w:tcPr>
            <w:tcW w:w="7110" w:type="dxa"/>
            <w:vAlign w:val="bottom"/>
          </w:tcPr>
          <w:p w14:paraId="65AAD75B">
            <w:pPr>
              <w:spacing w:line="440" w:lineRule="exact"/>
              <w:rPr>
                <w:rFonts w:hint="eastAsia" w:hAnsi="宋体" w:cs="宋体"/>
                <w:color w:val="auto"/>
                <w:szCs w:val="21"/>
                <w:highlight w:val="none"/>
              </w:rPr>
            </w:pPr>
            <w:r>
              <w:rPr>
                <w:rFonts w:hint="eastAsia" w:hAnsi="宋体" w:cs="宋体"/>
                <w:color w:val="auto"/>
                <w:szCs w:val="21"/>
                <w:highlight w:val="none"/>
              </w:rPr>
              <w:t>高温季节沥青被挤出，表面形成油层，行车出现轮迹。</w:t>
            </w:r>
          </w:p>
        </w:tc>
      </w:tr>
      <w:tr w14:paraId="026F4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69113C78">
            <w:pPr>
              <w:spacing w:line="440" w:lineRule="exact"/>
              <w:rPr>
                <w:rFonts w:hint="eastAsia" w:hAnsi="宋体" w:cs="宋体"/>
                <w:color w:val="auto"/>
                <w:szCs w:val="21"/>
                <w:highlight w:val="none"/>
              </w:rPr>
            </w:pPr>
            <w:r>
              <w:rPr>
                <w:rFonts w:hint="eastAsia" w:hAnsi="宋体" w:cs="宋体"/>
                <w:color w:val="auto"/>
                <w:szCs w:val="21"/>
                <w:highlight w:val="none"/>
              </w:rPr>
              <w:t>9</w:t>
            </w:r>
          </w:p>
        </w:tc>
        <w:tc>
          <w:tcPr>
            <w:tcW w:w="1529" w:type="dxa"/>
            <w:vAlign w:val="center"/>
          </w:tcPr>
          <w:p w14:paraId="3309E569">
            <w:pPr>
              <w:spacing w:line="440" w:lineRule="exact"/>
              <w:rPr>
                <w:rFonts w:hint="eastAsia" w:hAnsi="宋体" w:cs="宋体"/>
                <w:color w:val="auto"/>
                <w:szCs w:val="21"/>
                <w:highlight w:val="none"/>
              </w:rPr>
            </w:pPr>
            <w:r>
              <w:rPr>
                <w:rFonts w:hint="eastAsia" w:hAnsi="宋体" w:cs="宋体"/>
                <w:color w:val="auto"/>
                <w:szCs w:val="21"/>
                <w:highlight w:val="none"/>
              </w:rPr>
              <w:t>车辙</w:t>
            </w:r>
          </w:p>
        </w:tc>
        <w:tc>
          <w:tcPr>
            <w:tcW w:w="7110" w:type="dxa"/>
            <w:vAlign w:val="bottom"/>
          </w:tcPr>
          <w:p w14:paraId="53AC8796">
            <w:pPr>
              <w:spacing w:line="440" w:lineRule="exact"/>
              <w:rPr>
                <w:rFonts w:hint="eastAsia" w:hAnsi="宋体" w:cs="宋体"/>
                <w:color w:val="auto"/>
                <w:szCs w:val="21"/>
                <w:highlight w:val="none"/>
              </w:rPr>
            </w:pPr>
            <w:r>
              <w:rPr>
                <w:rFonts w:hint="eastAsia" w:hAnsi="宋体" w:cs="宋体"/>
                <w:color w:val="auto"/>
                <w:szCs w:val="21"/>
                <w:highlight w:val="none"/>
              </w:rPr>
              <w:t>路面上沿行车轮迹产生的纵向带状辙槽，深度大于15mm</w:t>
            </w:r>
          </w:p>
        </w:tc>
      </w:tr>
      <w:tr w14:paraId="52B33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1DBB59BD">
            <w:pPr>
              <w:spacing w:line="440" w:lineRule="exact"/>
              <w:rPr>
                <w:rFonts w:hint="eastAsia" w:hAnsi="宋体" w:cs="宋体"/>
                <w:color w:val="auto"/>
                <w:szCs w:val="21"/>
                <w:highlight w:val="none"/>
              </w:rPr>
            </w:pPr>
            <w:r>
              <w:rPr>
                <w:rFonts w:hint="eastAsia" w:hAnsi="宋体" w:cs="宋体"/>
                <w:color w:val="auto"/>
                <w:szCs w:val="21"/>
                <w:highlight w:val="none"/>
              </w:rPr>
              <w:t>10</w:t>
            </w:r>
          </w:p>
        </w:tc>
        <w:tc>
          <w:tcPr>
            <w:tcW w:w="1529" w:type="dxa"/>
            <w:vAlign w:val="center"/>
          </w:tcPr>
          <w:p w14:paraId="5A8C6026">
            <w:pPr>
              <w:spacing w:line="440" w:lineRule="exact"/>
              <w:rPr>
                <w:rFonts w:hint="eastAsia" w:hAnsi="宋体" w:cs="宋体"/>
                <w:color w:val="auto"/>
                <w:szCs w:val="21"/>
                <w:highlight w:val="none"/>
              </w:rPr>
            </w:pPr>
            <w:r>
              <w:rPr>
                <w:rFonts w:hint="eastAsia" w:hAnsi="宋体" w:cs="宋体"/>
                <w:color w:val="auto"/>
                <w:szCs w:val="21"/>
                <w:highlight w:val="none"/>
              </w:rPr>
              <w:t>龟裂</w:t>
            </w:r>
          </w:p>
        </w:tc>
        <w:tc>
          <w:tcPr>
            <w:tcW w:w="7110" w:type="dxa"/>
            <w:vAlign w:val="bottom"/>
          </w:tcPr>
          <w:p w14:paraId="35AE7C0F">
            <w:pPr>
              <w:spacing w:line="440" w:lineRule="exact"/>
              <w:rPr>
                <w:rFonts w:hint="eastAsia" w:hAnsi="宋体" w:cs="宋体"/>
                <w:color w:val="auto"/>
                <w:szCs w:val="21"/>
                <w:highlight w:val="none"/>
              </w:rPr>
            </w:pPr>
            <w:r>
              <w:rPr>
                <w:rFonts w:hint="eastAsia" w:hAnsi="宋体" w:cs="宋体"/>
                <w:color w:val="auto"/>
                <w:szCs w:val="21"/>
                <w:highlight w:val="none"/>
              </w:rPr>
              <w:t>缝宽3mm以上，缝距小于100mm，面积超1m</w:t>
            </w:r>
            <w:r>
              <w:rPr>
                <w:rFonts w:hint="eastAsia" w:hAnsi="宋体" w:cs="宋体"/>
                <w:color w:val="auto"/>
                <w:szCs w:val="21"/>
                <w:highlight w:val="none"/>
                <w:vertAlign w:val="superscript"/>
              </w:rPr>
              <w:t>2</w:t>
            </w:r>
          </w:p>
        </w:tc>
      </w:tr>
      <w:tr w14:paraId="5068B1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633" w:type="dxa"/>
            <w:vAlign w:val="center"/>
          </w:tcPr>
          <w:p w14:paraId="61D09BDB">
            <w:pPr>
              <w:spacing w:line="440" w:lineRule="exact"/>
              <w:rPr>
                <w:rFonts w:hint="eastAsia" w:hAnsi="宋体" w:cs="宋体"/>
                <w:color w:val="auto"/>
                <w:szCs w:val="21"/>
                <w:highlight w:val="none"/>
              </w:rPr>
            </w:pPr>
            <w:r>
              <w:rPr>
                <w:rFonts w:hint="eastAsia" w:hAnsi="宋体" w:cs="宋体"/>
                <w:color w:val="auto"/>
                <w:szCs w:val="21"/>
                <w:highlight w:val="none"/>
              </w:rPr>
              <w:t>11</w:t>
            </w:r>
          </w:p>
        </w:tc>
        <w:tc>
          <w:tcPr>
            <w:tcW w:w="1529" w:type="dxa"/>
            <w:vAlign w:val="center"/>
          </w:tcPr>
          <w:p w14:paraId="710117EB">
            <w:pPr>
              <w:spacing w:line="440" w:lineRule="exact"/>
              <w:rPr>
                <w:rFonts w:hint="eastAsia" w:hAnsi="宋体" w:cs="宋体"/>
                <w:color w:val="auto"/>
                <w:szCs w:val="21"/>
                <w:highlight w:val="none"/>
              </w:rPr>
            </w:pPr>
            <w:r>
              <w:rPr>
                <w:rFonts w:hint="eastAsia" w:hAnsi="宋体" w:cs="宋体"/>
                <w:color w:val="auto"/>
                <w:szCs w:val="21"/>
                <w:highlight w:val="none"/>
              </w:rPr>
              <w:t>网裂</w:t>
            </w:r>
          </w:p>
        </w:tc>
        <w:tc>
          <w:tcPr>
            <w:tcW w:w="7110" w:type="dxa"/>
            <w:vAlign w:val="bottom"/>
          </w:tcPr>
          <w:p w14:paraId="615F5C07">
            <w:pPr>
              <w:spacing w:line="440" w:lineRule="exact"/>
              <w:rPr>
                <w:rFonts w:hint="eastAsia" w:hAnsi="宋体" w:cs="宋体"/>
                <w:color w:val="auto"/>
                <w:szCs w:val="21"/>
                <w:highlight w:val="none"/>
              </w:rPr>
            </w:pPr>
            <w:r>
              <w:rPr>
                <w:rFonts w:hint="eastAsia" w:hAnsi="宋体" w:cs="宋体"/>
                <w:color w:val="auto"/>
                <w:szCs w:val="21"/>
                <w:highlight w:val="none"/>
              </w:rPr>
              <w:t>缝宽1mm以上或缝距小于400mm，面积超1m</w:t>
            </w:r>
            <w:r>
              <w:rPr>
                <w:rFonts w:hint="eastAsia" w:hAnsi="宋体" w:cs="宋体"/>
                <w:color w:val="auto"/>
                <w:szCs w:val="21"/>
                <w:highlight w:val="none"/>
                <w:vertAlign w:val="superscript"/>
              </w:rPr>
              <w:t>2</w:t>
            </w:r>
          </w:p>
        </w:tc>
      </w:tr>
      <w:tr w14:paraId="401D4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633" w:type="dxa"/>
            <w:vAlign w:val="center"/>
          </w:tcPr>
          <w:p w14:paraId="1394AD8D">
            <w:pPr>
              <w:spacing w:line="440" w:lineRule="exact"/>
              <w:rPr>
                <w:rFonts w:hint="eastAsia" w:hAnsi="宋体" w:cs="宋体"/>
                <w:color w:val="auto"/>
                <w:szCs w:val="21"/>
                <w:highlight w:val="none"/>
              </w:rPr>
            </w:pPr>
            <w:r>
              <w:rPr>
                <w:rFonts w:hint="eastAsia" w:hAnsi="宋体" w:cs="宋体"/>
                <w:color w:val="auto"/>
                <w:szCs w:val="21"/>
                <w:highlight w:val="none"/>
              </w:rPr>
              <w:t>12</w:t>
            </w:r>
          </w:p>
        </w:tc>
        <w:tc>
          <w:tcPr>
            <w:tcW w:w="1529" w:type="dxa"/>
            <w:vAlign w:val="center"/>
          </w:tcPr>
          <w:p w14:paraId="6797B70E">
            <w:pPr>
              <w:spacing w:line="440" w:lineRule="exact"/>
              <w:rPr>
                <w:rFonts w:hint="eastAsia" w:hAnsi="宋体" w:cs="宋体"/>
                <w:color w:val="auto"/>
                <w:szCs w:val="21"/>
                <w:highlight w:val="none"/>
              </w:rPr>
            </w:pPr>
            <w:r>
              <w:rPr>
                <w:rFonts w:hint="eastAsia" w:hAnsi="宋体" w:cs="宋体"/>
                <w:color w:val="auto"/>
                <w:szCs w:val="21"/>
                <w:highlight w:val="none"/>
              </w:rPr>
              <w:t>搓板</w:t>
            </w:r>
          </w:p>
        </w:tc>
        <w:tc>
          <w:tcPr>
            <w:tcW w:w="7110" w:type="dxa"/>
            <w:vAlign w:val="bottom"/>
          </w:tcPr>
          <w:p w14:paraId="64EC9C84">
            <w:pPr>
              <w:spacing w:line="440" w:lineRule="exact"/>
              <w:rPr>
                <w:rFonts w:hint="eastAsia" w:hAnsi="宋体" w:cs="宋体"/>
                <w:color w:val="auto"/>
                <w:szCs w:val="21"/>
                <w:highlight w:val="none"/>
              </w:rPr>
            </w:pPr>
            <w:r>
              <w:rPr>
                <w:rFonts w:hint="eastAsia" w:hAnsi="宋体" w:cs="宋体"/>
                <w:color w:val="auto"/>
                <w:szCs w:val="21"/>
                <w:highlight w:val="none"/>
              </w:rPr>
              <w:t>路面纵向产生连续起伏，峰谷高差大于15mm</w:t>
            </w:r>
          </w:p>
        </w:tc>
      </w:tr>
      <w:tr w14:paraId="7BFFB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3E5ACF53">
            <w:pPr>
              <w:spacing w:line="440" w:lineRule="exact"/>
              <w:rPr>
                <w:rFonts w:hint="eastAsia" w:hAnsi="宋体" w:cs="宋体"/>
                <w:color w:val="auto"/>
                <w:szCs w:val="21"/>
                <w:highlight w:val="none"/>
              </w:rPr>
            </w:pPr>
            <w:r>
              <w:rPr>
                <w:rFonts w:hint="eastAsia" w:hAnsi="宋体" w:cs="宋体"/>
                <w:color w:val="auto"/>
                <w:szCs w:val="21"/>
                <w:highlight w:val="none"/>
              </w:rPr>
              <w:t>13</w:t>
            </w:r>
          </w:p>
        </w:tc>
        <w:tc>
          <w:tcPr>
            <w:tcW w:w="1529" w:type="dxa"/>
            <w:vAlign w:val="center"/>
          </w:tcPr>
          <w:p w14:paraId="02FB4BD8">
            <w:pPr>
              <w:spacing w:line="440" w:lineRule="exact"/>
              <w:rPr>
                <w:rFonts w:hint="eastAsia" w:hAnsi="宋体" w:cs="宋体"/>
                <w:color w:val="auto"/>
                <w:szCs w:val="21"/>
                <w:highlight w:val="none"/>
              </w:rPr>
            </w:pPr>
            <w:r>
              <w:rPr>
                <w:rFonts w:hint="eastAsia" w:hAnsi="宋体" w:cs="宋体"/>
                <w:color w:val="auto"/>
                <w:szCs w:val="21"/>
                <w:highlight w:val="none"/>
              </w:rPr>
              <w:t>横坡不适</w:t>
            </w:r>
          </w:p>
        </w:tc>
        <w:tc>
          <w:tcPr>
            <w:tcW w:w="7110" w:type="dxa"/>
            <w:vAlign w:val="bottom"/>
          </w:tcPr>
          <w:p w14:paraId="260200A4">
            <w:pPr>
              <w:spacing w:line="440" w:lineRule="exact"/>
              <w:rPr>
                <w:rFonts w:hint="eastAsia" w:hAnsi="宋体" w:cs="宋体"/>
                <w:color w:val="auto"/>
                <w:szCs w:val="21"/>
                <w:highlight w:val="none"/>
              </w:rPr>
            </w:pPr>
            <w:r>
              <w:rPr>
                <w:rFonts w:hint="eastAsia" w:hAnsi="宋体" w:cs="宋体"/>
                <w:color w:val="auto"/>
                <w:szCs w:val="21"/>
                <w:highlight w:val="none"/>
              </w:rPr>
              <w:t>路面横坡小于1%或大于3%，或中线偏移、未设超高</w:t>
            </w:r>
          </w:p>
        </w:tc>
      </w:tr>
      <w:tr w14:paraId="384B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71CB6B3C">
            <w:pPr>
              <w:spacing w:line="440" w:lineRule="exact"/>
              <w:rPr>
                <w:rFonts w:hint="eastAsia" w:hAnsi="宋体" w:cs="宋体"/>
                <w:color w:val="auto"/>
                <w:szCs w:val="21"/>
                <w:highlight w:val="none"/>
              </w:rPr>
            </w:pPr>
            <w:r>
              <w:rPr>
                <w:rFonts w:hint="eastAsia" w:hAnsi="宋体" w:cs="宋体"/>
                <w:color w:val="auto"/>
                <w:szCs w:val="21"/>
                <w:highlight w:val="none"/>
              </w:rPr>
              <w:t>14</w:t>
            </w:r>
          </w:p>
        </w:tc>
        <w:tc>
          <w:tcPr>
            <w:tcW w:w="1529" w:type="dxa"/>
            <w:vAlign w:val="center"/>
          </w:tcPr>
          <w:p w14:paraId="4706C4DE">
            <w:pPr>
              <w:spacing w:line="440" w:lineRule="exact"/>
              <w:rPr>
                <w:rFonts w:hint="eastAsia" w:hAnsi="宋体" w:cs="宋体"/>
                <w:color w:val="auto"/>
                <w:szCs w:val="21"/>
                <w:highlight w:val="none"/>
              </w:rPr>
            </w:pPr>
            <w:r>
              <w:rPr>
                <w:rFonts w:hint="eastAsia" w:hAnsi="宋体" w:cs="宋体"/>
                <w:color w:val="auto"/>
                <w:szCs w:val="21"/>
                <w:highlight w:val="none"/>
              </w:rPr>
              <w:t>平整度差</w:t>
            </w:r>
          </w:p>
        </w:tc>
        <w:tc>
          <w:tcPr>
            <w:tcW w:w="7110" w:type="dxa"/>
            <w:vAlign w:val="bottom"/>
          </w:tcPr>
          <w:p w14:paraId="05AFAA7E">
            <w:pPr>
              <w:spacing w:line="440" w:lineRule="exact"/>
              <w:rPr>
                <w:rFonts w:hint="eastAsia" w:hAnsi="宋体" w:cs="宋体"/>
                <w:color w:val="auto"/>
                <w:szCs w:val="21"/>
                <w:highlight w:val="none"/>
              </w:rPr>
            </w:pPr>
            <w:r>
              <w:rPr>
                <w:rFonts w:hint="eastAsia" w:hAnsi="宋体" w:cs="宋体"/>
                <w:color w:val="auto"/>
                <w:szCs w:val="21"/>
                <w:highlight w:val="none"/>
              </w:rPr>
              <w:t>3米尺量测尺底间隙大于8mm</w:t>
            </w:r>
          </w:p>
        </w:tc>
      </w:tr>
      <w:tr w14:paraId="5243F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18F6A44B">
            <w:pPr>
              <w:spacing w:line="440" w:lineRule="exact"/>
              <w:rPr>
                <w:rFonts w:hint="eastAsia" w:hAnsi="宋体" w:cs="宋体"/>
                <w:color w:val="auto"/>
                <w:szCs w:val="21"/>
                <w:highlight w:val="none"/>
              </w:rPr>
            </w:pPr>
            <w:r>
              <w:rPr>
                <w:rFonts w:hint="eastAsia" w:hAnsi="宋体" w:cs="宋体"/>
                <w:color w:val="auto"/>
                <w:szCs w:val="21"/>
                <w:highlight w:val="none"/>
              </w:rPr>
              <w:t>15</w:t>
            </w:r>
          </w:p>
        </w:tc>
        <w:tc>
          <w:tcPr>
            <w:tcW w:w="1529" w:type="dxa"/>
            <w:vAlign w:val="center"/>
          </w:tcPr>
          <w:p w14:paraId="5BE6C613">
            <w:pPr>
              <w:spacing w:line="440" w:lineRule="exact"/>
              <w:rPr>
                <w:rFonts w:hint="eastAsia" w:hAnsi="宋体" w:cs="宋体"/>
                <w:color w:val="auto"/>
                <w:szCs w:val="21"/>
                <w:highlight w:val="none"/>
              </w:rPr>
            </w:pPr>
            <w:r>
              <w:rPr>
                <w:rFonts w:hint="eastAsia" w:hAnsi="宋体" w:cs="宋体"/>
                <w:color w:val="auto"/>
                <w:szCs w:val="21"/>
                <w:highlight w:val="none"/>
              </w:rPr>
              <w:t>沟石不平</w:t>
            </w:r>
          </w:p>
        </w:tc>
        <w:tc>
          <w:tcPr>
            <w:tcW w:w="7110" w:type="dxa"/>
            <w:vAlign w:val="bottom"/>
          </w:tcPr>
          <w:p w14:paraId="037AFCA7">
            <w:pPr>
              <w:spacing w:line="440" w:lineRule="exact"/>
              <w:rPr>
                <w:rFonts w:hint="eastAsia" w:hAnsi="宋体" w:cs="宋体"/>
                <w:color w:val="auto"/>
                <w:szCs w:val="21"/>
                <w:highlight w:val="none"/>
              </w:rPr>
            </w:pPr>
            <w:r>
              <w:rPr>
                <w:rFonts w:hint="eastAsia" w:hAnsi="宋体" w:cs="宋体"/>
                <w:color w:val="auto"/>
                <w:szCs w:val="21"/>
                <w:highlight w:val="none"/>
              </w:rPr>
              <w:t>沟石不平整或缺失</w:t>
            </w:r>
          </w:p>
        </w:tc>
      </w:tr>
      <w:tr w14:paraId="3AD87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vAlign w:val="center"/>
          </w:tcPr>
          <w:p w14:paraId="7C848E7F">
            <w:pPr>
              <w:spacing w:line="440" w:lineRule="exact"/>
              <w:rPr>
                <w:rFonts w:hint="eastAsia" w:hAnsi="宋体" w:cs="宋体"/>
                <w:color w:val="auto"/>
                <w:szCs w:val="21"/>
                <w:highlight w:val="none"/>
              </w:rPr>
            </w:pPr>
            <w:r>
              <w:rPr>
                <w:rFonts w:hint="eastAsia" w:hAnsi="宋体" w:cs="宋体"/>
                <w:color w:val="auto"/>
                <w:szCs w:val="21"/>
                <w:highlight w:val="none"/>
              </w:rPr>
              <w:t>16</w:t>
            </w:r>
          </w:p>
        </w:tc>
        <w:tc>
          <w:tcPr>
            <w:tcW w:w="1529" w:type="dxa"/>
            <w:vAlign w:val="center"/>
          </w:tcPr>
          <w:p w14:paraId="1A044958">
            <w:pPr>
              <w:spacing w:line="440" w:lineRule="exact"/>
              <w:rPr>
                <w:rFonts w:hint="eastAsia" w:hAnsi="宋体" w:cs="宋体"/>
                <w:color w:val="auto"/>
                <w:szCs w:val="21"/>
                <w:highlight w:val="none"/>
              </w:rPr>
            </w:pPr>
            <w:r>
              <w:rPr>
                <w:rFonts w:hint="eastAsia" w:hAnsi="宋体" w:cs="宋体"/>
                <w:color w:val="auto"/>
                <w:szCs w:val="21"/>
                <w:highlight w:val="none"/>
              </w:rPr>
              <w:t>井框高差</w:t>
            </w:r>
          </w:p>
        </w:tc>
        <w:tc>
          <w:tcPr>
            <w:tcW w:w="7110" w:type="dxa"/>
            <w:vAlign w:val="bottom"/>
          </w:tcPr>
          <w:p w14:paraId="26172FA6">
            <w:pPr>
              <w:spacing w:line="440" w:lineRule="exact"/>
              <w:rPr>
                <w:rFonts w:hint="eastAsia" w:hAnsi="宋体" w:cs="宋体"/>
                <w:color w:val="auto"/>
                <w:szCs w:val="21"/>
                <w:highlight w:val="none"/>
              </w:rPr>
            </w:pPr>
            <w:r>
              <w:rPr>
                <w:rFonts w:hint="eastAsia" w:hAnsi="宋体" w:cs="宋体"/>
                <w:color w:val="auto"/>
                <w:szCs w:val="21"/>
                <w:highlight w:val="none"/>
              </w:rPr>
              <w:t>路面与检查井框高差大于20mm</w:t>
            </w:r>
          </w:p>
        </w:tc>
      </w:tr>
    </w:tbl>
    <w:p w14:paraId="49B67290">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2、水泥混凝土路面</w:t>
      </w:r>
    </w:p>
    <w:tbl>
      <w:tblPr>
        <w:tblStyle w:val="25"/>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529"/>
        <w:gridCol w:w="7110"/>
      </w:tblGrid>
      <w:tr w14:paraId="4EA1D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jc w:val="center"/>
        </w:trPr>
        <w:tc>
          <w:tcPr>
            <w:tcW w:w="633" w:type="dxa"/>
          </w:tcPr>
          <w:p w14:paraId="125B29D7">
            <w:pPr>
              <w:spacing w:line="440" w:lineRule="exact"/>
              <w:rPr>
                <w:rFonts w:hint="eastAsia" w:hAnsi="宋体" w:cs="宋体"/>
                <w:color w:val="auto"/>
                <w:szCs w:val="21"/>
                <w:highlight w:val="none"/>
              </w:rPr>
            </w:pPr>
            <w:r>
              <w:rPr>
                <w:rFonts w:hint="eastAsia" w:hAnsi="宋体" w:cs="宋体"/>
                <w:color w:val="auto"/>
                <w:szCs w:val="21"/>
                <w:highlight w:val="none"/>
              </w:rPr>
              <w:t>序</w:t>
            </w:r>
          </w:p>
        </w:tc>
        <w:tc>
          <w:tcPr>
            <w:tcW w:w="1529" w:type="dxa"/>
          </w:tcPr>
          <w:p w14:paraId="7C1692EF">
            <w:pPr>
              <w:spacing w:line="440" w:lineRule="exact"/>
              <w:rPr>
                <w:rFonts w:hint="eastAsia" w:hAnsi="宋体" w:cs="宋体"/>
                <w:color w:val="auto"/>
                <w:szCs w:val="21"/>
                <w:highlight w:val="none"/>
              </w:rPr>
            </w:pPr>
            <w:r>
              <w:rPr>
                <w:rFonts w:hint="eastAsia" w:hAnsi="宋体" w:cs="宋体"/>
                <w:color w:val="auto"/>
                <w:szCs w:val="21"/>
                <w:highlight w:val="none"/>
              </w:rPr>
              <w:t>名称</w:t>
            </w:r>
          </w:p>
        </w:tc>
        <w:tc>
          <w:tcPr>
            <w:tcW w:w="7110" w:type="dxa"/>
          </w:tcPr>
          <w:p w14:paraId="668289D2">
            <w:pPr>
              <w:spacing w:line="440" w:lineRule="exact"/>
              <w:rPr>
                <w:rFonts w:hint="eastAsia" w:hAnsi="宋体" w:cs="宋体"/>
                <w:color w:val="auto"/>
                <w:szCs w:val="21"/>
                <w:highlight w:val="none"/>
              </w:rPr>
            </w:pPr>
            <w:r>
              <w:rPr>
                <w:rFonts w:hint="eastAsia" w:hAnsi="宋体" w:cs="宋体"/>
                <w:color w:val="auto"/>
                <w:szCs w:val="21"/>
                <w:highlight w:val="none"/>
              </w:rPr>
              <w:t>标准范围</w:t>
            </w:r>
          </w:p>
        </w:tc>
      </w:tr>
      <w:tr w14:paraId="35518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0CEE2CC7">
            <w:pPr>
              <w:spacing w:line="440" w:lineRule="exact"/>
              <w:rPr>
                <w:rFonts w:hint="eastAsia" w:hAnsi="宋体" w:cs="宋体"/>
                <w:color w:val="auto"/>
                <w:szCs w:val="21"/>
                <w:highlight w:val="none"/>
              </w:rPr>
            </w:pPr>
            <w:r>
              <w:rPr>
                <w:rFonts w:hint="eastAsia" w:hAnsi="宋体" w:cs="宋体"/>
                <w:color w:val="auto"/>
                <w:szCs w:val="21"/>
                <w:highlight w:val="none"/>
              </w:rPr>
              <w:t>1</w:t>
            </w:r>
          </w:p>
        </w:tc>
        <w:tc>
          <w:tcPr>
            <w:tcW w:w="1529" w:type="dxa"/>
          </w:tcPr>
          <w:p w14:paraId="233A10AE">
            <w:pPr>
              <w:spacing w:line="440" w:lineRule="exact"/>
              <w:rPr>
                <w:rFonts w:hint="eastAsia" w:hAnsi="宋体" w:cs="宋体"/>
                <w:color w:val="auto"/>
                <w:szCs w:val="21"/>
                <w:highlight w:val="none"/>
              </w:rPr>
            </w:pPr>
            <w:r>
              <w:rPr>
                <w:rFonts w:hint="eastAsia" w:hAnsi="宋体" w:cs="宋体"/>
                <w:color w:val="auto"/>
                <w:szCs w:val="21"/>
                <w:highlight w:val="none"/>
              </w:rPr>
              <w:t>沉陷</w:t>
            </w:r>
          </w:p>
        </w:tc>
        <w:tc>
          <w:tcPr>
            <w:tcW w:w="7110" w:type="dxa"/>
            <w:vAlign w:val="bottom"/>
          </w:tcPr>
          <w:p w14:paraId="3C6F4C34">
            <w:pPr>
              <w:spacing w:line="440" w:lineRule="exact"/>
              <w:rPr>
                <w:rFonts w:hint="eastAsia" w:hAnsi="宋体" w:cs="宋体"/>
                <w:color w:val="auto"/>
                <w:szCs w:val="21"/>
                <w:highlight w:val="none"/>
              </w:rPr>
            </w:pPr>
            <w:r>
              <w:rPr>
                <w:rFonts w:hint="eastAsia" w:hAnsi="宋体" w:cs="宋体"/>
                <w:color w:val="auto"/>
                <w:szCs w:val="21"/>
                <w:highlight w:val="none"/>
              </w:rPr>
              <w:t>路面连续数块板下沉，低于相邻板面深度大于30mm</w:t>
            </w:r>
          </w:p>
        </w:tc>
      </w:tr>
      <w:tr w14:paraId="2F9EA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090CCA4A">
            <w:pPr>
              <w:spacing w:line="440" w:lineRule="exact"/>
              <w:rPr>
                <w:rFonts w:hint="eastAsia" w:hAnsi="宋体" w:cs="宋体"/>
                <w:color w:val="auto"/>
                <w:szCs w:val="21"/>
                <w:highlight w:val="none"/>
              </w:rPr>
            </w:pPr>
            <w:r>
              <w:rPr>
                <w:rFonts w:hint="eastAsia" w:hAnsi="宋体" w:cs="宋体"/>
                <w:color w:val="auto"/>
                <w:szCs w:val="21"/>
                <w:highlight w:val="none"/>
              </w:rPr>
              <w:t>2</w:t>
            </w:r>
          </w:p>
        </w:tc>
        <w:tc>
          <w:tcPr>
            <w:tcW w:w="1529" w:type="dxa"/>
          </w:tcPr>
          <w:p w14:paraId="004D998D">
            <w:pPr>
              <w:spacing w:line="440" w:lineRule="exact"/>
              <w:rPr>
                <w:rFonts w:hint="eastAsia" w:hAnsi="宋体" w:cs="宋体"/>
                <w:color w:val="auto"/>
                <w:szCs w:val="21"/>
                <w:highlight w:val="none"/>
              </w:rPr>
            </w:pPr>
            <w:r>
              <w:rPr>
                <w:rFonts w:hint="eastAsia" w:hAnsi="宋体" w:cs="宋体"/>
                <w:color w:val="auto"/>
                <w:szCs w:val="21"/>
                <w:highlight w:val="none"/>
              </w:rPr>
              <w:t>破碎板</w:t>
            </w:r>
          </w:p>
        </w:tc>
        <w:tc>
          <w:tcPr>
            <w:tcW w:w="7110" w:type="dxa"/>
          </w:tcPr>
          <w:p w14:paraId="2F5EC732">
            <w:pPr>
              <w:spacing w:line="440" w:lineRule="exact"/>
              <w:rPr>
                <w:rFonts w:hint="eastAsia" w:hAnsi="宋体" w:cs="宋体"/>
                <w:color w:val="auto"/>
                <w:szCs w:val="21"/>
                <w:highlight w:val="none"/>
              </w:rPr>
            </w:pPr>
            <w:r>
              <w:rPr>
                <w:rFonts w:hint="eastAsia" w:hAnsi="宋体" w:cs="宋体"/>
                <w:color w:val="auto"/>
                <w:szCs w:val="21"/>
                <w:highlight w:val="none"/>
              </w:rPr>
              <w:t>裂缝将整块板分割开，并有严重剥落或沉陷</w:t>
            </w:r>
          </w:p>
        </w:tc>
      </w:tr>
      <w:tr w14:paraId="796C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2E6012B9">
            <w:pPr>
              <w:spacing w:line="440" w:lineRule="exact"/>
              <w:rPr>
                <w:rFonts w:hint="eastAsia" w:hAnsi="宋体" w:cs="宋体"/>
                <w:color w:val="auto"/>
                <w:szCs w:val="21"/>
                <w:highlight w:val="none"/>
              </w:rPr>
            </w:pPr>
            <w:r>
              <w:rPr>
                <w:rFonts w:hint="eastAsia" w:hAnsi="宋体" w:cs="宋体"/>
                <w:color w:val="auto"/>
                <w:szCs w:val="21"/>
                <w:highlight w:val="none"/>
              </w:rPr>
              <w:t>3</w:t>
            </w:r>
          </w:p>
        </w:tc>
        <w:tc>
          <w:tcPr>
            <w:tcW w:w="1529" w:type="dxa"/>
          </w:tcPr>
          <w:p w14:paraId="5AD8C6EC">
            <w:pPr>
              <w:spacing w:line="440" w:lineRule="exact"/>
              <w:rPr>
                <w:rFonts w:hint="eastAsia" w:hAnsi="宋体" w:cs="宋体"/>
                <w:color w:val="auto"/>
                <w:szCs w:val="21"/>
                <w:highlight w:val="none"/>
              </w:rPr>
            </w:pPr>
            <w:r>
              <w:rPr>
                <w:rFonts w:hint="eastAsia" w:hAnsi="宋体" w:cs="宋体"/>
                <w:color w:val="auto"/>
                <w:szCs w:val="21"/>
                <w:highlight w:val="none"/>
              </w:rPr>
              <w:t>坑洞</w:t>
            </w:r>
          </w:p>
        </w:tc>
        <w:tc>
          <w:tcPr>
            <w:tcW w:w="7110" w:type="dxa"/>
          </w:tcPr>
          <w:p w14:paraId="75E06F5D">
            <w:pPr>
              <w:spacing w:line="440" w:lineRule="exact"/>
              <w:rPr>
                <w:rFonts w:hint="eastAsia" w:hAnsi="宋体" w:cs="宋体"/>
                <w:color w:val="auto"/>
                <w:szCs w:val="21"/>
                <w:highlight w:val="none"/>
              </w:rPr>
            </w:pPr>
            <w:r>
              <w:rPr>
                <w:rFonts w:hint="eastAsia" w:hAnsi="宋体" w:cs="宋体"/>
                <w:color w:val="auto"/>
                <w:szCs w:val="21"/>
                <w:highlight w:val="none"/>
              </w:rPr>
              <w:t>路面板粗集料脱落形成局部凹坑，面积大于0.1m</w:t>
            </w:r>
            <w:r>
              <w:rPr>
                <w:rFonts w:hint="eastAsia" w:hAnsi="宋体" w:cs="宋体"/>
                <w:color w:val="auto"/>
                <w:szCs w:val="21"/>
                <w:highlight w:val="none"/>
                <w:vertAlign w:val="superscript"/>
              </w:rPr>
              <w:t>2</w:t>
            </w:r>
          </w:p>
        </w:tc>
      </w:tr>
      <w:tr w14:paraId="61E39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2E57FC98">
            <w:pPr>
              <w:spacing w:line="440" w:lineRule="exact"/>
              <w:rPr>
                <w:rFonts w:hint="eastAsia" w:hAnsi="宋体" w:cs="宋体"/>
                <w:color w:val="auto"/>
                <w:szCs w:val="21"/>
                <w:highlight w:val="none"/>
              </w:rPr>
            </w:pPr>
            <w:r>
              <w:rPr>
                <w:rFonts w:hint="eastAsia" w:hAnsi="宋体" w:cs="宋体"/>
                <w:color w:val="auto"/>
                <w:szCs w:val="21"/>
                <w:highlight w:val="none"/>
              </w:rPr>
              <w:t>4</w:t>
            </w:r>
          </w:p>
        </w:tc>
        <w:tc>
          <w:tcPr>
            <w:tcW w:w="1529" w:type="dxa"/>
          </w:tcPr>
          <w:p w14:paraId="450EDA80">
            <w:pPr>
              <w:spacing w:line="440" w:lineRule="exact"/>
              <w:rPr>
                <w:rFonts w:hint="eastAsia" w:hAnsi="宋体" w:cs="宋体"/>
                <w:color w:val="auto"/>
                <w:szCs w:val="21"/>
                <w:highlight w:val="none"/>
              </w:rPr>
            </w:pPr>
            <w:r>
              <w:rPr>
                <w:rFonts w:hint="eastAsia" w:hAnsi="宋体" w:cs="宋体"/>
                <w:color w:val="auto"/>
                <w:szCs w:val="21"/>
                <w:highlight w:val="none"/>
              </w:rPr>
              <w:t>板角断裂</w:t>
            </w:r>
          </w:p>
        </w:tc>
        <w:tc>
          <w:tcPr>
            <w:tcW w:w="7110" w:type="dxa"/>
          </w:tcPr>
          <w:p w14:paraId="709362F7">
            <w:pPr>
              <w:spacing w:line="440" w:lineRule="exact"/>
              <w:rPr>
                <w:rFonts w:hint="eastAsia" w:hAnsi="宋体" w:cs="宋体"/>
                <w:color w:val="auto"/>
                <w:szCs w:val="21"/>
                <w:highlight w:val="none"/>
              </w:rPr>
            </w:pPr>
            <w:r>
              <w:rPr>
                <w:rFonts w:hint="eastAsia" w:hAnsi="宋体" w:cs="宋体"/>
                <w:color w:val="auto"/>
                <w:szCs w:val="21"/>
                <w:highlight w:val="none"/>
              </w:rPr>
              <w:t>裂缝将板角切断</w:t>
            </w:r>
          </w:p>
        </w:tc>
      </w:tr>
      <w:tr w14:paraId="319CF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660C2184">
            <w:pPr>
              <w:spacing w:line="440" w:lineRule="exact"/>
              <w:rPr>
                <w:rFonts w:hint="eastAsia" w:hAnsi="宋体" w:cs="宋体"/>
                <w:color w:val="auto"/>
                <w:szCs w:val="21"/>
                <w:highlight w:val="none"/>
              </w:rPr>
            </w:pPr>
            <w:r>
              <w:rPr>
                <w:rFonts w:hint="eastAsia" w:hAnsi="宋体" w:cs="宋体"/>
                <w:color w:val="auto"/>
                <w:szCs w:val="21"/>
                <w:highlight w:val="none"/>
              </w:rPr>
              <w:t>5</w:t>
            </w:r>
          </w:p>
        </w:tc>
        <w:tc>
          <w:tcPr>
            <w:tcW w:w="1529" w:type="dxa"/>
          </w:tcPr>
          <w:p w14:paraId="618EFC58">
            <w:pPr>
              <w:spacing w:line="440" w:lineRule="exact"/>
              <w:rPr>
                <w:rFonts w:hint="eastAsia" w:hAnsi="宋体" w:cs="宋体"/>
                <w:color w:val="auto"/>
                <w:szCs w:val="21"/>
                <w:highlight w:val="none"/>
              </w:rPr>
            </w:pPr>
            <w:r>
              <w:rPr>
                <w:rFonts w:hint="eastAsia" w:hAnsi="宋体" w:cs="宋体"/>
                <w:color w:val="auto"/>
                <w:szCs w:val="21"/>
                <w:highlight w:val="none"/>
              </w:rPr>
              <w:t>露骨</w:t>
            </w:r>
          </w:p>
        </w:tc>
        <w:tc>
          <w:tcPr>
            <w:tcW w:w="7110" w:type="dxa"/>
          </w:tcPr>
          <w:p w14:paraId="134DEE3C">
            <w:pPr>
              <w:spacing w:line="440" w:lineRule="exact"/>
              <w:rPr>
                <w:rFonts w:hint="eastAsia" w:hAnsi="宋体" w:cs="宋体"/>
                <w:color w:val="auto"/>
                <w:szCs w:val="21"/>
                <w:highlight w:val="none"/>
              </w:rPr>
            </w:pPr>
            <w:r>
              <w:rPr>
                <w:rFonts w:hint="eastAsia" w:hAnsi="宋体" w:cs="宋体"/>
                <w:color w:val="auto"/>
                <w:szCs w:val="21"/>
                <w:highlight w:val="none"/>
              </w:rPr>
              <w:t>路面板表面细集料散失、粗集料暴露，面积大于1m</w:t>
            </w:r>
            <w:r>
              <w:rPr>
                <w:rFonts w:hint="eastAsia" w:hAnsi="宋体" w:cs="宋体"/>
                <w:color w:val="auto"/>
                <w:szCs w:val="21"/>
                <w:highlight w:val="none"/>
                <w:vertAlign w:val="superscript"/>
              </w:rPr>
              <w:t>2</w:t>
            </w:r>
          </w:p>
        </w:tc>
      </w:tr>
      <w:tr w14:paraId="352A7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48462D11">
            <w:pPr>
              <w:spacing w:line="440" w:lineRule="exact"/>
              <w:rPr>
                <w:rFonts w:hint="eastAsia" w:hAnsi="宋体" w:cs="宋体"/>
                <w:color w:val="auto"/>
                <w:szCs w:val="21"/>
                <w:highlight w:val="none"/>
              </w:rPr>
            </w:pPr>
            <w:r>
              <w:rPr>
                <w:rFonts w:hint="eastAsia" w:hAnsi="宋体" w:cs="宋体"/>
                <w:color w:val="auto"/>
                <w:szCs w:val="21"/>
                <w:highlight w:val="none"/>
              </w:rPr>
              <w:t>6</w:t>
            </w:r>
          </w:p>
        </w:tc>
        <w:tc>
          <w:tcPr>
            <w:tcW w:w="1529" w:type="dxa"/>
          </w:tcPr>
          <w:p w14:paraId="4A93050C">
            <w:pPr>
              <w:spacing w:line="440" w:lineRule="exact"/>
              <w:rPr>
                <w:rFonts w:hint="eastAsia" w:hAnsi="宋体" w:cs="宋体"/>
                <w:color w:val="auto"/>
                <w:szCs w:val="21"/>
                <w:highlight w:val="none"/>
              </w:rPr>
            </w:pPr>
            <w:r>
              <w:rPr>
                <w:rFonts w:hint="eastAsia" w:hAnsi="宋体" w:cs="宋体"/>
                <w:color w:val="auto"/>
                <w:szCs w:val="21"/>
                <w:highlight w:val="none"/>
              </w:rPr>
              <w:t>拱胀</w:t>
            </w:r>
          </w:p>
        </w:tc>
        <w:tc>
          <w:tcPr>
            <w:tcW w:w="7110" w:type="dxa"/>
          </w:tcPr>
          <w:p w14:paraId="3343A6BE">
            <w:pPr>
              <w:spacing w:line="440" w:lineRule="exact"/>
              <w:rPr>
                <w:rFonts w:hint="eastAsia" w:hAnsi="宋体" w:cs="宋体"/>
                <w:color w:val="auto"/>
                <w:szCs w:val="21"/>
                <w:highlight w:val="none"/>
              </w:rPr>
            </w:pPr>
            <w:r>
              <w:rPr>
                <w:rFonts w:hint="eastAsia" w:hAnsi="宋体" w:cs="宋体"/>
                <w:color w:val="auto"/>
                <w:szCs w:val="21"/>
                <w:highlight w:val="none"/>
              </w:rPr>
              <w:t>相邻板块相对邻近板向上突起30mm</w:t>
            </w:r>
          </w:p>
        </w:tc>
      </w:tr>
      <w:tr w14:paraId="0B6E0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633" w:type="dxa"/>
          </w:tcPr>
          <w:p w14:paraId="4FC93983">
            <w:pPr>
              <w:spacing w:line="440" w:lineRule="exact"/>
              <w:rPr>
                <w:rFonts w:hint="eastAsia" w:hAnsi="宋体" w:cs="宋体"/>
                <w:color w:val="auto"/>
                <w:szCs w:val="21"/>
                <w:highlight w:val="none"/>
              </w:rPr>
            </w:pPr>
            <w:r>
              <w:rPr>
                <w:rFonts w:hint="eastAsia" w:hAnsi="宋体" w:cs="宋体"/>
                <w:color w:val="auto"/>
                <w:szCs w:val="21"/>
                <w:highlight w:val="none"/>
              </w:rPr>
              <w:t>7</w:t>
            </w:r>
          </w:p>
        </w:tc>
        <w:tc>
          <w:tcPr>
            <w:tcW w:w="1529" w:type="dxa"/>
          </w:tcPr>
          <w:p w14:paraId="3E9CC64B">
            <w:pPr>
              <w:spacing w:line="440" w:lineRule="exact"/>
              <w:rPr>
                <w:rFonts w:hint="eastAsia" w:hAnsi="宋体" w:cs="宋体"/>
                <w:color w:val="auto"/>
                <w:szCs w:val="21"/>
                <w:highlight w:val="none"/>
              </w:rPr>
            </w:pPr>
            <w:r>
              <w:rPr>
                <w:rFonts w:hint="eastAsia" w:hAnsi="宋体" w:cs="宋体"/>
                <w:color w:val="auto"/>
                <w:szCs w:val="21"/>
                <w:highlight w:val="none"/>
              </w:rPr>
              <w:t>平整度差</w:t>
            </w:r>
          </w:p>
        </w:tc>
        <w:tc>
          <w:tcPr>
            <w:tcW w:w="7110" w:type="dxa"/>
          </w:tcPr>
          <w:p w14:paraId="6379AA2C">
            <w:pPr>
              <w:spacing w:line="440" w:lineRule="exact"/>
              <w:rPr>
                <w:rFonts w:hint="eastAsia" w:hAnsi="宋体" w:cs="宋体"/>
                <w:color w:val="auto"/>
                <w:szCs w:val="21"/>
                <w:highlight w:val="none"/>
              </w:rPr>
            </w:pPr>
            <w:r>
              <w:rPr>
                <w:rFonts w:hint="eastAsia" w:hAnsi="宋体" w:cs="宋体"/>
                <w:color w:val="auto"/>
                <w:szCs w:val="21"/>
                <w:highlight w:val="none"/>
              </w:rPr>
              <w:t>3米尺量测尺底间隙大于8mm</w:t>
            </w:r>
          </w:p>
        </w:tc>
      </w:tr>
      <w:tr w14:paraId="459E9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633" w:type="dxa"/>
            <w:tcBorders>
              <w:bottom w:val="single" w:color="auto" w:sz="4" w:space="0"/>
            </w:tcBorders>
          </w:tcPr>
          <w:p w14:paraId="5A72D7A5">
            <w:pPr>
              <w:spacing w:line="440" w:lineRule="exact"/>
              <w:rPr>
                <w:rFonts w:hint="eastAsia" w:hAnsi="宋体" w:cs="宋体"/>
                <w:color w:val="auto"/>
                <w:szCs w:val="21"/>
                <w:highlight w:val="none"/>
              </w:rPr>
            </w:pPr>
            <w:r>
              <w:rPr>
                <w:rFonts w:hint="eastAsia" w:hAnsi="宋体" w:cs="宋体"/>
                <w:color w:val="auto"/>
                <w:szCs w:val="21"/>
                <w:highlight w:val="none"/>
              </w:rPr>
              <w:t>8</w:t>
            </w:r>
          </w:p>
        </w:tc>
        <w:tc>
          <w:tcPr>
            <w:tcW w:w="1529" w:type="dxa"/>
            <w:tcBorders>
              <w:bottom w:val="single" w:color="auto" w:sz="4" w:space="0"/>
            </w:tcBorders>
          </w:tcPr>
          <w:p w14:paraId="33A4817D">
            <w:pPr>
              <w:spacing w:line="440" w:lineRule="exact"/>
              <w:rPr>
                <w:rFonts w:hint="eastAsia" w:hAnsi="宋体" w:cs="宋体"/>
                <w:color w:val="auto"/>
                <w:szCs w:val="21"/>
                <w:highlight w:val="none"/>
              </w:rPr>
            </w:pPr>
            <w:r>
              <w:rPr>
                <w:rFonts w:hint="eastAsia" w:hAnsi="宋体" w:cs="宋体"/>
                <w:color w:val="auto"/>
                <w:szCs w:val="21"/>
                <w:highlight w:val="none"/>
              </w:rPr>
              <w:t>错台</w:t>
            </w:r>
          </w:p>
        </w:tc>
        <w:tc>
          <w:tcPr>
            <w:tcW w:w="7110" w:type="dxa"/>
          </w:tcPr>
          <w:p w14:paraId="511CDBDB">
            <w:pPr>
              <w:spacing w:line="440" w:lineRule="exact"/>
              <w:rPr>
                <w:rFonts w:hint="eastAsia" w:hAnsi="宋体" w:cs="宋体"/>
                <w:color w:val="auto"/>
                <w:szCs w:val="21"/>
                <w:highlight w:val="none"/>
              </w:rPr>
            </w:pPr>
            <w:r>
              <w:rPr>
                <w:rFonts w:hint="eastAsia" w:hAnsi="宋体" w:cs="宋体"/>
                <w:color w:val="auto"/>
                <w:szCs w:val="21"/>
                <w:highlight w:val="none"/>
              </w:rPr>
              <w:t>相邻板块垂直高差大于8mm</w:t>
            </w:r>
          </w:p>
        </w:tc>
      </w:tr>
      <w:tr w14:paraId="44B54C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7AC934C1">
            <w:pPr>
              <w:spacing w:line="440" w:lineRule="exact"/>
              <w:rPr>
                <w:rFonts w:hint="eastAsia" w:hAnsi="宋体" w:cs="宋体"/>
                <w:color w:val="auto"/>
                <w:szCs w:val="21"/>
                <w:highlight w:val="none"/>
              </w:rPr>
            </w:pPr>
            <w:r>
              <w:rPr>
                <w:rFonts w:hint="eastAsia" w:hAnsi="宋体" w:cs="宋体"/>
                <w:color w:val="auto"/>
                <w:szCs w:val="21"/>
                <w:highlight w:val="none"/>
              </w:rPr>
              <w:t>9</w:t>
            </w:r>
          </w:p>
        </w:tc>
        <w:tc>
          <w:tcPr>
            <w:tcW w:w="1529" w:type="dxa"/>
          </w:tcPr>
          <w:p w14:paraId="21ADE542">
            <w:pPr>
              <w:spacing w:line="440" w:lineRule="exact"/>
              <w:rPr>
                <w:rFonts w:hint="eastAsia" w:hAnsi="宋体" w:cs="宋体"/>
                <w:color w:val="auto"/>
                <w:szCs w:val="21"/>
                <w:highlight w:val="none"/>
              </w:rPr>
            </w:pPr>
            <w:r>
              <w:rPr>
                <w:rFonts w:hint="eastAsia" w:hAnsi="宋体" w:cs="宋体"/>
                <w:color w:val="auto"/>
                <w:szCs w:val="21"/>
                <w:highlight w:val="none"/>
              </w:rPr>
              <w:t>唧泥</w:t>
            </w:r>
          </w:p>
        </w:tc>
        <w:tc>
          <w:tcPr>
            <w:tcW w:w="7110" w:type="dxa"/>
          </w:tcPr>
          <w:p w14:paraId="198A671A">
            <w:pPr>
              <w:spacing w:line="440" w:lineRule="exact"/>
              <w:rPr>
                <w:rFonts w:hint="eastAsia" w:hAnsi="宋体" w:cs="宋体"/>
                <w:color w:val="auto"/>
                <w:szCs w:val="21"/>
                <w:highlight w:val="none"/>
              </w:rPr>
            </w:pPr>
            <w:r>
              <w:rPr>
                <w:rFonts w:hint="eastAsia" w:hAnsi="宋体" w:cs="宋体"/>
                <w:color w:val="auto"/>
                <w:szCs w:val="21"/>
                <w:highlight w:val="none"/>
              </w:rPr>
              <w:t>路面接缝处或裂缝处挤出泥浆，板底出现脱空</w:t>
            </w:r>
          </w:p>
        </w:tc>
      </w:tr>
      <w:tr w14:paraId="2392C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3197F550">
            <w:pPr>
              <w:spacing w:line="440" w:lineRule="exact"/>
              <w:rPr>
                <w:rFonts w:hint="eastAsia" w:hAnsi="宋体" w:cs="宋体"/>
                <w:color w:val="auto"/>
                <w:szCs w:val="21"/>
                <w:highlight w:val="none"/>
              </w:rPr>
            </w:pPr>
            <w:r>
              <w:rPr>
                <w:rFonts w:hint="eastAsia" w:hAnsi="宋体" w:cs="宋体"/>
                <w:color w:val="auto"/>
                <w:szCs w:val="21"/>
                <w:highlight w:val="none"/>
              </w:rPr>
              <w:t>10</w:t>
            </w:r>
          </w:p>
        </w:tc>
        <w:tc>
          <w:tcPr>
            <w:tcW w:w="1529" w:type="dxa"/>
          </w:tcPr>
          <w:p w14:paraId="301A0291">
            <w:pPr>
              <w:spacing w:line="440" w:lineRule="exact"/>
              <w:rPr>
                <w:rFonts w:hint="eastAsia" w:hAnsi="宋体" w:cs="宋体"/>
                <w:color w:val="auto"/>
                <w:szCs w:val="21"/>
                <w:highlight w:val="none"/>
              </w:rPr>
            </w:pPr>
            <w:r>
              <w:rPr>
                <w:rFonts w:hint="eastAsia" w:hAnsi="宋体" w:cs="宋体"/>
                <w:color w:val="auto"/>
                <w:szCs w:val="21"/>
                <w:highlight w:val="none"/>
              </w:rPr>
              <w:t>裂缝</w:t>
            </w:r>
          </w:p>
        </w:tc>
        <w:tc>
          <w:tcPr>
            <w:tcW w:w="7110" w:type="dxa"/>
          </w:tcPr>
          <w:p w14:paraId="5DCECA51">
            <w:pPr>
              <w:spacing w:line="440" w:lineRule="exact"/>
              <w:rPr>
                <w:rFonts w:hint="eastAsia" w:hAnsi="宋体" w:cs="宋体"/>
                <w:color w:val="auto"/>
                <w:szCs w:val="21"/>
                <w:highlight w:val="none"/>
              </w:rPr>
            </w:pPr>
            <w:r>
              <w:rPr>
                <w:rFonts w:hint="eastAsia" w:hAnsi="宋体" w:cs="宋体"/>
                <w:color w:val="auto"/>
                <w:szCs w:val="21"/>
                <w:highlight w:val="none"/>
              </w:rPr>
              <w:t>长度超过1m的开裂</w:t>
            </w:r>
          </w:p>
        </w:tc>
      </w:tr>
      <w:tr w14:paraId="2A428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3BDEEFA3">
            <w:pPr>
              <w:spacing w:line="440" w:lineRule="exact"/>
              <w:rPr>
                <w:rFonts w:hint="eastAsia" w:hAnsi="宋体" w:cs="宋体" w:eastAsiaTheme="minorEastAsia"/>
                <w:color w:val="auto"/>
                <w:szCs w:val="21"/>
                <w:highlight w:val="none"/>
                <w:lang w:eastAsia="zh-CN"/>
              </w:rPr>
            </w:pPr>
            <w:r>
              <w:rPr>
                <w:rFonts w:hint="eastAsia" w:hAnsi="宋体" w:cs="宋体"/>
                <w:color w:val="auto"/>
                <w:szCs w:val="21"/>
                <w:highlight w:val="none"/>
              </w:rPr>
              <w:t>1</w:t>
            </w:r>
            <w:r>
              <w:rPr>
                <w:rFonts w:hint="eastAsia" w:hAnsi="宋体" w:cs="宋体"/>
                <w:color w:val="auto"/>
                <w:szCs w:val="21"/>
                <w:highlight w:val="none"/>
                <w:lang w:val="en-US" w:eastAsia="zh-CN"/>
              </w:rPr>
              <w:t>1</w:t>
            </w:r>
          </w:p>
        </w:tc>
        <w:tc>
          <w:tcPr>
            <w:tcW w:w="1529" w:type="dxa"/>
          </w:tcPr>
          <w:p w14:paraId="134EEF61">
            <w:pPr>
              <w:spacing w:line="440" w:lineRule="exact"/>
              <w:rPr>
                <w:rFonts w:hint="eastAsia" w:hAnsi="宋体" w:cs="宋体"/>
                <w:color w:val="auto"/>
                <w:szCs w:val="21"/>
                <w:highlight w:val="none"/>
              </w:rPr>
            </w:pPr>
            <w:r>
              <w:rPr>
                <w:rFonts w:hint="eastAsia" w:hAnsi="宋体" w:cs="宋体"/>
                <w:color w:val="auto"/>
                <w:szCs w:val="21"/>
                <w:highlight w:val="none"/>
              </w:rPr>
              <w:t>缝料散失</w:t>
            </w:r>
          </w:p>
        </w:tc>
        <w:tc>
          <w:tcPr>
            <w:tcW w:w="7110" w:type="dxa"/>
          </w:tcPr>
          <w:p w14:paraId="2D96FB57">
            <w:pPr>
              <w:spacing w:line="440" w:lineRule="exact"/>
              <w:rPr>
                <w:rFonts w:hint="eastAsia" w:hAnsi="宋体" w:cs="宋体"/>
                <w:color w:val="auto"/>
                <w:szCs w:val="21"/>
                <w:highlight w:val="none"/>
              </w:rPr>
            </w:pPr>
            <w:r>
              <w:rPr>
                <w:rFonts w:hint="eastAsia" w:hAnsi="宋体" w:cs="宋体"/>
                <w:color w:val="auto"/>
                <w:szCs w:val="21"/>
                <w:highlight w:val="none"/>
              </w:rPr>
              <w:t>接缝内填料散失，或填缝料与板边脱离、凹陷10mm以上</w:t>
            </w:r>
          </w:p>
        </w:tc>
      </w:tr>
    </w:tbl>
    <w:p w14:paraId="2D511148">
      <w:pPr>
        <w:spacing w:line="440" w:lineRule="exact"/>
        <w:rPr>
          <w:rFonts w:hint="eastAsia" w:hAnsi="宋体" w:cs="宋体"/>
          <w:color w:val="auto"/>
          <w:szCs w:val="21"/>
          <w:highlight w:val="none"/>
        </w:rPr>
      </w:pPr>
      <w:r>
        <w:rPr>
          <w:rFonts w:hint="eastAsia" w:hAnsi="宋体" w:cs="宋体"/>
          <w:color w:val="auto"/>
          <w:szCs w:val="21"/>
          <w:highlight w:val="none"/>
        </w:rPr>
        <w:t xml:space="preserve">    3、人行道（含沿石）</w:t>
      </w:r>
    </w:p>
    <w:tbl>
      <w:tblPr>
        <w:tblStyle w:val="25"/>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1529"/>
        <w:gridCol w:w="7110"/>
      </w:tblGrid>
      <w:tr w14:paraId="27058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66705268">
            <w:pPr>
              <w:spacing w:line="440" w:lineRule="exact"/>
              <w:rPr>
                <w:rFonts w:hint="eastAsia" w:hAnsi="宋体" w:cs="宋体"/>
                <w:color w:val="auto"/>
                <w:szCs w:val="21"/>
                <w:highlight w:val="none"/>
              </w:rPr>
            </w:pPr>
            <w:r>
              <w:rPr>
                <w:rFonts w:hint="eastAsia" w:hAnsi="宋体" w:cs="宋体"/>
                <w:color w:val="auto"/>
                <w:szCs w:val="21"/>
                <w:highlight w:val="none"/>
              </w:rPr>
              <w:t>序</w:t>
            </w:r>
          </w:p>
        </w:tc>
        <w:tc>
          <w:tcPr>
            <w:tcW w:w="1529" w:type="dxa"/>
          </w:tcPr>
          <w:p w14:paraId="3C5A16C9">
            <w:pPr>
              <w:spacing w:line="440" w:lineRule="exact"/>
              <w:rPr>
                <w:rFonts w:hint="eastAsia" w:hAnsi="宋体" w:cs="宋体"/>
                <w:color w:val="auto"/>
                <w:szCs w:val="21"/>
                <w:highlight w:val="none"/>
              </w:rPr>
            </w:pPr>
            <w:r>
              <w:rPr>
                <w:rFonts w:hint="eastAsia" w:hAnsi="宋体" w:cs="宋体"/>
                <w:color w:val="auto"/>
                <w:szCs w:val="21"/>
                <w:highlight w:val="none"/>
              </w:rPr>
              <w:t>名称</w:t>
            </w:r>
          </w:p>
        </w:tc>
        <w:tc>
          <w:tcPr>
            <w:tcW w:w="7110" w:type="dxa"/>
          </w:tcPr>
          <w:p w14:paraId="7AD286CD">
            <w:pPr>
              <w:spacing w:line="440" w:lineRule="exact"/>
              <w:rPr>
                <w:rFonts w:hint="eastAsia" w:hAnsi="宋体" w:cs="宋体"/>
                <w:color w:val="auto"/>
                <w:szCs w:val="21"/>
                <w:highlight w:val="none"/>
              </w:rPr>
            </w:pPr>
            <w:r>
              <w:rPr>
                <w:rFonts w:hint="eastAsia" w:hAnsi="宋体" w:cs="宋体"/>
                <w:color w:val="auto"/>
                <w:szCs w:val="21"/>
                <w:highlight w:val="none"/>
              </w:rPr>
              <w:t>标准</w:t>
            </w:r>
          </w:p>
        </w:tc>
      </w:tr>
      <w:tr w14:paraId="051B4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3D2FC77A">
            <w:pPr>
              <w:spacing w:line="440" w:lineRule="exact"/>
              <w:rPr>
                <w:rFonts w:hint="eastAsia" w:hAnsi="宋体" w:cs="宋体"/>
                <w:color w:val="auto"/>
                <w:szCs w:val="21"/>
                <w:highlight w:val="none"/>
              </w:rPr>
            </w:pPr>
            <w:r>
              <w:rPr>
                <w:rFonts w:hint="eastAsia" w:hAnsi="宋体" w:cs="宋体"/>
                <w:color w:val="auto"/>
                <w:szCs w:val="21"/>
                <w:highlight w:val="none"/>
              </w:rPr>
              <w:t>1</w:t>
            </w:r>
          </w:p>
        </w:tc>
        <w:tc>
          <w:tcPr>
            <w:tcW w:w="1529" w:type="dxa"/>
          </w:tcPr>
          <w:p w14:paraId="42133950">
            <w:pPr>
              <w:spacing w:line="440" w:lineRule="exact"/>
              <w:rPr>
                <w:rFonts w:hint="eastAsia" w:hAnsi="宋体" w:cs="宋体"/>
                <w:color w:val="auto"/>
                <w:szCs w:val="21"/>
                <w:highlight w:val="none"/>
              </w:rPr>
            </w:pPr>
            <w:r>
              <w:rPr>
                <w:rFonts w:hint="eastAsia" w:hAnsi="宋体" w:cs="宋体"/>
                <w:color w:val="auto"/>
                <w:szCs w:val="21"/>
                <w:highlight w:val="none"/>
              </w:rPr>
              <w:t>缺板</w:t>
            </w:r>
          </w:p>
        </w:tc>
        <w:tc>
          <w:tcPr>
            <w:tcW w:w="7110" w:type="dxa"/>
          </w:tcPr>
          <w:p w14:paraId="12001944">
            <w:pPr>
              <w:spacing w:line="440" w:lineRule="exact"/>
              <w:rPr>
                <w:rFonts w:hint="eastAsia" w:hAnsi="宋体" w:cs="宋体"/>
                <w:color w:val="auto"/>
                <w:szCs w:val="21"/>
                <w:highlight w:val="none"/>
              </w:rPr>
            </w:pPr>
            <w:r>
              <w:rPr>
                <w:rFonts w:hint="eastAsia" w:hAnsi="宋体" w:cs="宋体"/>
                <w:color w:val="auto"/>
                <w:szCs w:val="21"/>
                <w:highlight w:val="none"/>
              </w:rPr>
              <w:t>铺装板块缺失</w:t>
            </w:r>
            <w:r>
              <w:rPr>
                <w:rFonts w:hAnsi="宋体" w:cs="宋体"/>
                <w:color w:val="auto"/>
                <w:szCs w:val="21"/>
                <w:highlight w:val="none"/>
              </w:rPr>
              <w:tab/>
            </w:r>
          </w:p>
        </w:tc>
      </w:tr>
      <w:tr w14:paraId="2B1CA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7104ABB8">
            <w:pPr>
              <w:spacing w:line="440" w:lineRule="exact"/>
              <w:rPr>
                <w:rFonts w:hint="eastAsia" w:hAnsi="宋体" w:cs="宋体"/>
                <w:color w:val="auto"/>
                <w:szCs w:val="21"/>
                <w:highlight w:val="none"/>
              </w:rPr>
            </w:pPr>
            <w:r>
              <w:rPr>
                <w:rFonts w:hint="eastAsia" w:hAnsi="宋体" w:cs="宋体"/>
                <w:color w:val="auto"/>
                <w:szCs w:val="21"/>
                <w:highlight w:val="none"/>
              </w:rPr>
              <w:t>2</w:t>
            </w:r>
          </w:p>
        </w:tc>
        <w:tc>
          <w:tcPr>
            <w:tcW w:w="1529" w:type="dxa"/>
          </w:tcPr>
          <w:p w14:paraId="6EAC4850">
            <w:pPr>
              <w:spacing w:line="440" w:lineRule="exact"/>
              <w:rPr>
                <w:rFonts w:hint="eastAsia" w:hAnsi="宋体" w:cs="宋体"/>
                <w:color w:val="auto"/>
                <w:szCs w:val="21"/>
                <w:highlight w:val="none"/>
              </w:rPr>
            </w:pPr>
            <w:r>
              <w:rPr>
                <w:rFonts w:hint="eastAsia" w:hAnsi="宋体" w:cs="宋体"/>
                <w:color w:val="auto"/>
                <w:szCs w:val="21"/>
                <w:highlight w:val="none"/>
              </w:rPr>
              <w:t>错台</w:t>
            </w:r>
          </w:p>
        </w:tc>
        <w:tc>
          <w:tcPr>
            <w:tcW w:w="7110" w:type="dxa"/>
          </w:tcPr>
          <w:p w14:paraId="2E7D86C2">
            <w:pPr>
              <w:spacing w:line="440" w:lineRule="exact"/>
              <w:rPr>
                <w:rFonts w:hint="eastAsia" w:hAnsi="宋体" w:cs="宋体"/>
                <w:color w:val="auto"/>
                <w:szCs w:val="21"/>
                <w:highlight w:val="none"/>
              </w:rPr>
            </w:pPr>
            <w:r>
              <w:rPr>
                <w:rFonts w:hint="eastAsia" w:hAnsi="宋体" w:cs="宋体"/>
                <w:color w:val="auto"/>
                <w:szCs w:val="21"/>
                <w:highlight w:val="none"/>
              </w:rPr>
              <w:t>接缝或相邻板高差大于6mm</w:t>
            </w:r>
          </w:p>
        </w:tc>
      </w:tr>
      <w:tr w14:paraId="3FFC3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35531E8D">
            <w:pPr>
              <w:spacing w:line="440" w:lineRule="exact"/>
              <w:rPr>
                <w:rFonts w:hint="eastAsia" w:hAnsi="宋体" w:cs="宋体"/>
                <w:color w:val="auto"/>
                <w:szCs w:val="21"/>
                <w:highlight w:val="none"/>
              </w:rPr>
            </w:pPr>
            <w:r>
              <w:rPr>
                <w:rFonts w:hint="eastAsia" w:hAnsi="宋体" w:cs="宋体"/>
                <w:color w:val="auto"/>
                <w:szCs w:val="21"/>
                <w:highlight w:val="none"/>
              </w:rPr>
              <w:t>3</w:t>
            </w:r>
          </w:p>
        </w:tc>
        <w:tc>
          <w:tcPr>
            <w:tcW w:w="1529" w:type="dxa"/>
          </w:tcPr>
          <w:p w14:paraId="1756336F">
            <w:pPr>
              <w:spacing w:line="440" w:lineRule="exact"/>
              <w:rPr>
                <w:rFonts w:hint="eastAsia" w:hAnsi="宋体" w:cs="宋体"/>
                <w:color w:val="auto"/>
                <w:szCs w:val="21"/>
                <w:highlight w:val="none"/>
              </w:rPr>
            </w:pPr>
            <w:r>
              <w:rPr>
                <w:rFonts w:hint="eastAsia" w:hAnsi="宋体" w:cs="宋体"/>
                <w:color w:val="auto"/>
                <w:szCs w:val="21"/>
                <w:highlight w:val="none"/>
              </w:rPr>
              <w:t>沉陷</w:t>
            </w:r>
          </w:p>
        </w:tc>
        <w:tc>
          <w:tcPr>
            <w:tcW w:w="7110" w:type="dxa"/>
          </w:tcPr>
          <w:p w14:paraId="14626D0A">
            <w:pPr>
              <w:spacing w:line="440" w:lineRule="exact"/>
              <w:rPr>
                <w:rFonts w:hint="eastAsia" w:hAnsi="宋体" w:cs="宋体"/>
                <w:color w:val="auto"/>
                <w:szCs w:val="21"/>
                <w:highlight w:val="none"/>
              </w:rPr>
            </w:pPr>
            <w:r>
              <w:rPr>
                <w:rFonts w:hint="eastAsia" w:hAnsi="宋体" w:cs="宋体"/>
                <w:color w:val="auto"/>
                <w:szCs w:val="21"/>
                <w:highlight w:val="none"/>
              </w:rPr>
              <w:t>连续数块板低于邻块20mm以上，面积超过1m</w:t>
            </w:r>
            <w:r>
              <w:rPr>
                <w:rFonts w:hint="eastAsia" w:hAnsi="宋体" w:cs="宋体"/>
                <w:color w:val="auto"/>
                <w:szCs w:val="21"/>
                <w:highlight w:val="none"/>
                <w:vertAlign w:val="superscript"/>
              </w:rPr>
              <w:t>2</w:t>
            </w:r>
          </w:p>
        </w:tc>
      </w:tr>
      <w:tr w14:paraId="2A44C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16B036C2">
            <w:pPr>
              <w:spacing w:line="440" w:lineRule="exact"/>
              <w:rPr>
                <w:rFonts w:hint="eastAsia" w:hAnsi="宋体" w:cs="宋体"/>
                <w:color w:val="auto"/>
                <w:szCs w:val="21"/>
                <w:highlight w:val="none"/>
              </w:rPr>
            </w:pPr>
            <w:r>
              <w:rPr>
                <w:rFonts w:hint="eastAsia" w:hAnsi="宋体" w:cs="宋体"/>
                <w:color w:val="auto"/>
                <w:szCs w:val="21"/>
                <w:highlight w:val="none"/>
              </w:rPr>
              <w:t>4</w:t>
            </w:r>
          </w:p>
        </w:tc>
        <w:tc>
          <w:tcPr>
            <w:tcW w:w="1529" w:type="dxa"/>
          </w:tcPr>
          <w:p w14:paraId="1042A138">
            <w:pPr>
              <w:spacing w:line="440" w:lineRule="exact"/>
              <w:rPr>
                <w:rFonts w:hint="eastAsia" w:hAnsi="宋体" w:cs="宋体"/>
                <w:color w:val="auto"/>
                <w:szCs w:val="21"/>
                <w:highlight w:val="none"/>
              </w:rPr>
            </w:pPr>
            <w:r>
              <w:rPr>
                <w:rFonts w:hint="eastAsia" w:hAnsi="宋体" w:cs="宋体"/>
                <w:color w:val="auto"/>
                <w:szCs w:val="21"/>
                <w:highlight w:val="none"/>
              </w:rPr>
              <w:t>松动（散）</w:t>
            </w:r>
          </w:p>
        </w:tc>
        <w:tc>
          <w:tcPr>
            <w:tcW w:w="7110" w:type="dxa"/>
          </w:tcPr>
          <w:p w14:paraId="4DD74A86">
            <w:pPr>
              <w:spacing w:line="440" w:lineRule="exact"/>
              <w:rPr>
                <w:rFonts w:hint="eastAsia" w:hAnsi="宋体" w:cs="宋体"/>
                <w:color w:val="auto"/>
                <w:szCs w:val="21"/>
                <w:highlight w:val="none"/>
              </w:rPr>
            </w:pPr>
            <w:r>
              <w:rPr>
                <w:rFonts w:hint="eastAsia" w:hAnsi="宋体" w:cs="宋体"/>
                <w:color w:val="auto"/>
                <w:szCs w:val="21"/>
                <w:highlight w:val="none"/>
              </w:rPr>
              <w:t>铺装块活动</w:t>
            </w:r>
          </w:p>
        </w:tc>
      </w:tr>
      <w:tr w14:paraId="6846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64B4C3AB">
            <w:pPr>
              <w:spacing w:line="440" w:lineRule="exact"/>
              <w:rPr>
                <w:rFonts w:hint="eastAsia" w:hAnsi="宋体" w:cs="宋体"/>
                <w:color w:val="auto"/>
                <w:szCs w:val="21"/>
                <w:highlight w:val="none"/>
              </w:rPr>
            </w:pPr>
            <w:r>
              <w:rPr>
                <w:rFonts w:hint="eastAsia" w:hAnsi="宋体" w:cs="宋体"/>
                <w:color w:val="auto"/>
                <w:szCs w:val="21"/>
                <w:highlight w:val="none"/>
              </w:rPr>
              <w:t>5</w:t>
            </w:r>
          </w:p>
        </w:tc>
        <w:tc>
          <w:tcPr>
            <w:tcW w:w="1529" w:type="dxa"/>
          </w:tcPr>
          <w:p w14:paraId="09A6880A">
            <w:pPr>
              <w:spacing w:line="440" w:lineRule="exact"/>
              <w:rPr>
                <w:rFonts w:hint="eastAsia" w:hAnsi="宋体" w:cs="宋体"/>
                <w:color w:val="auto"/>
                <w:szCs w:val="21"/>
                <w:highlight w:val="none"/>
              </w:rPr>
            </w:pPr>
            <w:r>
              <w:rPr>
                <w:rFonts w:hint="eastAsia" w:hAnsi="宋体" w:cs="宋体"/>
                <w:color w:val="auto"/>
                <w:szCs w:val="21"/>
                <w:highlight w:val="none"/>
              </w:rPr>
              <w:t>拱起</w:t>
            </w:r>
          </w:p>
        </w:tc>
        <w:tc>
          <w:tcPr>
            <w:tcW w:w="7110" w:type="dxa"/>
          </w:tcPr>
          <w:p w14:paraId="4AEEC5CF">
            <w:pPr>
              <w:spacing w:line="440" w:lineRule="exact"/>
              <w:rPr>
                <w:rFonts w:hint="eastAsia" w:hAnsi="宋体" w:cs="宋体"/>
                <w:color w:val="auto"/>
                <w:szCs w:val="21"/>
                <w:highlight w:val="none"/>
              </w:rPr>
            </w:pPr>
            <w:r>
              <w:rPr>
                <w:rFonts w:hint="eastAsia" w:hAnsi="宋体" w:cs="宋体"/>
                <w:color w:val="auto"/>
                <w:szCs w:val="21"/>
                <w:highlight w:val="none"/>
              </w:rPr>
              <w:t>多块板相对邻板向上突起，高低点之差大于30mm</w:t>
            </w:r>
          </w:p>
        </w:tc>
      </w:tr>
      <w:tr w14:paraId="46FB6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36A6DFF5">
            <w:pPr>
              <w:spacing w:line="440" w:lineRule="exact"/>
              <w:rPr>
                <w:rFonts w:hint="eastAsia" w:hAnsi="宋体" w:cs="宋体"/>
                <w:color w:val="auto"/>
                <w:szCs w:val="21"/>
                <w:highlight w:val="none"/>
              </w:rPr>
            </w:pPr>
            <w:r>
              <w:rPr>
                <w:rFonts w:hint="eastAsia" w:hAnsi="宋体" w:cs="宋体"/>
                <w:color w:val="auto"/>
                <w:szCs w:val="21"/>
                <w:highlight w:val="none"/>
              </w:rPr>
              <w:t>6</w:t>
            </w:r>
          </w:p>
        </w:tc>
        <w:tc>
          <w:tcPr>
            <w:tcW w:w="1529" w:type="dxa"/>
          </w:tcPr>
          <w:p w14:paraId="046D1821">
            <w:pPr>
              <w:spacing w:line="440" w:lineRule="exact"/>
              <w:rPr>
                <w:rFonts w:hint="eastAsia" w:hAnsi="宋体" w:cs="宋体"/>
                <w:color w:val="auto"/>
                <w:szCs w:val="21"/>
                <w:highlight w:val="none"/>
              </w:rPr>
            </w:pPr>
            <w:r>
              <w:rPr>
                <w:rFonts w:hint="eastAsia" w:hAnsi="宋体" w:cs="宋体"/>
                <w:color w:val="auto"/>
                <w:szCs w:val="21"/>
                <w:highlight w:val="none"/>
              </w:rPr>
              <w:t>井框高差</w:t>
            </w:r>
          </w:p>
        </w:tc>
        <w:tc>
          <w:tcPr>
            <w:tcW w:w="7110" w:type="dxa"/>
          </w:tcPr>
          <w:p w14:paraId="02E04621">
            <w:pPr>
              <w:spacing w:line="440" w:lineRule="exact"/>
              <w:rPr>
                <w:rFonts w:hint="eastAsia" w:hAnsi="宋体" w:cs="宋体"/>
                <w:color w:val="auto"/>
                <w:szCs w:val="21"/>
                <w:highlight w:val="none"/>
              </w:rPr>
            </w:pPr>
            <w:r>
              <w:rPr>
                <w:rFonts w:hint="eastAsia" w:hAnsi="宋体" w:cs="宋体"/>
                <w:color w:val="auto"/>
                <w:szCs w:val="21"/>
                <w:highlight w:val="none"/>
              </w:rPr>
              <w:t>高差大于10mm</w:t>
            </w:r>
          </w:p>
        </w:tc>
      </w:tr>
      <w:tr w14:paraId="3A084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77B5DB9B">
            <w:pPr>
              <w:spacing w:line="440" w:lineRule="exact"/>
              <w:rPr>
                <w:rFonts w:hint="eastAsia" w:hAnsi="宋体" w:cs="宋体"/>
                <w:color w:val="auto"/>
                <w:szCs w:val="21"/>
                <w:highlight w:val="none"/>
              </w:rPr>
            </w:pPr>
            <w:r>
              <w:rPr>
                <w:rFonts w:hint="eastAsia" w:hAnsi="宋体" w:cs="宋体"/>
                <w:color w:val="auto"/>
                <w:szCs w:val="21"/>
                <w:highlight w:val="none"/>
              </w:rPr>
              <w:t>7</w:t>
            </w:r>
          </w:p>
        </w:tc>
        <w:tc>
          <w:tcPr>
            <w:tcW w:w="1529" w:type="dxa"/>
          </w:tcPr>
          <w:p w14:paraId="738CE2CB">
            <w:pPr>
              <w:spacing w:line="440" w:lineRule="exact"/>
              <w:rPr>
                <w:rFonts w:hint="eastAsia" w:hAnsi="宋体" w:cs="宋体"/>
                <w:color w:val="auto"/>
                <w:szCs w:val="21"/>
                <w:highlight w:val="none"/>
              </w:rPr>
            </w:pPr>
            <w:r>
              <w:rPr>
                <w:rFonts w:hint="eastAsia" w:hAnsi="宋体" w:cs="宋体"/>
                <w:color w:val="auto"/>
                <w:szCs w:val="21"/>
                <w:highlight w:val="none"/>
              </w:rPr>
              <w:t>沿石歪斜</w:t>
            </w:r>
          </w:p>
        </w:tc>
        <w:tc>
          <w:tcPr>
            <w:tcW w:w="7110" w:type="dxa"/>
          </w:tcPr>
          <w:p w14:paraId="5DD3295A">
            <w:pPr>
              <w:spacing w:line="440" w:lineRule="exact"/>
              <w:rPr>
                <w:rFonts w:hint="eastAsia" w:hAnsi="宋体" w:cs="宋体"/>
                <w:color w:val="auto"/>
                <w:szCs w:val="21"/>
                <w:highlight w:val="none"/>
              </w:rPr>
            </w:pPr>
            <w:r>
              <w:rPr>
                <w:rFonts w:hint="eastAsia" w:hAnsi="宋体" w:cs="宋体"/>
                <w:color w:val="auto"/>
                <w:szCs w:val="21"/>
                <w:highlight w:val="none"/>
              </w:rPr>
              <w:t>上下差、左右差大于10mm或倾斜</w:t>
            </w:r>
          </w:p>
        </w:tc>
      </w:tr>
      <w:tr w14:paraId="56F7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33" w:type="dxa"/>
          </w:tcPr>
          <w:p w14:paraId="292B9E17">
            <w:pPr>
              <w:spacing w:line="440" w:lineRule="exact"/>
              <w:rPr>
                <w:rFonts w:hint="eastAsia" w:hAnsi="宋体" w:cs="宋体"/>
                <w:color w:val="auto"/>
                <w:szCs w:val="21"/>
                <w:highlight w:val="none"/>
              </w:rPr>
            </w:pPr>
            <w:r>
              <w:rPr>
                <w:rFonts w:hint="eastAsia" w:hAnsi="宋体" w:cs="宋体"/>
                <w:color w:val="auto"/>
                <w:szCs w:val="21"/>
                <w:highlight w:val="none"/>
              </w:rPr>
              <w:t>8</w:t>
            </w:r>
          </w:p>
        </w:tc>
        <w:tc>
          <w:tcPr>
            <w:tcW w:w="1529" w:type="dxa"/>
          </w:tcPr>
          <w:p w14:paraId="4CE6B626">
            <w:pPr>
              <w:spacing w:line="440" w:lineRule="exact"/>
              <w:rPr>
                <w:rFonts w:hint="eastAsia" w:hAnsi="宋体" w:cs="宋体"/>
                <w:color w:val="auto"/>
                <w:szCs w:val="21"/>
                <w:highlight w:val="none"/>
              </w:rPr>
            </w:pPr>
            <w:r>
              <w:rPr>
                <w:rFonts w:hint="eastAsia" w:hAnsi="宋体" w:cs="宋体"/>
                <w:color w:val="auto"/>
                <w:szCs w:val="21"/>
                <w:highlight w:val="none"/>
              </w:rPr>
              <w:t>沿石缺失</w:t>
            </w:r>
          </w:p>
        </w:tc>
        <w:tc>
          <w:tcPr>
            <w:tcW w:w="7110" w:type="dxa"/>
          </w:tcPr>
          <w:p w14:paraId="1669612E">
            <w:pPr>
              <w:spacing w:line="440" w:lineRule="exact"/>
              <w:rPr>
                <w:rFonts w:hint="eastAsia" w:hAnsi="宋体" w:cs="宋体"/>
                <w:color w:val="auto"/>
                <w:szCs w:val="21"/>
                <w:highlight w:val="none"/>
              </w:rPr>
            </w:pPr>
            <w:r>
              <w:rPr>
                <w:rFonts w:hint="eastAsia" w:hAnsi="宋体" w:cs="宋体"/>
                <w:color w:val="auto"/>
                <w:szCs w:val="21"/>
                <w:highlight w:val="none"/>
              </w:rPr>
              <w:t>沿石缺失未补</w:t>
            </w:r>
          </w:p>
        </w:tc>
      </w:tr>
      <w:tr w14:paraId="54EA8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633" w:type="dxa"/>
          </w:tcPr>
          <w:p w14:paraId="2BF6AF2B">
            <w:pPr>
              <w:spacing w:line="440" w:lineRule="exact"/>
              <w:rPr>
                <w:rFonts w:hint="eastAsia" w:hAnsi="宋体" w:cs="宋体"/>
                <w:color w:val="auto"/>
                <w:szCs w:val="21"/>
                <w:highlight w:val="none"/>
              </w:rPr>
            </w:pPr>
            <w:r>
              <w:rPr>
                <w:rFonts w:hint="eastAsia" w:hAnsi="宋体" w:cs="宋体"/>
                <w:color w:val="auto"/>
                <w:szCs w:val="21"/>
                <w:highlight w:val="none"/>
              </w:rPr>
              <w:t>9</w:t>
            </w:r>
          </w:p>
        </w:tc>
        <w:tc>
          <w:tcPr>
            <w:tcW w:w="1529" w:type="dxa"/>
          </w:tcPr>
          <w:p w14:paraId="7903BB0A">
            <w:pPr>
              <w:spacing w:line="440" w:lineRule="exact"/>
              <w:rPr>
                <w:rFonts w:hint="eastAsia" w:hAnsi="宋体" w:cs="宋体"/>
                <w:color w:val="auto"/>
                <w:szCs w:val="21"/>
                <w:highlight w:val="none"/>
              </w:rPr>
            </w:pPr>
            <w:r>
              <w:rPr>
                <w:rFonts w:hint="eastAsia" w:hAnsi="宋体" w:cs="宋体"/>
                <w:color w:val="auto"/>
                <w:szCs w:val="21"/>
                <w:highlight w:val="none"/>
              </w:rPr>
              <w:t>不镶边</w:t>
            </w:r>
          </w:p>
        </w:tc>
        <w:tc>
          <w:tcPr>
            <w:tcW w:w="7110" w:type="dxa"/>
          </w:tcPr>
          <w:p w14:paraId="62F0D0C4">
            <w:pPr>
              <w:spacing w:line="440" w:lineRule="exact"/>
              <w:rPr>
                <w:rFonts w:hint="eastAsia" w:hAnsi="宋体" w:cs="宋体"/>
                <w:color w:val="auto"/>
                <w:szCs w:val="21"/>
                <w:highlight w:val="none"/>
              </w:rPr>
            </w:pPr>
            <w:r>
              <w:rPr>
                <w:rFonts w:hint="eastAsia" w:hAnsi="宋体" w:cs="宋体"/>
                <w:color w:val="auto"/>
                <w:szCs w:val="21"/>
                <w:highlight w:val="none"/>
              </w:rPr>
              <w:t>人行道板边缘应设界条而未设</w:t>
            </w:r>
          </w:p>
        </w:tc>
      </w:tr>
      <w:tr w14:paraId="6D5CC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633" w:type="dxa"/>
          </w:tcPr>
          <w:p w14:paraId="3C7CE917">
            <w:pPr>
              <w:spacing w:line="440" w:lineRule="exact"/>
              <w:rPr>
                <w:rFonts w:hint="eastAsia" w:hAnsi="宋体" w:cs="宋体"/>
                <w:color w:val="auto"/>
                <w:szCs w:val="21"/>
                <w:highlight w:val="none"/>
              </w:rPr>
            </w:pPr>
            <w:r>
              <w:rPr>
                <w:rFonts w:hint="eastAsia" w:hAnsi="宋体" w:cs="宋体"/>
                <w:color w:val="auto"/>
                <w:szCs w:val="21"/>
                <w:highlight w:val="none"/>
              </w:rPr>
              <w:t>10</w:t>
            </w:r>
          </w:p>
        </w:tc>
        <w:tc>
          <w:tcPr>
            <w:tcW w:w="1529" w:type="dxa"/>
          </w:tcPr>
          <w:p w14:paraId="736C4B12">
            <w:pPr>
              <w:spacing w:line="440" w:lineRule="exact"/>
              <w:rPr>
                <w:rFonts w:hint="eastAsia" w:hAnsi="宋体" w:cs="宋体"/>
                <w:color w:val="auto"/>
                <w:szCs w:val="21"/>
                <w:highlight w:val="none"/>
              </w:rPr>
            </w:pPr>
            <w:r>
              <w:rPr>
                <w:rFonts w:hint="eastAsia" w:hAnsi="宋体" w:cs="宋体"/>
                <w:color w:val="auto"/>
                <w:szCs w:val="21"/>
                <w:highlight w:val="none"/>
              </w:rPr>
              <w:t>板材不规则</w:t>
            </w:r>
          </w:p>
        </w:tc>
        <w:tc>
          <w:tcPr>
            <w:tcW w:w="7110" w:type="dxa"/>
          </w:tcPr>
          <w:p w14:paraId="7EBE1FA4">
            <w:pPr>
              <w:spacing w:line="440" w:lineRule="exact"/>
              <w:rPr>
                <w:rFonts w:hint="eastAsia" w:hAnsi="宋体" w:cs="宋体"/>
                <w:color w:val="auto"/>
                <w:szCs w:val="21"/>
                <w:highlight w:val="none"/>
              </w:rPr>
            </w:pPr>
            <w:r>
              <w:rPr>
                <w:rFonts w:hint="eastAsia" w:hAnsi="宋体" w:cs="宋体"/>
                <w:color w:val="auto"/>
                <w:szCs w:val="21"/>
                <w:highlight w:val="none"/>
              </w:rPr>
              <w:t>修补部分板与原板颜色、规格不一致，盲道间断或不合标准</w:t>
            </w:r>
          </w:p>
        </w:tc>
      </w:tr>
      <w:tr w14:paraId="73B9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 w:hRule="atLeast"/>
          <w:jc w:val="center"/>
        </w:trPr>
        <w:tc>
          <w:tcPr>
            <w:tcW w:w="633" w:type="dxa"/>
          </w:tcPr>
          <w:p w14:paraId="0D761366">
            <w:pPr>
              <w:spacing w:line="440" w:lineRule="exact"/>
              <w:rPr>
                <w:rFonts w:hint="eastAsia" w:hAnsi="宋体" w:cs="宋体"/>
                <w:color w:val="auto"/>
                <w:szCs w:val="21"/>
                <w:highlight w:val="none"/>
              </w:rPr>
            </w:pPr>
            <w:r>
              <w:rPr>
                <w:rFonts w:hint="eastAsia" w:hAnsi="宋体" w:cs="宋体"/>
                <w:color w:val="auto"/>
                <w:szCs w:val="21"/>
                <w:highlight w:val="none"/>
              </w:rPr>
              <w:t>11</w:t>
            </w:r>
          </w:p>
        </w:tc>
        <w:tc>
          <w:tcPr>
            <w:tcW w:w="1529" w:type="dxa"/>
          </w:tcPr>
          <w:p w14:paraId="749EE494">
            <w:pPr>
              <w:spacing w:line="440" w:lineRule="exact"/>
              <w:rPr>
                <w:rFonts w:hint="eastAsia" w:hAnsi="宋体" w:cs="宋体"/>
                <w:color w:val="auto"/>
                <w:szCs w:val="21"/>
                <w:highlight w:val="none"/>
              </w:rPr>
            </w:pPr>
            <w:r>
              <w:rPr>
                <w:rFonts w:hint="eastAsia" w:hAnsi="宋体" w:cs="宋体"/>
                <w:color w:val="auto"/>
                <w:szCs w:val="21"/>
                <w:highlight w:val="none"/>
              </w:rPr>
              <w:t>杂草</w:t>
            </w:r>
          </w:p>
        </w:tc>
        <w:tc>
          <w:tcPr>
            <w:tcW w:w="7110" w:type="dxa"/>
          </w:tcPr>
          <w:p w14:paraId="2F32EB93">
            <w:pPr>
              <w:spacing w:line="440" w:lineRule="exact"/>
              <w:rPr>
                <w:rFonts w:hint="eastAsia" w:hAnsi="宋体" w:cs="宋体"/>
                <w:color w:val="auto"/>
                <w:szCs w:val="21"/>
                <w:highlight w:val="none"/>
              </w:rPr>
            </w:pPr>
            <w:r>
              <w:rPr>
                <w:rFonts w:hint="eastAsia" w:hAnsi="宋体" w:cs="宋体"/>
                <w:color w:val="auto"/>
                <w:szCs w:val="21"/>
                <w:highlight w:val="none"/>
              </w:rPr>
              <w:t>板缝中出生的杂草等未清</w:t>
            </w:r>
          </w:p>
        </w:tc>
      </w:tr>
      <w:tr w14:paraId="767B7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33" w:type="dxa"/>
          </w:tcPr>
          <w:p w14:paraId="6AE633AD">
            <w:pPr>
              <w:spacing w:line="440" w:lineRule="exact"/>
              <w:rPr>
                <w:rFonts w:hint="eastAsia" w:hAnsi="宋体" w:cs="宋体"/>
                <w:color w:val="auto"/>
                <w:szCs w:val="21"/>
                <w:highlight w:val="none"/>
              </w:rPr>
            </w:pPr>
            <w:r>
              <w:rPr>
                <w:rFonts w:hint="eastAsia" w:hAnsi="宋体" w:cs="宋体"/>
                <w:color w:val="auto"/>
                <w:szCs w:val="21"/>
                <w:highlight w:val="none"/>
              </w:rPr>
              <w:t>12</w:t>
            </w:r>
          </w:p>
        </w:tc>
        <w:tc>
          <w:tcPr>
            <w:tcW w:w="1529" w:type="dxa"/>
          </w:tcPr>
          <w:p w14:paraId="44FC85E4">
            <w:pPr>
              <w:spacing w:line="440" w:lineRule="exact"/>
              <w:rPr>
                <w:rFonts w:hint="eastAsia" w:hAnsi="宋体" w:cs="宋体"/>
                <w:color w:val="auto"/>
                <w:szCs w:val="21"/>
                <w:highlight w:val="none"/>
              </w:rPr>
            </w:pPr>
            <w:r>
              <w:rPr>
                <w:rFonts w:hint="eastAsia" w:hAnsi="宋体" w:cs="宋体"/>
                <w:color w:val="auto"/>
                <w:szCs w:val="21"/>
                <w:highlight w:val="none"/>
              </w:rPr>
              <w:t>坑洞</w:t>
            </w:r>
          </w:p>
        </w:tc>
        <w:tc>
          <w:tcPr>
            <w:tcW w:w="7110" w:type="dxa"/>
          </w:tcPr>
          <w:p w14:paraId="12A556E0">
            <w:pPr>
              <w:spacing w:line="440" w:lineRule="exact"/>
              <w:rPr>
                <w:rFonts w:hint="eastAsia" w:hAnsi="宋体" w:cs="宋体"/>
                <w:color w:val="auto"/>
                <w:szCs w:val="21"/>
                <w:highlight w:val="none"/>
              </w:rPr>
            </w:pPr>
            <w:r>
              <w:rPr>
                <w:rFonts w:hint="eastAsia" w:hAnsi="宋体" w:cs="宋体"/>
                <w:color w:val="auto"/>
                <w:szCs w:val="21"/>
                <w:highlight w:val="none"/>
              </w:rPr>
              <w:t>破损深度大于20mm</w:t>
            </w:r>
          </w:p>
        </w:tc>
      </w:tr>
    </w:tbl>
    <w:p w14:paraId="087A5E1A">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注：沥青类、水泥类人行道病害与同类型车行道相同。</w:t>
      </w:r>
    </w:p>
    <w:p w14:paraId="79D29850">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4、路基（边坡、护坡、挡墙）、土路肩</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556"/>
        <w:gridCol w:w="7126"/>
      </w:tblGrid>
      <w:tr w14:paraId="298E3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tcPr>
          <w:p w14:paraId="08863678">
            <w:pPr>
              <w:spacing w:line="440" w:lineRule="exact"/>
              <w:rPr>
                <w:rFonts w:hint="eastAsia" w:hAnsi="宋体" w:cs="宋体"/>
                <w:color w:val="auto"/>
                <w:szCs w:val="21"/>
                <w:highlight w:val="none"/>
              </w:rPr>
            </w:pPr>
            <w:r>
              <w:rPr>
                <w:rFonts w:hint="eastAsia" w:hAnsi="宋体" w:cs="宋体"/>
                <w:color w:val="auto"/>
                <w:szCs w:val="21"/>
                <w:highlight w:val="none"/>
              </w:rPr>
              <w:t>序</w:t>
            </w:r>
          </w:p>
        </w:tc>
        <w:tc>
          <w:tcPr>
            <w:tcW w:w="1556" w:type="dxa"/>
          </w:tcPr>
          <w:p w14:paraId="01A13624">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126" w:type="dxa"/>
          </w:tcPr>
          <w:p w14:paraId="052C69A7">
            <w:pPr>
              <w:spacing w:line="440" w:lineRule="exact"/>
              <w:rPr>
                <w:rFonts w:hint="eastAsia" w:hAnsi="宋体" w:cs="宋体"/>
                <w:color w:val="auto"/>
                <w:szCs w:val="21"/>
                <w:highlight w:val="none"/>
              </w:rPr>
            </w:pPr>
            <w:r>
              <w:rPr>
                <w:rFonts w:hint="eastAsia" w:hAnsi="宋体" w:cs="宋体"/>
                <w:color w:val="auto"/>
                <w:szCs w:val="21"/>
                <w:highlight w:val="none"/>
              </w:rPr>
              <w:t>标准</w:t>
            </w:r>
          </w:p>
        </w:tc>
      </w:tr>
      <w:tr w14:paraId="0CE8E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14:paraId="30AD477D">
            <w:pPr>
              <w:spacing w:line="440" w:lineRule="exact"/>
              <w:rPr>
                <w:rFonts w:hint="eastAsia" w:hAnsi="宋体" w:cs="宋体"/>
                <w:color w:val="auto"/>
                <w:szCs w:val="21"/>
                <w:highlight w:val="none"/>
              </w:rPr>
            </w:pPr>
            <w:r>
              <w:rPr>
                <w:rFonts w:hint="eastAsia" w:hAnsi="宋体" w:cs="宋体"/>
                <w:color w:val="auto"/>
                <w:szCs w:val="21"/>
                <w:highlight w:val="none"/>
              </w:rPr>
              <w:t>1</w:t>
            </w:r>
          </w:p>
        </w:tc>
        <w:tc>
          <w:tcPr>
            <w:tcW w:w="1556" w:type="dxa"/>
            <w:vAlign w:val="center"/>
          </w:tcPr>
          <w:p w14:paraId="51B4F32D">
            <w:pPr>
              <w:spacing w:line="440" w:lineRule="exact"/>
              <w:rPr>
                <w:rFonts w:hint="eastAsia" w:hAnsi="宋体" w:cs="宋体"/>
                <w:color w:val="auto"/>
                <w:szCs w:val="21"/>
                <w:highlight w:val="none"/>
              </w:rPr>
            </w:pPr>
            <w:r>
              <w:rPr>
                <w:rFonts w:hint="eastAsia" w:hAnsi="宋体" w:cs="宋体"/>
                <w:color w:val="auto"/>
                <w:szCs w:val="21"/>
                <w:highlight w:val="none"/>
              </w:rPr>
              <w:t>路肩不整</w:t>
            </w:r>
          </w:p>
        </w:tc>
        <w:tc>
          <w:tcPr>
            <w:tcW w:w="7126" w:type="dxa"/>
          </w:tcPr>
          <w:p w14:paraId="27D089DB">
            <w:pPr>
              <w:spacing w:line="440" w:lineRule="exact"/>
              <w:rPr>
                <w:rFonts w:hint="eastAsia" w:hAnsi="宋体" w:cs="宋体"/>
                <w:color w:val="auto"/>
                <w:szCs w:val="21"/>
                <w:highlight w:val="none"/>
              </w:rPr>
            </w:pPr>
            <w:r>
              <w:rPr>
                <w:rFonts w:hint="eastAsia" w:hAnsi="宋体" w:cs="宋体"/>
                <w:color w:val="auto"/>
                <w:szCs w:val="21"/>
                <w:highlight w:val="none"/>
              </w:rPr>
              <w:t>路肩与路面衔接不平顺，低于路面20mm以上（黑色硬化路肩低于10mm）或高于路面，横坡小于路面横坡，不平整、不密实影响横向排水，路肩外缘不顺适，宽度差大于0.2m以上</w:t>
            </w:r>
          </w:p>
        </w:tc>
      </w:tr>
      <w:tr w14:paraId="36C9F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14:paraId="28107499">
            <w:pPr>
              <w:spacing w:line="440" w:lineRule="exact"/>
              <w:rPr>
                <w:rFonts w:hint="eastAsia" w:hAnsi="宋体" w:cs="宋体"/>
                <w:color w:val="auto"/>
                <w:szCs w:val="21"/>
                <w:highlight w:val="none"/>
              </w:rPr>
            </w:pPr>
            <w:r>
              <w:rPr>
                <w:rFonts w:hint="eastAsia" w:hAnsi="宋体" w:cs="宋体"/>
                <w:color w:val="auto"/>
                <w:szCs w:val="21"/>
                <w:highlight w:val="none"/>
              </w:rPr>
              <w:t>2</w:t>
            </w:r>
          </w:p>
        </w:tc>
        <w:tc>
          <w:tcPr>
            <w:tcW w:w="1556" w:type="dxa"/>
            <w:vAlign w:val="center"/>
          </w:tcPr>
          <w:p w14:paraId="6B4B0C09">
            <w:pPr>
              <w:spacing w:line="440" w:lineRule="exact"/>
              <w:rPr>
                <w:rFonts w:hint="eastAsia" w:hAnsi="宋体" w:cs="宋体"/>
                <w:color w:val="auto"/>
                <w:szCs w:val="21"/>
                <w:highlight w:val="none"/>
              </w:rPr>
            </w:pPr>
            <w:r>
              <w:rPr>
                <w:rFonts w:hint="eastAsia" w:hAnsi="宋体" w:cs="宋体"/>
                <w:color w:val="auto"/>
                <w:szCs w:val="21"/>
                <w:highlight w:val="none"/>
              </w:rPr>
              <w:t>边坡破损</w:t>
            </w:r>
          </w:p>
        </w:tc>
        <w:tc>
          <w:tcPr>
            <w:tcW w:w="7126" w:type="dxa"/>
          </w:tcPr>
          <w:p w14:paraId="760AC571">
            <w:pPr>
              <w:spacing w:line="440" w:lineRule="exact"/>
              <w:rPr>
                <w:rFonts w:hint="eastAsia" w:hAnsi="宋体" w:cs="宋体"/>
                <w:color w:val="auto"/>
                <w:szCs w:val="21"/>
                <w:highlight w:val="none"/>
              </w:rPr>
            </w:pPr>
            <w:r>
              <w:rPr>
                <w:rFonts w:hint="eastAsia" w:hAnsi="宋体" w:cs="宋体"/>
                <w:color w:val="auto"/>
                <w:szCs w:val="21"/>
                <w:highlight w:val="none"/>
              </w:rPr>
              <w:t>边坡塌方3立方以上，冲沟缺口宽0.3m，溜坡使边坡坡度陡于设计坡度</w:t>
            </w:r>
          </w:p>
        </w:tc>
      </w:tr>
      <w:tr w14:paraId="0C5BC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14:paraId="35ACFD65">
            <w:pPr>
              <w:spacing w:line="440" w:lineRule="exact"/>
              <w:rPr>
                <w:rFonts w:hint="eastAsia" w:hAnsi="宋体" w:cs="宋体"/>
                <w:color w:val="auto"/>
                <w:szCs w:val="21"/>
                <w:highlight w:val="none"/>
              </w:rPr>
            </w:pPr>
            <w:r>
              <w:rPr>
                <w:rFonts w:hint="eastAsia" w:hAnsi="宋体" w:cs="宋体"/>
                <w:color w:val="auto"/>
                <w:szCs w:val="21"/>
                <w:highlight w:val="none"/>
              </w:rPr>
              <w:t>3</w:t>
            </w:r>
          </w:p>
        </w:tc>
        <w:tc>
          <w:tcPr>
            <w:tcW w:w="1556" w:type="dxa"/>
            <w:vAlign w:val="center"/>
          </w:tcPr>
          <w:p w14:paraId="4AE15044">
            <w:pPr>
              <w:spacing w:line="440" w:lineRule="exact"/>
              <w:rPr>
                <w:rFonts w:hint="eastAsia" w:hAnsi="宋体" w:cs="宋体"/>
                <w:color w:val="auto"/>
                <w:szCs w:val="21"/>
                <w:highlight w:val="none"/>
              </w:rPr>
            </w:pPr>
            <w:r>
              <w:rPr>
                <w:rFonts w:hint="eastAsia" w:hAnsi="宋体" w:cs="宋体"/>
                <w:color w:val="auto"/>
                <w:szCs w:val="21"/>
                <w:highlight w:val="none"/>
              </w:rPr>
              <w:t>构筑物损坏</w:t>
            </w:r>
          </w:p>
        </w:tc>
        <w:tc>
          <w:tcPr>
            <w:tcW w:w="7126" w:type="dxa"/>
          </w:tcPr>
          <w:p w14:paraId="073A7F69">
            <w:pPr>
              <w:spacing w:line="440" w:lineRule="exact"/>
              <w:rPr>
                <w:rFonts w:hint="eastAsia" w:hAnsi="宋体" w:cs="宋体"/>
                <w:color w:val="auto"/>
                <w:szCs w:val="21"/>
                <w:highlight w:val="none"/>
              </w:rPr>
            </w:pPr>
            <w:r>
              <w:rPr>
                <w:rFonts w:hint="eastAsia" w:hAnsi="宋体" w:cs="宋体"/>
                <w:color w:val="auto"/>
                <w:szCs w:val="21"/>
                <w:highlight w:val="none"/>
              </w:rPr>
              <w:t>圬工体断裂、沉陷、倾斜、局部塌陷、松动，较大面积勾缝脱落</w:t>
            </w:r>
          </w:p>
        </w:tc>
      </w:tr>
      <w:tr w14:paraId="2CCE4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6" w:type="dxa"/>
            <w:vAlign w:val="center"/>
          </w:tcPr>
          <w:p w14:paraId="3340F922">
            <w:pPr>
              <w:spacing w:line="440" w:lineRule="exact"/>
              <w:rPr>
                <w:rFonts w:hint="eastAsia" w:hAnsi="宋体" w:cs="宋体"/>
                <w:color w:val="auto"/>
                <w:szCs w:val="21"/>
                <w:highlight w:val="none"/>
              </w:rPr>
            </w:pPr>
            <w:r>
              <w:rPr>
                <w:rFonts w:hint="eastAsia" w:hAnsi="宋体" w:cs="宋体"/>
                <w:color w:val="auto"/>
                <w:szCs w:val="21"/>
                <w:highlight w:val="none"/>
              </w:rPr>
              <w:t>4</w:t>
            </w:r>
          </w:p>
        </w:tc>
        <w:tc>
          <w:tcPr>
            <w:tcW w:w="1556" w:type="dxa"/>
            <w:vAlign w:val="center"/>
          </w:tcPr>
          <w:p w14:paraId="129AD548">
            <w:pPr>
              <w:spacing w:line="440" w:lineRule="exact"/>
              <w:rPr>
                <w:rFonts w:hint="eastAsia" w:hAnsi="宋体" w:cs="宋体"/>
                <w:color w:val="auto"/>
                <w:szCs w:val="21"/>
                <w:highlight w:val="none"/>
              </w:rPr>
            </w:pPr>
            <w:r>
              <w:rPr>
                <w:rFonts w:hint="eastAsia" w:hAnsi="宋体" w:cs="宋体"/>
                <w:color w:val="auto"/>
                <w:szCs w:val="21"/>
                <w:highlight w:val="none"/>
              </w:rPr>
              <w:t>淤塞</w:t>
            </w:r>
          </w:p>
        </w:tc>
        <w:tc>
          <w:tcPr>
            <w:tcW w:w="7126" w:type="dxa"/>
          </w:tcPr>
          <w:p w14:paraId="3075E6CA">
            <w:pPr>
              <w:spacing w:line="440" w:lineRule="exact"/>
              <w:rPr>
                <w:rFonts w:hint="eastAsia" w:hAnsi="宋体" w:cs="宋体"/>
                <w:color w:val="auto"/>
                <w:szCs w:val="21"/>
                <w:highlight w:val="none"/>
              </w:rPr>
            </w:pPr>
            <w:r>
              <w:rPr>
                <w:rFonts w:hint="eastAsia" w:hAnsi="宋体" w:cs="宋体"/>
                <w:color w:val="auto"/>
                <w:szCs w:val="21"/>
                <w:highlight w:val="none"/>
              </w:rPr>
              <w:t>边沟、截水沟、排水沟有淤积影响排水者，以及应有排水沟渠而缺少者</w:t>
            </w:r>
          </w:p>
        </w:tc>
      </w:tr>
    </w:tbl>
    <w:p w14:paraId="6F7A0402">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5、桥梁</w:t>
      </w:r>
    </w:p>
    <w:tbl>
      <w:tblPr>
        <w:tblStyle w:val="25"/>
        <w:tblW w:w="91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
        <w:gridCol w:w="2126"/>
        <w:gridCol w:w="6096"/>
      </w:tblGrid>
      <w:tr w14:paraId="6AF0F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23" w:type="dxa"/>
            <w:vAlign w:val="center"/>
          </w:tcPr>
          <w:p w14:paraId="37FBCB35">
            <w:pPr>
              <w:spacing w:line="440" w:lineRule="exact"/>
              <w:rPr>
                <w:rFonts w:hint="eastAsia" w:hAnsi="宋体" w:cs="宋体"/>
                <w:color w:val="auto"/>
                <w:szCs w:val="21"/>
                <w:highlight w:val="none"/>
              </w:rPr>
            </w:pPr>
            <w:r>
              <w:rPr>
                <w:rFonts w:hint="eastAsia" w:hAnsi="宋体" w:cs="宋体"/>
                <w:color w:val="auto"/>
                <w:szCs w:val="21"/>
                <w:highlight w:val="none"/>
              </w:rPr>
              <w:t>部位</w:t>
            </w:r>
          </w:p>
        </w:tc>
        <w:tc>
          <w:tcPr>
            <w:tcW w:w="2126" w:type="dxa"/>
            <w:vAlign w:val="center"/>
          </w:tcPr>
          <w:p w14:paraId="36AB9A72">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6096" w:type="dxa"/>
            <w:vAlign w:val="center"/>
          </w:tcPr>
          <w:p w14:paraId="26E560DD">
            <w:pPr>
              <w:spacing w:line="440" w:lineRule="exact"/>
              <w:rPr>
                <w:rFonts w:hint="eastAsia" w:hAnsi="宋体" w:cs="宋体"/>
                <w:color w:val="auto"/>
                <w:szCs w:val="21"/>
                <w:highlight w:val="none"/>
              </w:rPr>
            </w:pPr>
            <w:r>
              <w:rPr>
                <w:rFonts w:hint="eastAsia" w:hAnsi="宋体" w:cs="宋体"/>
                <w:color w:val="auto"/>
                <w:szCs w:val="21"/>
                <w:highlight w:val="none"/>
              </w:rPr>
              <w:t>病害</w:t>
            </w:r>
          </w:p>
        </w:tc>
      </w:tr>
      <w:tr w14:paraId="6880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5" w:hRule="atLeast"/>
          <w:jc w:val="center"/>
        </w:trPr>
        <w:tc>
          <w:tcPr>
            <w:tcW w:w="923" w:type="dxa"/>
            <w:vMerge w:val="restart"/>
            <w:vAlign w:val="center"/>
          </w:tcPr>
          <w:p w14:paraId="3A7BEE28">
            <w:pPr>
              <w:spacing w:line="440" w:lineRule="exact"/>
              <w:rPr>
                <w:rFonts w:hint="eastAsia" w:hAnsi="宋体" w:cs="宋体"/>
                <w:color w:val="auto"/>
                <w:szCs w:val="21"/>
                <w:highlight w:val="none"/>
              </w:rPr>
            </w:pPr>
            <w:r>
              <w:rPr>
                <w:rFonts w:hint="eastAsia" w:hAnsi="宋体" w:cs="宋体"/>
                <w:color w:val="auto"/>
                <w:szCs w:val="21"/>
                <w:highlight w:val="none"/>
              </w:rPr>
              <w:t>上部结构</w:t>
            </w:r>
          </w:p>
        </w:tc>
        <w:tc>
          <w:tcPr>
            <w:tcW w:w="2126" w:type="dxa"/>
            <w:vAlign w:val="center"/>
          </w:tcPr>
          <w:p w14:paraId="0E0315DC">
            <w:pPr>
              <w:spacing w:line="440" w:lineRule="exact"/>
              <w:rPr>
                <w:rFonts w:hint="eastAsia" w:hAnsi="宋体" w:cs="宋体"/>
                <w:color w:val="auto"/>
                <w:szCs w:val="21"/>
                <w:highlight w:val="none"/>
              </w:rPr>
            </w:pPr>
            <w:r>
              <w:rPr>
                <w:rFonts w:hint="eastAsia" w:hAnsi="宋体" w:cs="宋体"/>
                <w:color w:val="auto"/>
                <w:szCs w:val="21"/>
                <w:highlight w:val="none"/>
              </w:rPr>
              <w:t>铪梁板</w:t>
            </w:r>
          </w:p>
        </w:tc>
        <w:tc>
          <w:tcPr>
            <w:tcW w:w="6096" w:type="dxa"/>
            <w:vAlign w:val="center"/>
          </w:tcPr>
          <w:p w14:paraId="018ADEF2">
            <w:pPr>
              <w:spacing w:line="440" w:lineRule="exact"/>
              <w:rPr>
                <w:rFonts w:hint="eastAsia" w:hAnsi="宋体" w:cs="宋体"/>
                <w:color w:val="auto"/>
                <w:szCs w:val="21"/>
                <w:highlight w:val="none"/>
              </w:rPr>
            </w:pPr>
            <w:r>
              <w:rPr>
                <w:rFonts w:hint="eastAsia" w:hAnsi="宋体" w:cs="宋体"/>
                <w:color w:val="auto"/>
                <w:szCs w:val="21"/>
                <w:highlight w:val="none"/>
              </w:rPr>
              <w:t>麻面、剥落、锈蚀、开裂、变形</w:t>
            </w:r>
          </w:p>
        </w:tc>
      </w:tr>
      <w:tr w14:paraId="753DC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atLeast"/>
          <w:jc w:val="center"/>
        </w:trPr>
        <w:tc>
          <w:tcPr>
            <w:tcW w:w="923" w:type="dxa"/>
            <w:vMerge w:val="continue"/>
            <w:textDirection w:val="tbRlV"/>
            <w:vAlign w:val="center"/>
          </w:tcPr>
          <w:p w14:paraId="34AAC6D7">
            <w:pPr>
              <w:spacing w:line="440" w:lineRule="exact"/>
              <w:rPr>
                <w:rFonts w:hint="eastAsia" w:hAnsi="宋体" w:cs="宋体"/>
                <w:color w:val="auto"/>
                <w:szCs w:val="21"/>
                <w:highlight w:val="none"/>
              </w:rPr>
            </w:pPr>
          </w:p>
        </w:tc>
        <w:tc>
          <w:tcPr>
            <w:tcW w:w="2126" w:type="dxa"/>
            <w:vAlign w:val="center"/>
          </w:tcPr>
          <w:p w14:paraId="602BE3A0">
            <w:pPr>
              <w:spacing w:line="440" w:lineRule="exact"/>
              <w:rPr>
                <w:rFonts w:hint="eastAsia" w:hAnsi="宋体" w:cs="宋体"/>
                <w:color w:val="auto"/>
                <w:szCs w:val="21"/>
                <w:highlight w:val="none"/>
              </w:rPr>
            </w:pPr>
            <w:r>
              <w:rPr>
                <w:rFonts w:hint="eastAsia" w:hAnsi="宋体" w:cs="宋体"/>
                <w:color w:val="auto"/>
                <w:szCs w:val="21"/>
                <w:highlight w:val="none"/>
              </w:rPr>
              <w:t>钢梁</w:t>
            </w:r>
          </w:p>
        </w:tc>
        <w:tc>
          <w:tcPr>
            <w:tcW w:w="6096" w:type="dxa"/>
            <w:vAlign w:val="center"/>
          </w:tcPr>
          <w:p w14:paraId="7824263C">
            <w:pPr>
              <w:spacing w:line="440" w:lineRule="exact"/>
              <w:rPr>
                <w:rFonts w:hint="eastAsia" w:hAnsi="宋体" w:cs="宋体"/>
                <w:color w:val="auto"/>
                <w:szCs w:val="21"/>
                <w:highlight w:val="none"/>
              </w:rPr>
            </w:pPr>
            <w:r>
              <w:rPr>
                <w:rFonts w:hint="eastAsia" w:hAnsi="宋体" w:cs="宋体"/>
                <w:color w:val="auto"/>
                <w:szCs w:val="21"/>
                <w:highlight w:val="none"/>
              </w:rPr>
              <w:t>锈蚀、松动、开裂、变形</w:t>
            </w:r>
          </w:p>
        </w:tc>
      </w:tr>
      <w:tr w14:paraId="7591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0" w:hRule="atLeast"/>
          <w:jc w:val="center"/>
        </w:trPr>
        <w:tc>
          <w:tcPr>
            <w:tcW w:w="923" w:type="dxa"/>
            <w:vMerge w:val="continue"/>
            <w:textDirection w:val="tbRlV"/>
            <w:vAlign w:val="center"/>
          </w:tcPr>
          <w:p w14:paraId="79317289">
            <w:pPr>
              <w:spacing w:line="440" w:lineRule="exact"/>
              <w:rPr>
                <w:rFonts w:hint="eastAsia" w:hAnsi="宋体" w:cs="宋体"/>
                <w:color w:val="auto"/>
                <w:szCs w:val="21"/>
                <w:highlight w:val="none"/>
              </w:rPr>
            </w:pPr>
          </w:p>
        </w:tc>
        <w:tc>
          <w:tcPr>
            <w:tcW w:w="2126" w:type="dxa"/>
            <w:vAlign w:val="center"/>
          </w:tcPr>
          <w:p w14:paraId="5D8AC528">
            <w:pPr>
              <w:spacing w:line="440" w:lineRule="exact"/>
              <w:rPr>
                <w:rFonts w:hint="eastAsia" w:hAnsi="宋体" w:cs="宋体"/>
                <w:color w:val="auto"/>
                <w:szCs w:val="21"/>
                <w:highlight w:val="none"/>
              </w:rPr>
            </w:pPr>
            <w:r>
              <w:rPr>
                <w:rFonts w:hint="eastAsia" w:hAnsi="宋体" w:cs="宋体"/>
                <w:color w:val="auto"/>
                <w:szCs w:val="21"/>
                <w:highlight w:val="none"/>
              </w:rPr>
              <w:t>砖、石、砼拱</w:t>
            </w:r>
          </w:p>
        </w:tc>
        <w:tc>
          <w:tcPr>
            <w:tcW w:w="6096" w:type="dxa"/>
            <w:vAlign w:val="center"/>
          </w:tcPr>
          <w:p w14:paraId="2929625F">
            <w:pPr>
              <w:spacing w:line="440" w:lineRule="exact"/>
              <w:rPr>
                <w:rFonts w:hint="eastAsia" w:hAnsi="宋体" w:cs="宋体"/>
                <w:color w:val="auto"/>
                <w:szCs w:val="21"/>
                <w:highlight w:val="none"/>
              </w:rPr>
            </w:pPr>
            <w:r>
              <w:rPr>
                <w:rFonts w:hint="eastAsia" w:hAnsi="宋体" w:cs="宋体"/>
                <w:color w:val="auto"/>
                <w:szCs w:val="21"/>
                <w:highlight w:val="none"/>
              </w:rPr>
              <w:t>锈蚀、破损、开裂、变形</w:t>
            </w:r>
          </w:p>
        </w:tc>
      </w:tr>
      <w:tr w14:paraId="61146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23" w:type="dxa"/>
            <w:vMerge w:val="continue"/>
            <w:textDirection w:val="tbRlV"/>
            <w:vAlign w:val="center"/>
          </w:tcPr>
          <w:p w14:paraId="2EFFF1B4">
            <w:pPr>
              <w:spacing w:line="440" w:lineRule="exact"/>
              <w:rPr>
                <w:rFonts w:hint="eastAsia" w:hAnsi="宋体" w:cs="宋体"/>
                <w:color w:val="auto"/>
                <w:szCs w:val="21"/>
                <w:highlight w:val="none"/>
              </w:rPr>
            </w:pPr>
          </w:p>
        </w:tc>
        <w:tc>
          <w:tcPr>
            <w:tcW w:w="2126" w:type="dxa"/>
            <w:vAlign w:val="center"/>
          </w:tcPr>
          <w:p w14:paraId="0EBC9824">
            <w:pPr>
              <w:spacing w:line="440" w:lineRule="exact"/>
              <w:rPr>
                <w:rFonts w:hint="eastAsia" w:hAnsi="宋体" w:cs="宋体"/>
                <w:color w:val="auto"/>
                <w:szCs w:val="21"/>
                <w:highlight w:val="none"/>
              </w:rPr>
            </w:pPr>
            <w:r>
              <w:rPr>
                <w:rFonts w:hint="eastAsia" w:hAnsi="宋体" w:cs="宋体"/>
                <w:color w:val="auto"/>
                <w:szCs w:val="21"/>
                <w:highlight w:val="none"/>
              </w:rPr>
              <w:t>桥面铺装</w:t>
            </w:r>
          </w:p>
        </w:tc>
        <w:tc>
          <w:tcPr>
            <w:tcW w:w="6096" w:type="dxa"/>
            <w:vAlign w:val="center"/>
          </w:tcPr>
          <w:p w14:paraId="75F42AB5">
            <w:pPr>
              <w:spacing w:line="440" w:lineRule="exact"/>
              <w:rPr>
                <w:rFonts w:hint="eastAsia" w:hAnsi="宋体" w:cs="宋体"/>
                <w:color w:val="auto"/>
                <w:szCs w:val="21"/>
                <w:highlight w:val="none"/>
              </w:rPr>
            </w:pPr>
            <w:r>
              <w:rPr>
                <w:rFonts w:hint="eastAsia" w:hAnsi="宋体" w:cs="宋体"/>
                <w:color w:val="auto"/>
                <w:szCs w:val="21"/>
                <w:highlight w:val="none"/>
              </w:rPr>
              <w:t>裂缝、变形、破损、贯通缝、横坡不适</w:t>
            </w:r>
          </w:p>
        </w:tc>
      </w:tr>
      <w:tr w14:paraId="6C71B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5" w:hRule="atLeast"/>
          <w:jc w:val="center"/>
        </w:trPr>
        <w:tc>
          <w:tcPr>
            <w:tcW w:w="923" w:type="dxa"/>
            <w:vMerge w:val="continue"/>
            <w:textDirection w:val="tbRlV"/>
            <w:vAlign w:val="center"/>
          </w:tcPr>
          <w:p w14:paraId="37A71D4B">
            <w:pPr>
              <w:spacing w:line="440" w:lineRule="exact"/>
              <w:rPr>
                <w:rFonts w:hint="eastAsia" w:hAnsi="宋体" w:cs="宋体"/>
                <w:color w:val="auto"/>
                <w:szCs w:val="21"/>
                <w:highlight w:val="none"/>
              </w:rPr>
            </w:pPr>
          </w:p>
        </w:tc>
        <w:tc>
          <w:tcPr>
            <w:tcW w:w="2126" w:type="dxa"/>
            <w:vAlign w:val="center"/>
          </w:tcPr>
          <w:p w14:paraId="78027E65">
            <w:pPr>
              <w:spacing w:line="440" w:lineRule="exact"/>
              <w:rPr>
                <w:rFonts w:hint="eastAsia" w:hAnsi="宋体" w:cs="宋体"/>
                <w:color w:val="auto"/>
                <w:szCs w:val="21"/>
                <w:highlight w:val="none"/>
              </w:rPr>
            </w:pPr>
            <w:r>
              <w:rPr>
                <w:rFonts w:hint="eastAsia" w:hAnsi="宋体" w:cs="宋体"/>
                <w:color w:val="auto"/>
                <w:szCs w:val="21"/>
                <w:highlight w:val="none"/>
              </w:rPr>
              <w:t>搭板</w:t>
            </w:r>
          </w:p>
        </w:tc>
        <w:tc>
          <w:tcPr>
            <w:tcW w:w="6096" w:type="dxa"/>
            <w:vAlign w:val="center"/>
          </w:tcPr>
          <w:p w14:paraId="50DE9FEA">
            <w:pPr>
              <w:spacing w:line="440" w:lineRule="exact"/>
              <w:rPr>
                <w:rFonts w:hint="eastAsia" w:hAnsi="宋体" w:cs="宋体"/>
                <w:color w:val="auto"/>
                <w:szCs w:val="21"/>
                <w:highlight w:val="none"/>
              </w:rPr>
            </w:pPr>
            <w:r>
              <w:rPr>
                <w:rFonts w:hint="eastAsia" w:hAnsi="宋体" w:cs="宋体"/>
                <w:color w:val="auto"/>
                <w:szCs w:val="21"/>
                <w:highlight w:val="none"/>
              </w:rPr>
              <w:t>不平顺、破损</w:t>
            </w:r>
          </w:p>
        </w:tc>
      </w:tr>
      <w:tr w14:paraId="1C2AF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23" w:type="dxa"/>
            <w:vMerge w:val="continue"/>
            <w:textDirection w:val="tbRlV"/>
            <w:vAlign w:val="center"/>
          </w:tcPr>
          <w:p w14:paraId="137D9EE8">
            <w:pPr>
              <w:spacing w:line="440" w:lineRule="exact"/>
              <w:rPr>
                <w:rFonts w:hint="eastAsia" w:hAnsi="宋体" w:cs="宋体"/>
                <w:color w:val="auto"/>
                <w:szCs w:val="21"/>
                <w:highlight w:val="none"/>
              </w:rPr>
            </w:pPr>
          </w:p>
        </w:tc>
        <w:tc>
          <w:tcPr>
            <w:tcW w:w="2126" w:type="dxa"/>
            <w:vAlign w:val="center"/>
          </w:tcPr>
          <w:p w14:paraId="3B9913C2">
            <w:pPr>
              <w:spacing w:line="440" w:lineRule="exact"/>
              <w:rPr>
                <w:rFonts w:hint="eastAsia" w:hAnsi="宋体" w:cs="宋体"/>
                <w:color w:val="auto"/>
                <w:szCs w:val="21"/>
                <w:highlight w:val="none"/>
              </w:rPr>
            </w:pPr>
            <w:r>
              <w:rPr>
                <w:rFonts w:hint="eastAsia" w:hAnsi="宋体" w:cs="宋体"/>
                <w:color w:val="auto"/>
                <w:szCs w:val="21"/>
                <w:highlight w:val="none"/>
              </w:rPr>
              <w:t>伸缩缝</w:t>
            </w:r>
          </w:p>
        </w:tc>
        <w:tc>
          <w:tcPr>
            <w:tcW w:w="6096" w:type="dxa"/>
            <w:vAlign w:val="center"/>
          </w:tcPr>
          <w:p w14:paraId="0693BD74">
            <w:pPr>
              <w:spacing w:line="440" w:lineRule="exact"/>
              <w:rPr>
                <w:rFonts w:hint="eastAsia" w:hAnsi="宋体" w:cs="宋体"/>
                <w:color w:val="auto"/>
                <w:szCs w:val="21"/>
                <w:highlight w:val="none"/>
              </w:rPr>
            </w:pPr>
            <w:r>
              <w:rPr>
                <w:rFonts w:hint="eastAsia" w:hAnsi="宋体" w:cs="宋体"/>
                <w:color w:val="auto"/>
                <w:szCs w:val="21"/>
                <w:highlight w:val="none"/>
              </w:rPr>
              <w:t>松动、破损、漏水、高差、翘起、缝宽不适</w:t>
            </w:r>
          </w:p>
        </w:tc>
      </w:tr>
      <w:tr w14:paraId="48276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23" w:type="dxa"/>
            <w:vMerge w:val="continue"/>
            <w:textDirection w:val="tbRlV"/>
            <w:vAlign w:val="center"/>
          </w:tcPr>
          <w:p w14:paraId="6F6F5E9E">
            <w:pPr>
              <w:spacing w:line="440" w:lineRule="exact"/>
              <w:rPr>
                <w:rFonts w:hint="eastAsia" w:hAnsi="宋体" w:cs="宋体"/>
                <w:color w:val="auto"/>
                <w:szCs w:val="21"/>
                <w:highlight w:val="none"/>
              </w:rPr>
            </w:pPr>
          </w:p>
        </w:tc>
        <w:tc>
          <w:tcPr>
            <w:tcW w:w="2126" w:type="dxa"/>
            <w:vAlign w:val="center"/>
          </w:tcPr>
          <w:p w14:paraId="029C3626">
            <w:pPr>
              <w:spacing w:line="440" w:lineRule="exact"/>
              <w:rPr>
                <w:rFonts w:hint="eastAsia" w:hAnsi="宋体" w:cs="宋体"/>
                <w:color w:val="auto"/>
                <w:szCs w:val="21"/>
                <w:highlight w:val="none"/>
              </w:rPr>
            </w:pPr>
            <w:r>
              <w:rPr>
                <w:rFonts w:hint="eastAsia" w:hAnsi="宋体" w:cs="宋体"/>
                <w:color w:val="auto"/>
                <w:szCs w:val="21"/>
                <w:highlight w:val="none"/>
              </w:rPr>
              <w:t>支座</w:t>
            </w:r>
          </w:p>
        </w:tc>
        <w:tc>
          <w:tcPr>
            <w:tcW w:w="6096" w:type="dxa"/>
            <w:vAlign w:val="center"/>
          </w:tcPr>
          <w:p w14:paraId="1CEF0CCC">
            <w:pPr>
              <w:spacing w:line="440" w:lineRule="exact"/>
              <w:rPr>
                <w:rFonts w:hint="eastAsia" w:hAnsi="宋体" w:cs="宋体"/>
                <w:color w:val="auto"/>
                <w:szCs w:val="21"/>
                <w:highlight w:val="none"/>
              </w:rPr>
            </w:pPr>
            <w:r>
              <w:rPr>
                <w:rFonts w:hint="eastAsia" w:hAnsi="宋体" w:cs="宋体"/>
                <w:color w:val="auto"/>
                <w:szCs w:val="21"/>
                <w:highlight w:val="none"/>
              </w:rPr>
              <w:t>老化失效、破损、锈蚀、积水、污秽</w:t>
            </w:r>
          </w:p>
        </w:tc>
      </w:tr>
      <w:tr w14:paraId="42A951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923" w:type="dxa"/>
            <w:vMerge w:val="restart"/>
            <w:vAlign w:val="center"/>
          </w:tcPr>
          <w:p w14:paraId="756E5A0F">
            <w:pPr>
              <w:spacing w:line="440" w:lineRule="exact"/>
              <w:rPr>
                <w:rFonts w:hint="eastAsia" w:hAnsi="宋体" w:cs="宋体"/>
                <w:color w:val="auto"/>
                <w:szCs w:val="21"/>
                <w:highlight w:val="none"/>
              </w:rPr>
            </w:pPr>
            <w:r>
              <w:rPr>
                <w:rFonts w:hint="eastAsia" w:hAnsi="宋体" w:cs="宋体"/>
                <w:color w:val="auto"/>
                <w:szCs w:val="21"/>
                <w:highlight w:val="none"/>
              </w:rPr>
              <w:t>下部结构</w:t>
            </w:r>
          </w:p>
        </w:tc>
        <w:tc>
          <w:tcPr>
            <w:tcW w:w="2126" w:type="dxa"/>
            <w:vAlign w:val="center"/>
          </w:tcPr>
          <w:p w14:paraId="0FA8AFAD">
            <w:pPr>
              <w:spacing w:line="440" w:lineRule="exact"/>
              <w:rPr>
                <w:rFonts w:hint="eastAsia" w:hAnsi="宋体" w:cs="宋体"/>
                <w:color w:val="auto"/>
                <w:szCs w:val="21"/>
                <w:highlight w:val="none"/>
              </w:rPr>
            </w:pPr>
            <w:r>
              <w:rPr>
                <w:rFonts w:hint="eastAsia" w:hAnsi="宋体" w:cs="宋体"/>
                <w:color w:val="auto"/>
                <w:szCs w:val="21"/>
                <w:highlight w:val="none"/>
              </w:rPr>
              <w:t>墩、台、墙、柱</w:t>
            </w:r>
          </w:p>
        </w:tc>
        <w:tc>
          <w:tcPr>
            <w:tcW w:w="6096" w:type="dxa"/>
            <w:vAlign w:val="center"/>
          </w:tcPr>
          <w:p w14:paraId="00003BFA">
            <w:pPr>
              <w:spacing w:line="440" w:lineRule="exact"/>
              <w:rPr>
                <w:rFonts w:hint="eastAsia" w:hAnsi="宋体" w:cs="宋体"/>
                <w:color w:val="auto"/>
                <w:szCs w:val="21"/>
                <w:highlight w:val="none"/>
              </w:rPr>
            </w:pPr>
            <w:r>
              <w:rPr>
                <w:rFonts w:hint="eastAsia" w:hAnsi="宋体" w:cs="宋体"/>
                <w:color w:val="auto"/>
                <w:szCs w:val="21"/>
                <w:highlight w:val="none"/>
              </w:rPr>
              <w:t>剥落、锈蚀、破损、开裂、变形、渗水、杂草</w:t>
            </w:r>
          </w:p>
        </w:tc>
      </w:tr>
      <w:tr w14:paraId="49DA6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923" w:type="dxa"/>
            <w:vMerge w:val="continue"/>
            <w:vAlign w:val="center"/>
          </w:tcPr>
          <w:p w14:paraId="60A2A634">
            <w:pPr>
              <w:spacing w:line="440" w:lineRule="exact"/>
              <w:rPr>
                <w:rFonts w:hint="eastAsia" w:hAnsi="宋体" w:cs="宋体"/>
                <w:color w:val="auto"/>
                <w:szCs w:val="21"/>
                <w:highlight w:val="none"/>
              </w:rPr>
            </w:pPr>
          </w:p>
        </w:tc>
        <w:tc>
          <w:tcPr>
            <w:tcW w:w="2126" w:type="dxa"/>
            <w:vAlign w:val="center"/>
          </w:tcPr>
          <w:p w14:paraId="708ECFB4">
            <w:pPr>
              <w:spacing w:line="440" w:lineRule="exact"/>
              <w:rPr>
                <w:rFonts w:hint="eastAsia" w:hAnsi="宋体" w:cs="宋体"/>
                <w:color w:val="auto"/>
                <w:szCs w:val="21"/>
                <w:highlight w:val="none"/>
              </w:rPr>
            </w:pPr>
            <w:r>
              <w:rPr>
                <w:rFonts w:hint="eastAsia" w:hAnsi="宋体" w:cs="宋体"/>
                <w:color w:val="auto"/>
                <w:szCs w:val="21"/>
                <w:highlight w:val="none"/>
              </w:rPr>
              <w:t>基础</w:t>
            </w:r>
          </w:p>
        </w:tc>
        <w:tc>
          <w:tcPr>
            <w:tcW w:w="6096" w:type="dxa"/>
            <w:vAlign w:val="center"/>
          </w:tcPr>
          <w:p w14:paraId="39F757E6">
            <w:pPr>
              <w:spacing w:line="440" w:lineRule="exact"/>
              <w:rPr>
                <w:rFonts w:hint="eastAsia" w:hAnsi="宋体" w:cs="宋体"/>
                <w:color w:val="auto"/>
                <w:szCs w:val="21"/>
                <w:highlight w:val="none"/>
              </w:rPr>
            </w:pPr>
            <w:r>
              <w:rPr>
                <w:rFonts w:hint="eastAsia" w:hAnsi="宋体" w:cs="宋体"/>
                <w:color w:val="auto"/>
                <w:szCs w:val="21"/>
                <w:highlight w:val="none"/>
              </w:rPr>
              <w:t>冲毁、冻胀、下沉、位移、开裂、掏空</w:t>
            </w:r>
          </w:p>
        </w:tc>
      </w:tr>
      <w:tr w14:paraId="4CD45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0" w:hRule="atLeast"/>
          <w:jc w:val="center"/>
        </w:trPr>
        <w:tc>
          <w:tcPr>
            <w:tcW w:w="923" w:type="dxa"/>
            <w:vMerge w:val="restart"/>
            <w:vAlign w:val="center"/>
          </w:tcPr>
          <w:p w14:paraId="044E9EA9">
            <w:pPr>
              <w:spacing w:line="440" w:lineRule="exact"/>
              <w:rPr>
                <w:rFonts w:hint="eastAsia" w:hAnsi="宋体" w:cs="宋体"/>
                <w:color w:val="auto"/>
                <w:szCs w:val="21"/>
                <w:highlight w:val="none"/>
              </w:rPr>
            </w:pPr>
            <w:r>
              <w:rPr>
                <w:rFonts w:hint="eastAsia" w:hAnsi="宋体" w:cs="宋体"/>
                <w:color w:val="auto"/>
                <w:szCs w:val="21"/>
                <w:highlight w:val="none"/>
              </w:rPr>
              <w:t>附属构件</w:t>
            </w:r>
          </w:p>
        </w:tc>
        <w:tc>
          <w:tcPr>
            <w:tcW w:w="2126" w:type="dxa"/>
            <w:vAlign w:val="center"/>
          </w:tcPr>
          <w:p w14:paraId="1DC580D4">
            <w:pPr>
              <w:spacing w:line="440" w:lineRule="exact"/>
              <w:rPr>
                <w:rFonts w:hint="eastAsia" w:hAnsi="宋体" w:cs="宋体"/>
                <w:color w:val="auto"/>
                <w:szCs w:val="21"/>
                <w:highlight w:val="none"/>
              </w:rPr>
            </w:pPr>
            <w:r>
              <w:rPr>
                <w:rFonts w:hint="eastAsia" w:hAnsi="宋体" w:cs="宋体"/>
                <w:color w:val="auto"/>
                <w:szCs w:val="21"/>
                <w:highlight w:val="none"/>
              </w:rPr>
              <w:t>栏杆</w:t>
            </w:r>
          </w:p>
        </w:tc>
        <w:tc>
          <w:tcPr>
            <w:tcW w:w="6096" w:type="dxa"/>
            <w:vAlign w:val="center"/>
          </w:tcPr>
          <w:p w14:paraId="164AF5AE">
            <w:pPr>
              <w:spacing w:line="440" w:lineRule="exact"/>
              <w:rPr>
                <w:rFonts w:hint="eastAsia" w:hAnsi="宋体" w:cs="宋体"/>
                <w:color w:val="auto"/>
                <w:szCs w:val="21"/>
                <w:highlight w:val="none"/>
              </w:rPr>
            </w:pPr>
            <w:r>
              <w:rPr>
                <w:rFonts w:hint="eastAsia" w:hAnsi="宋体" w:cs="宋体"/>
                <w:color w:val="auto"/>
                <w:szCs w:val="21"/>
                <w:highlight w:val="none"/>
              </w:rPr>
              <w:t>剥落、锈蚀、破损、开裂、松动、变形、缺失</w:t>
            </w:r>
          </w:p>
        </w:tc>
      </w:tr>
      <w:tr w14:paraId="5CD79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0" w:hRule="atLeast"/>
          <w:jc w:val="center"/>
        </w:trPr>
        <w:tc>
          <w:tcPr>
            <w:tcW w:w="923" w:type="dxa"/>
            <w:vMerge w:val="continue"/>
            <w:vAlign w:val="center"/>
          </w:tcPr>
          <w:p w14:paraId="46715D7A">
            <w:pPr>
              <w:spacing w:line="440" w:lineRule="exact"/>
              <w:rPr>
                <w:rFonts w:hint="eastAsia" w:hAnsi="宋体" w:cs="宋体"/>
                <w:color w:val="auto"/>
                <w:szCs w:val="21"/>
                <w:highlight w:val="none"/>
              </w:rPr>
            </w:pPr>
          </w:p>
        </w:tc>
        <w:tc>
          <w:tcPr>
            <w:tcW w:w="2126" w:type="dxa"/>
            <w:vAlign w:val="center"/>
          </w:tcPr>
          <w:p w14:paraId="54B3DF61">
            <w:pPr>
              <w:spacing w:line="440" w:lineRule="exact"/>
              <w:rPr>
                <w:rFonts w:hint="eastAsia" w:hAnsi="宋体" w:cs="宋体"/>
                <w:color w:val="auto"/>
                <w:szCs w:val="21"/>
                <w:highlight w:val="none"/>
              </w:rPr>
            </w:pPr>
            <w:r>
              <w:rPr>
                <w:rFonts w:hint="eastAsia" w:hAnsi="宋体" w:cs="宋体"/>
                <w:color w:val="auto"/>
                <w:szCs w:val="21"/>
                <w:highlight w:val="none"/>
              </w:rPr>
              <w:t>排水系统</w:t>
            </w:r>
          </w:p>
        </w:tc>
        <w:tc>
          <w:tcPr>
            <w:tcW w:w="6096" w:type="dxa"/>
            <w:vAlign w:val="center"/>
          </w:tcPr>
          <w:p w14:paraId="7ED0297F">
            <w:pPr>
              <w:spacing w:line="440" w:lineRule="exact"/>
              <w:rPr>
                <w:rFonts w:hint="eastAsia" w:hAnsi="宋体" w:cs="宋体"/>
                <w:color w:val="auto"/>
                <w:szCs w:val="21"/>
                <w:highlight w:val="none"/>
              </w:rPr>
            </w:pPr>
            <w:r>
              <w:rPr>
                <w:rFonts w:hint="eastAsia" w:hAnsi="宋体" w:cs="宋体"/>
                <w:color w:val="auto"/>
                <w:szCs w:val="21"/>
                <w:highlight w:val="none"/>
              </w:rPr>
              <w:t>破损、堵塞、缺失、积水</w:t>
            </w:r>
          </w:p>
        </w:tc>
      </w:tr>
      <w:tr w14:paraId="38803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923" w:type="dxa"/>
            <w:vMerge w:val="continue"/>
            <w:vAlign w:val="center"/>
          </w:tcPr>
          <w:p w14:paraId="3301F731">
            <w:pPr>
              <w:spacing w:line="440" w:lineRule="exact"/>
              <w:rPr>
                <w:rFonts w:hint="eastAsia" w:hAnsi="宋体" w:cs="宋体"/>
                <w:color w:val="auto"/>
                <w:szCs w:val="21"/>
                <w:highlight w:val="none"/>
              </w:rPr>
            </w:pPr>
          </w:p>
        </w:tc>
        <w:tc>
          <w:tcPr>
            <w:tcW w:w="2126" w:type="dxa"/>
            <w:vAlign w:val="center"/>
          </w:tcPr>
          <w:p w14:paraId="5980A6A9">
            <w:pPr>
              <w:spacing w:line="440" w:lineRule="exact"/>
              <w:rPr>
                <w:rFonts w:hint="eastAsia" w:hAnsi="宋体" w:cs="宋体"/>
                <w:color w:val="auto"/>
                <w:szCs w:val="21"/>
                <w:highlight w:val="none"/>
              </w:rPr>
            </w:pPr>
            <w:r>
              <w:rPr>
                <w:rFonts w:hint="eastAsia" w:hAnsi="宋体" w:cs="宋体"/>
                <w:color w:val="auto"/>
                <w:szCs w:val="21"/>
                <w:highlight w:val="none"/>
              </w:rPr>
              <w:t>挡墙、翼墙、护墙</w:t>
            </w:r>
          </w:p>
        </w:tc>
        <w:tc>
          <w:tcPr>
            <w:tcW w:w="6096" w:type="dxa"/>
            <w:vAlign w:val="center"/>
          </w:tcPr>
          <w:p w14:paraId="742DC9F8">
            <w:pPr>
              <w:spacing w:line="440" w:lineRule="exact"/>
              <w:rPr>
                <w:rFonts w:hint="eastAsia" w:hAnsi="宋体" w:cs="宋体"/>
                <w:color w:val="auto"/>
                <w:szCs w:val="21"/>
                <w:highlight w:val="none"/>
              </w:rPr>
            </w:pPr>
            <w:r>
              <w:rPr>
                <w:rFonts w:hint="eastAsia" w:hAnsi="宋体" w:cs="宋体"/>
                <w:color w:val="auto"/>
                <w:szCs w:val="21"/>
                <w:highlight w:val="none"/>
              </w:rPr>
              <w:t>污秽、沉陷、破损、开裂、变形、杂草</w:t>
            </w:r>
          </w:p>
        </w:tc>
      </w:tr>
    </w:tbl>
    <w:p w14:paraId="27B2238E">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6、其它附属设施</w:t>
      </w:r>
    </w:p>
    <w:tbl>
      <w:tblPr>
        <w:tblStyle w:val="25"/>
        <w:tblW w:w="90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3"/>
        <w:gridCol w:w="2310"/>
        <w:gridCol w:w="6096"/>
      </w:tblGrid>
      <w:tr w14:paraId="3002FA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5F6FAD6E">
            <w:pPr>
              <w:spacing w:line="440" w:lineRule="exact"/>
              <w:rPr>
                <w:rFonts w:hint="eastAsia" w:hAnsi="宋体" w:cs="宋体"/>
                <w:color w:val="auto"/>
                <w:szCs w:val="21"/>
                <w:highlight w:val="none"/>
              </w:rPr>
            </w:pPr>
            <w:r>
              <w:rPr>
                <w:rFonts w:hint="eastAsia" w:hAnsi="宋体" w:cs="宋体"/>
                <w:color w:val="auto"/>
                <w:szCs w:val="21"/>
                <w:highlight w:val="none"/>
              </w:rPr>
              <w:t>序</w:t>
            </w:r>
          </w:p>
        </w:tc>
        <w:tc>
          <w:tcPr>
            <w:tcW w:w="2310" w:type="dxa"/>
          </w:tcPr>
          <w:p w14:paraId="430E919E">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6096" w:type="dxa"/>
          </w:tcPr>
          <w:p w14:paraId="457D25B4">
            <w:pPr>
              <w:spacing w:line="440" w:lineRule="exact"/>
              <w:rPr>
                <w:rFonts w:hint="eastAsia" w:hAnsi="宋体" w:cs="宋体"/>
                <w:color w:val="auto"/>
                <w:szCs w:val="21"/>
                <w:highlight w:val="none"/>
              </w:rPr>
            </w:pPr>
            <w:r>
              <w:rPr>
                <w:rFonts w:hint="eastAsia" w:hAnsi="宋体" w:cs="宋体"/>
                <w:color w:val="auto"/>
                <w:szCs w:val="21"/>
                <w:highlight w:val="none"/>
              </w:rPr>
              <w:t>标准</w:t>
            </w:r>
          </w:p>
        </w:tc>
      </w:tr>
      <w:tr w14:paraId="285A8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359DE92C">
            <w:pPr>
              <w:spacing w:line="440" w:lineRule="exact"/>
              <w:rPr>
                <w:rFonts w:hint="eastAsia" w:hAnsi="宋体" w:cs="宋体"/>
                <w:color w:val="auto"/>
                <w:szCs w:val="21"/>
                <w:highlight w:val="none"/>
              </w:rPr>
            </w:pPr>
            <w:r>
              <w:rPr>
                <w:rFonts w:hint="eastAsia" w:hAnsi="宋体" w:cs="宋体"/>
                <w:color w:val="auto"/>
                <w:szCs w:val="21"/>
                <w:highlight w:val="none"/>
              </w:rPr>
              <w:t>1</w:t>
            </w:r>
          </w:p>
        </w:tc>
        <w:tc>
          <w:tcPr>
            <w:tcW w:w="2310" w:type="dxa"/>
          </w:tcPr>
          <w:p w14:paraId="5C35420E">
            <w:pPr>
              <w:spacing w:line="440" w:lineRule="exact"/>
              <w:rPr>
                <w:rFonts w:hint="eastAsia" w:hAnsi="宋体" w:cs="宋体"/>
                <w:color w:val="auto"/>
                <w:szCs w:val="21"/>
                <w:highlight w:val="none"/>
              </w:rPr>
            </w:pPr>
            <w:r>
              <w:rPr>
                <w:rFonts w:hint="eastAsia" w:hAnsi="宋体" w:cs="宋体"/>
                <w:color w:val="auto"/>
                <w:szCs w:val="21"/>
                <w:highlight w:val="none"/>
              </w:rPr>
              <w:t>变形、缺损</w:t>
            </w:r>
          </w:p>
        </w:tc>
        <w:tc>
          <w:tcPr>
            <w:tcW w:w="6096" w:type="dxa"/>
          </w:tcPr>
          <w:p w14:paraId="69506268">
            <w:pPr>
              <w:spacing w:line="440" w:lineRule="exact"/>
              <w:rPr>
                <w:rFonts w:hint="eastAsia" w:hAnsi="宋体" w:cs="宋体"/>
                <w:color w:val="auto"/>
                <w:szCs w:val="21"/>
                <w:highlight w:val="none"/>
              </w:rPr>
            </w:pPr>
            <w:r>
              <w:rPr>
                <w:rFonts w:hint="eastAsia" w:hAnsi="宋体" w:cs="宋体"/>
                <w:color w:val="auto"/>
                <w:szCs w:val="21"/>
                <w:highlight w:val="none"/>
              </w:rPr>
              <w:t>锈蚀、松动、位置不当、式样尺寸颜色不规范</w:t>
            </w:r>
          </w:p>
        </w:tc>
      </w:tr>
      <w:tr w14:paraId="340B8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69DD1D5F">
            <w:pPr>
              <w:spacing w:line="440" w:lineRule="exact"/>
              <w:rPr>
                <w:rFonts w:hint="eastAsia" w:hAnsi="宋体" w:cs="宋体"/>
                <w:color w:val="auto"/>
                <w:szCs w:val="21"/>
                <w:highlight w:val="none"/>
              </w:rPr>
            </w:pPr>
            <w:r>
              <w:rPr>
                <w:rFonts w:hint="eastAsia" w:hAnsi="宋体" w:cs="宋体"/>
                <w:color w:val="auto"/>
                <w:szCs w:val="21"/>
                <w:highlight w:val="none"/>
              </w:rPr>
              <w:t>2</w:t>
            </w:r>
          </w:p>
        </w:tc>
        <w:tc>
          <w:tcPr>
            <w:tcW w:w="2310" w:type="dxa"/>
          </w:tcPr>
          <w:p w14:paraId="41A99050">
            <w:pPr>
              <w:spacing w:line="440" w:lineRule="exact"/>
              <w:rPr>
                <w:rFonts w:hint="eastAsia" w:hAnsi="宋体" w:cs="宋体"/>
                <w:color w:val="auto"/>
                <w:szCs w:val="21"/>
                <w:highlight w:val="none"/>
              </w:rPr>
            </w:pPr>
            <w:r>
              <w:rPr>
                <w:rFonts w:hint="eastAsia" w:hAnsi="宋体" w:cs="宋体"/>
                <w:color w:val="auto"/>
                <w:szCs w:val="21"/>
                <w:highlight w:val="none"/>
              </w:rPr>
              <w:t>损坏</w:t>
            </w:r>
          </w:p>
        </w:tc>
        <w:tc>
          <w:tcPr>
            <w:tcW w:w="6096" w:type="dxa"/>
          </w:tcPr>
          <w:p w14:paraId="567BC48F">
            <w:pPr>
              <w:spacing w:line="440" w:lineRule="exact"/>
              <w:rPr>
                <w:rFonts w:hint="eastAsia" w:hAnsi="宋体" w:cs="宋体"/>
                <w:color w:val="auto"/>
                <w:szCs w:val="21"/>
                <w:highlight w:val="none"/>
              </w:rPr>
            </w:pPr>
            <w:r>
              <w:rPr>
                <w:rFonts w:hint="eastAsia" w:hAnsi="宋体" w:cs="宋体"/>
                <w:color w:val="auto"/>
                <w:szCs w:val="21"/>
                <w:highlight w:val="none"/>
              </w:rPr>
              <w:t>断裂、沉陷、倾斜、构件脱落等局部损毁</w:t>
            </w:r>
          </w:p>
        </w:tc>
      </w:tr>
      <w:tr w14:paraId="349CC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2CE4F953">
            <w:pPr>
              <w:spacing w:line="440" w:lineRule="exact"/>
              <w:rPr>
                <w:rFonts w:hint="eastAsia" w:hAnsi="宋体" w:cs="宋体"/>
                <w:color w:val="auto"/>
                <w:szCs w:val="21"/>
                <w:highlight w:val="none"/>
              </w:rPr>
            </w:pPr>
            <w:r>
              <w:rPr>
                <w:rFonts w:hint="eastAsia" w:hAnsi="宋体" w:cs="宋体"/>
                <w:color w:val="auto"/>
                <w:szCs w:val="21"/>
                <w:highlight w:val="none"/>
              </w:rPr>
              <w:t>3</w:t>
            </w:r>
          </w:p>
        </w:tc>
        <w:tc>
          <w:tcPr>
            <w:tcW w:w="2310" w:type="dxa"/>
          </w:tcPr>
          <w:p w14:paraId="39CEC2D9">
            <w:pPr>
              <w:spacing w:line="440" w:lineRule="exact"/>
              <w:rPr>
                <w:rFonts w:hint="eastAsia" w:hAnsi="宋体" w:cs="宋体"/>
                <w:color w:val="auto"/>
                <w:szCs w:val="21"/>
                <w:highlight w:val="none"/>
              </w:rPr>
            </w:pPr>
            <w:r>
              <w:rPr>
                <w:rFonts w:hint="eastAsia" w:hAnsi="宋体" w:cs="宋体"/>
                <w:color w:val="auto"/>
                <w:szCs w:val="21"/>
                <w:highlight w:val="none"/>
              </w:rPr>
              <w:t>功能失效</w:t>
            </w:r>
          </w:p>
        </w:tc>
        <w:tc>
          <w:tcPr>
            <w:tcW w:w="6096" w:type="dxa"/>
          </w:tcPr>
          <w:p w14:paraId="5D08A7FA">
            <w:pPr>
              <w:spacing w:line="440" w:lineRule="exact"/>
              <w:rPr>
                <w:rFonts w:hint="eastAsia" w:hAnsi="宋体" w:cs="宋体"/>
                <w:color w:val="auto"/>
                <w:szCs w:val="21"/>
                <w:highlight w:val="none"/>
              </w:rPr>
            </w:pPr>
            <w:r>
              <w:rPr>
                <w:rFonts w:hint="eastAsia" w:hAnsi="宋体" w:cs="宋体"/>
                <w:color w:val="auto"/>
                <w:szCs w:val="21"/>
                <w:highlight w:val="none"/>
              </w:rPr>
              <w:t>因各种原因无法正常使用</w:t>
            </w:r>
          </w:p>
        </w:tc>
      </w:tr>
      <w:tr w14:paraId="0E7E1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 w:type="dxa"/>
          </w:tcPr>
          <w:p w14:paraId="63909AC3">
            <w:pPr>
              <w:spacing w:line="440" w:lineRule="exact"/>
              <w:rPr>
                <w:rFonts w:hint="eastAsia" w:hAnsi="宋体" w:cs="宋体"/>
                <w:color w:val="auto"/>
                <w:szCs w:val="21"/>
                <w:highlight w:val="none"/>
              </w:rPr>
            </w:pPr>
            <w:r>
              <w:rPr>
                <w:rFonts w:hint="eastAsia" w:hAnsi="宋体" w:cs="宋体"/>
                <w:color w:val="auto"/>
                <w:szCs w:val="21"/>
                <w:highlight w:val="none"/>
              </w:rPr>
              <w:t>4</w:t>
            </w:r>
          </w:p>
        </w:tc>
        <w:tc>
          <w:tcPr>
            <w:tcW w:w="2310" w:type="dxa"/>
          </w:tcPr>
          <w:p w14:paraId="512562F2">
            <w:pPr>
              <w:spacing w:line="440" w:lineRule="exact"/>
              <w:rPr>
                <w:rFonts w:hint="eastAsia" w:hAnsi="宋体" w:cs="宋体"/>
                <w:color w:val="auto"/>
                <w:szCs w:val="21"/>
                <w:highlight w:val="none"/>
              </w:rPr>
            </w:pPr>
            <w:r>
              <w:rPr>
                <w:rFonts w:hint="eastAsia" w:hAnsi="宋体" w:cs="宋体"/>
                <w:color w:val="auto"/>
                <w:szCs w:val="21"/>
                <w:highlight w:val="none"/>
              </w:rPr>
              <w:t>缺失</w:t>
            </w:r>
          </w:p>
        </w:tc>
        <w:tc>
          <w:tcPr>
            <w:tcW w:w="6096" w:type="dxa"/>
          </w:tcPr>
          <w:p w14:paraId="79395831">
            <w:pPr>
              <w:spacing w:line="440" w:lineRule="exact"/>
              <w:rPr>
                <w:rFonts w:hint="eastAsia" w:hAnsi="宋体" w:cs="宋体"/>
                <w:color w:val="auto"/>
                <w:szCs w:val="21"/>
                <w:highlight w:val="none"/>
              </w:rPr>
            </w:pPr>
            <w:r>
              <w:rPr>
                <w:rFonts w:hint="eastAsia" w:hAnsi="宋体" w:cs="宋体"/>
                <w:color w:val="auto"/>
                <w:szCs w:val="21"/>
                <w:highlight w:val="none"/>
              </w:rPr>
              <w:t>设施整体缺失空位</w:t>
            </w:r>
          </w:p>
        </w:tc>
      </w:tr>
    </w:tbl>
    <w:p w14:paraId="4ACA1092">
      <w:pPr>
        <w:spacing w:line="440" w:lineRule="exact"/>
        <w:rPr>
          <w:rFonts w:hint="eastAsia" w:hAnsi="宋体" w:cs="宋体"/>
          <w:b/>
          <w:bCs/>
          <w:color w:val="auto"/>
          <w:szCs w:val="21"/>
          <w:highlight w:val="none"/>
        </w:rPr>
      </w:pPr>
      <w:r>
        <w:rPr>
          <w:rFonts w:hint="eastAsia" w:hAnsi="宋体" w:cs="宋体"/>
          <w:b/>
          <w:bCs/>
          <w:color w:val="auto"/>
          <w:szCs w:val="21"/>
          <w:highlight w:val="none"/>
        </w:rPr>
        <w:t>四、维修质量要求</w:t>
      </w:r>
    </w:p>
    <w:p w14:paraId="6ADF842A">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1、养护维修责任单位应对市政设施进行巡视检查。</w:t>
      </w:r>
    </w:p>
    <w:p w14:paraId="4537756E">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2、应按要求对道路病害进行维修，符合下表的要求：</w:t>
      </w:r>
    </w:p>
    <w:p w14:paraId="260E88FA">
      <w:pPr>
        <w:spacing w:line="440" w:lineRule="exact"/>
        <w:rPr>
          <w:rFonts w:hint="eastAsia" w:hAnsi="宋体" w:cs="宋体"/>
          <w:color w:val="auto"/>
          <w:szCs w:val="21"/>
          <w:highlight w:val="none"/>
        </w:rPr>
      </w:pPr>
      <w:r>
        <w:rPr>
          <w:rFonts w:hint="eastAsia" w:hAnsi="宋体" w:cs="宋体"/>
          <w:color w:val="auto"/>
          <w:szCs w:val="21"/>
          <w:highlight w:val="none"/>
        </w:rPr>
        <w:t xml:space="preserve">   (1)沥青道路</w:t>
      </w:r>
    </w:p>
    <w:tbl>
      <w:tblPr>
        <w:tblStyle w:val="25"/>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838"/>
      </w:tblGrid>
      <w:tr w14:paraId="5480B9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tcPr>
          <w:p w14:paraId="1DCF435A">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838" w:type="dxa"/>
          </w:tcPr>
          <w:p w14:paraId="00D82877">
            <w:pPr>
              <w:spacing w:line="440" w:lineRule="exact"/>
              <w:rPr>
                <w:rFonts w:hint="eastAsia" w:hAnsi="宋体" w:cs="宋体"/>
                <w:color w:val="auto"/>
                <w:szCs w:val="21"/>
                <w:highlight w:val="none"/>
              </w:rPr>
            </w:pPr>
            <w:r>
              <w:rPr>
                <w:rFonts w:hint="eastAsia" w:hAnsi="宋体" w:cs="宋体"/>
                <w:color w:val="auto"/>
                <w:szCs w:val="21"/>
                <w:highlight w:val="none"/>
              </w:rPr>
              <w:t>规定值及允许偏差</w:t>
            </w:r>
          </w:p>
        </w:tc>
      </w:tr>
      <w:tr w14:paraId="14AA9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0C03FA44">
            <w:pPr>
              <w:spacing w:line="440" w:lineRule="exact"/>
              <w:rPr>
                <w:rFonts w:hint="eastAsia" w:hAnsi="宋体" w:cs="宋体"/>
                <w:color w:val="auto"/>
                <w:szCs w:val="21"/>
                <w:highlight w:val="none"/>
              </w:rPr>
            </w:pPr>
            <w:r>
              <w:rPr>
                <w:rFonts w:hint="eastAsia" w:hAnsi="宋体" w:cs="宋体"/>
                <w:color w:val="auto"/>
                <w:szCs w:val="21"/>
                <w:highlight w:val="none"/>
              </w:rPr>
              <w:t>凿边</w:t>
            </w:r>
          </w:p>
        </w:tc>
        <w:tc>
          <w:tcPr>
            <w:tcW w:w="7838" w:type="dxa"/>
          </w:tcPr>
          <w:p w14:paraId="3D6FA55D">
            <w:pPr>
              <w:spacing w:line="440" w:lineRule="exact"/>
              <w:rPr>
                <w:rFonts w:hint="eastAsia" w:hAnsi="宋体" w:cs="宋体"/>
                <w:color w:val="auto"/>
                <w:szCs w:val="21"/>
                <w:highlight w:val="none"/>
              </w:rPr>
            </w:pPr>
            <w:r>
              <w:rPr>
                <w:rFonts w:hint="eastAsia" w:hAnsi="宋体" w:cs="宋体"/>
                <w:color w:val="auto"/>
                <w:szCs w:val="21"/>
                <w:highlight w:val="none"/>
              </w:rPr>
              <w:t>四周用切割机切割，整齐不斜；如采铣刨机或其他机械施工，边口应整齐不斜；</w:t>
            </w:r>
          </w:p>
          <w:p w14:paraId="385EF4DF">
            <w:pPr>
              <w:spacing w:line="440" w:lineRule="exact"/>
              <w:rPr>
                <w:rFonts w:hint="eastAsia" w:hAnsi="宋体" w:cs="宋体"/>
                <w:color w:val="auto"/>
                <w:szCs w:val="21"/>
                <w:highlight w:val="none"/>
              </w:rPr>
            </w:pPr>
            <w:r>
              <w:rPr>
                <w:rFonts w:hint="eastAsia" w:hAnsi="宋体" w:cs="宋体"/>
                <w:color w:val="auto"/>
                <w:szCs w:val="21"/>
                <w:highlight w:val="none"/>
              </w:rPr>
              <w:t>四周修凿垂直，凿边宽度不小于50mm、深度不小于30mm</w:t>
            </w:r>
          </w:p>
        </w:tc>
      </w:tr>
      <w:tr w14:paraId="7C6FF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6ACB1824">
            <w:pPr>
              <w:spacing w:line="440" w:lineRule="exact"/>
              <w:rPr>
                <w:rFonts w:hint="eastAsia" w:hAnsi="宋体" w:cs="宋体"/>
                <w:color w:val="auto"/>
                <w:szCs w:val="21"/>
                <w:highlight w:val="none"/>
              </w:rPr>
            </w:pPr>
            <w:r>
              <w:rPr>
                <w:rFonts w:hint="eastAsia" w:hAnsi="宋体" w:cs="宋体"/>
                <w:color w:val="auto"/>
                <w:szCs w:val="21"/>
                <w:highlight w:val="none"/>
              </w:rPr>
              <w:t>铺筑</w:t>
            </w:r>
          </w:p>
        </w:tc>
        <w:tc>
          <w:tcPr>
            <w:tcW w:w="7838" w:type="dxa"/>
          </w:tcPr>
          <w:p w14:paraId="1634A5AB">
            <w:pPr>
              <w:spacing w:line="440" w:lineRule="exact"/>
              <w:rPr>
                <w:rFonts w:hint="eastAsia" w:hAnsi="宋体" w:cs="宋体"/>
                <w:color w:val="auto"/>
                <w:szCs w:val="21"/>
                <w:highlight w:val="none"/>
              </w:rPr>
            </w:pPr>
            <w:r>
              <w:rPr>
                <w:rFonts w:hint="eastAsia" w:hAnsi="宋体" w:cs="宋体"/>
                <w:color w:val="auto"/>
                <w:szCs w:val="21"/>
                <w:highlight w:val="none"/>
              </w:rPr>
              <w:t>面层铺筑厚度误差-5mm、+10mm；</w:t>
            </w:r>
          </w:p>
          <w:p w14:paraId="0B5FD466">
            <w:pPr>
              <w:spacing w:line="440" w:lineRule="exact"/>
              <w:rPr>
                <w:rFonts w:hint="eastAsia" w:hAnsi="宋体" w:cs="宋体"/>
                <w:color w:val="auto"/>
                <w:szCs w:val="21"/>
                <w:highlight w:val="none"/>
              </w:rPr>
            </w:pPr>
            <w:r>
              <w:rPr>
                <w:rFonts w:hint="eastAsia" w:hAnsi="宋体" w:cs="宋体"/>
                <w:color w:val="auto"/>
                <w:szCs w:val="21"/>
                <w:highlight w:val="none"/>
              </w:rPr>
              <w:t>混凝土厚度细粒式不得低于30mm、粗粒不得低工资于50mm、中粒不得低于40mm；</w:t>
            </w:r>
          </w:p>
          <w:p w14:paraId="2F6586F4">
            <w:pPr>
              <w:spacing w:line="440" w:lineRule="exact"/>
              <w:rPr>
                <w:rFonts w:hint="eastAsia" w:hAnsi="宋体" w:cs="宋体"/>
                <w:color w:val="auto"/>
                <w:szCs w:val="21"/>
                <w:highlight w:val="none"/>
              </w:rPr>
            </w:pPr>
            <w:r>
              <w:rPr>
                <w:rFonts w:hint="eastAsia" w:hAnsi="宋体" w:cs="宋体"/>
                <w:color w:val="auto"/>
                <w:szCs w:val="21"/>
                <w:highlight w:val="none"/>
              </w:rPr>
              <w:t>表面粗细均匀，无毛细裂缝，碾压紧密，无明显轮迹</w:t>
            </w:r>
          </w:p>
        </w:tc>
      </w:tr>
      <w:tr w14:paraId="10078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1E124075">
            <w:pPr>
              <w:spacing w:line="440" w:lineRule="exact"/>
              <w:rPr>
                <w:rFonts w:hint="eastAsia" w:hAnsi="宋体" w:cs="宋体"/>
                <w:color w:val="auto"/>
                <w:szCs w:val="21"/>
                <w:highlight w:val="none"/>
              </w:rPr>
            </w:pPr>
            <w:r>
              <w:rPr>
                <w:rFonts w:hint="eastAsia" w:hAnsi="宋体" w:cs="宋体"/>
                <w:color w:val="auto"/>
                <w:szCs w:val="21"/>
                <w:highlight w:val="none"/>
              </w:rPr>
              <w:t>平整度</w:t>
            </w:r>
          </w:p>
        </w:tc>
        <w:tc>
          <w:tcPr>
            <w:tcW w:w="7838" w:type="dxa"/>
          </w:tcPr>
          <w:p w14:paraId="7D3E4C94">
            <w:pPr>
              <w:spacing w:line="440" w:lineRule="exact"/>
              <w:rPr>
                <w:rFonts w:hint="eastAsia" w:hAnsi="宋体" w:cs="宋体"/>
                <w:color w:val="auto"/>
                <w:szCs w:val="21"/>
                <w:highlight w:val="none"/>
              </w:rPr>
            </w:pPr>
            <w:r>
              <w:rPr>
                <w:rFonts w:hint="eastAsia" w:hAnsi="宋体" w:cs="宋体"/>
                <w:color w:val="auto"/>
                <w:szCs w:val="21"/>
                <w:highlight w:val="none"/>
              </w:rPr>
              <w:t>路面平整，人工摊铺不大于7mm，机械摊铺不大于5mm（3米尺）</w:t>
            </w:r>
          </w:p>
        </w:tc>
      </w:tr>
      <w:tr w14:paraId="2E9A3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68A5C89C">
            <w:pPr>
              <w:spacing w:line="440" w:lineRule="exact"/>
              <w:rPr>
                <w:rFonts w:hint="eastAsia" w:hAnsi="宋体" w:cs="宋体"/>
                <w:color w:val="auto"/>
                <w:szCs w:val="21"/>
                <w:highlight w:val="none"/>
              </w:rPr>
            </w:pPr>
            <w:r>
              <w:rPr>
                <w:rFonts w:hint="eastAsia" w:hAnsi="宋体" w:cs="宋体"/>
                <w:color w:val="auto"/>
                <w:szCs w:val="21"/>
                <w:highlight w:val="none"/>
              </w:rPr>
              <w:t>接茬</w:t>
            </w:r>
          </w:p>
        </w:tc>
        <w:tc>
          <w:tcPr>
            <w:tcW w:w="7838" w:type="dxa"/>
          </w:tcPr>
          <w:p w14:paraId="3DCCA4B7">
            <w:pPr>
              <w:spacing w:line="440" w:lineRule="exact"/>
              <w:rPr>
                <w:rFonts w:hint="eastAsia" w:hAnsi="宋体" w:cs="宋体"/>
                <w:color w:val="auto"/>
                <w:szCs w:val="21"/>
                <w:highlight w:val="none"/>
              </w:rPr>
            </w:pPr>
            <w:r>
              <w:rPr>
                <w:rFonts w:hint="eastAsia" w:hAnsi="宋体" w:cs="宋体"/>
                <w:color w:val="auto"/>
                <w:szCs w:val="21"/>
                <w:highlight w:val="none"/>
              </w:rPr>
              <w:t>接茬密实，无起壳松散；</w:t>
            </w:r>
          </w:p>
          <w:p w14:paraId="219B994D">
            <w:pPr>
              <w:spacing w:line="440" w:lineRule="exact"/>
              <w:rPr>
                <w:rFonts w:hint="eastAsia" w:hAnsi="宋体" w:cs="宋体"/>
                <w:color w:val="auto"/>
                <w:szCs w:val="21"/>
                <w:highlight w:val="none"/>
              </w:rPr>
            </w:pPr>
            <w:r>
              <w:rPr>
                <w:rFonts w:hint="eastAsia" w:hAnsi="宋体" w:cs="宋体"/>
                <w:color w:val="auto"/>
                <w:szCs w:val="21"/>
                <w:highlight w:val="none"/>
              </w:rPr>
              <w:t>与平石相接不得低于平石，高不得低于5mm；</w:t>
            </w:r>
          </w:p>
          <w:p w14:paraId="2C635E45">
            <w:pPr>
              <w:spacing w:line="440" w:lineRule="exact"/>
              <w:rPr>
                <w:rFonts w:hint="eastAsia" w:hAnsi="宋体" w:cs="宋体"/>
                <w:color w:val="auto"/>
                <w:szCs w:val="21"/>
                <w:highlight w:val="none"/>
              </w:rPr>
            </w:pPr>
            <w:r>
              <w:rPr>
                <w:rFonts w:hint="eastAsia" w:hAnsi="宋体" w:cs="宋体"/>
                <w:color w:val="auto"/>
                <w:szCs w:val="21"/>
                <w:highlight w:val="none"/>
              </w:rPr>
              <w:t>新老接茬密实，平顺齐直，不得低于原路面，高不得大于5mm（1米尺）</w:t>
            </w:r>
          </w:p>
        </w:tc>
      </w:tr>
      <w:tr w14:paraId="40F76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17B8446E">
            <w:pPr>
              <w:spacing w:line="440" w:lineRule="exact"/>
              <w:rPr>
                <w:rFonts w:hint="eastAsia" w:hAnsi="宋体" w:cs="宋体"/>
                <w:color w:val="auto"/>
                <w:szCs w:val="21"/>
                <w:highlight w:val="none"/>
              </w:rPr>
            </w:pPr>
            <w:r>
              <w:rPr>
                <w:rFonts w:hint="eastAsia" w:hAnsi="宋体" w:cs="宋体"/>
                <w:color w:val="auto"/>
                <w:szCs w:val="21"/>
                <w:highlight w:val="none"/>
              </w:rPr>
              <w:t>路框差</w:t>
            </w:r>
          </w:p>
        </w:tc>
        <w:tc>
          <w:tcPr>
            <w:tcW w:w="7838" w:type="dxa"/>
          </w:tcPr>
          <w:p w14:paraId="22F03F8A">
            <w:pPr>
              <w:spacing w:line="440" w:lineRule="exact"/>
              <w:rPr>
                <w:rFonts w:hint="eastAsia" w:hAnsi="宋体" w:cs="宋体"/>
                <w:color w:val="auto"/>
                <w:szCs w:val="21"/>
                <w:highlight w:val="none"/>
              </w:rPr>
            </w:pPr>
            <w:r>
              <w:rPr>
                <w:rFonts w:hint="eastAsia" w:hAnsi="宋体" w:cs="宋体"/>
                <w:color w:val="auto"/>
                <w:szCs w:val="21"/>
                <w:highlight w:val="none"/>
              </w:rPr>
              <w:t>各类井框周围路面无沉陷，与路面高差不得大于5mm（1米尺）</w:t>
            </w:r>
          </w:p>
        </w:tc>
      </w:tr>
      <w:tr w14:paraId="44816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3B49CCEE">
            <w:pPr>
              <w:spacing w:line="440" w:lineRule="exact"/>
              <w:rPr>
                <w:rFonts w:hint="eastAsia" w:hAnsi="宋体" w:cs="宋体"/>
                <w:color w:val="auto"/>
                <w:szCs w:val="21"/>
                <w:highlight w:val="none"/>
              </w:rPr>
            </w:pPr>
            <w:r>
              <w:rPr>
                <w:rFonts w:hint="eastAsia" w:hAnsi="宋体" w:cs="宋体"/>
                <w:color w:val="auto"/>
                <w:szCs w:val="21"/>
                <w:highlight w:val="none"/>
              </w:rPr>
              <w:t>横坡度</w:t>
            </w:r>
          </w:p>
        </w:tc>
        <w:tc>
          <w:tcPr>
            <w:tcW w:w="7838" w:type="dxa"/>
          </w:tcPr>
          <w:p w14:paraId="597C52BA">
            <w:pPr>
              <w:spacing w:line="440" w:lineRule="exact"/>
              <w:rPr>
                <w:rFonts w:hint="eastAsia" w:hAnsi="宋体" w:cs="宋体"/>
                <w:color w:val="auto"/>
                <w:szCs w:val="21"/>
                <w:highlight w:val="none"/>
              </w:rPr>
            </w:pPr>
            <w:r>
              <w:rPr>
                <w:rFonts w:hint="eastAsia" w:hAnsi="宋体" w:cs="宋体"/>
                <w:color w:val="auto"/>
                <w:szCs w:val="21"/>
                <w:highlight w:val="none"/>
              </w:rPr>
              <w:t>与原路面横坡相一致，不得有积水</w:t>
            </w:r>
          </w:p>
        </w:tc>
      </w:tr>
    </w:tbl>
    <w:p w14:paraId="4514692C">
      <w:pPr>
        <w:spacing w:line="440" w:lineRule="exact"/>
        <w:rPr>
          <w:rFonts w:hint="eastAsia" w:hAnsi="宋体" w:cs="宋体"/>
          <w:color w:val="auto"/>
          <w:szCs w:val="21"/>
          <w:highlight w:val="none"/>
        </w:rPr>
      </w:pPr>
      <w:r>
        <w:rPr>
          <w:rFonts w:hint="eastAsia" w:hAnsi="宋体" w:cs="宋体"/>
          <w:color w:val="auto"/>
          <w:szCs w:val="21"/>
          <w:highlight w:val="none"/>
        </w:rPr>
        <w:t xml:space="preserve">  （2）水泥混凝土道路</w:t>
      </w:r>
    </w:p>
    <w:tbl>
      <w:tblPr>
        <w:tblStyle w:val="25"/>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4"/>
        <w:gridCol w:w="7888"/>
      </w:tblGrid>
      <w:tr w14:paraId="080C5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tcPr>
          <w:p w14:paraId="02E81F5A">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888" w:type="dxa"/>
          </w:tcPr>
          <w:p w14:paraId="6500B080">
            <w:pPr>
              <w:spacing w:line="440" w:lineRule="exact"/>
              <w:rPr>
                <w:rFonts w:hint="eastAsia" w:hAnsi="宋体" w:cs="宋体"/>
                <w:color w:val="auto"/>
                <w:szCs w:val="21"/>
                <w:highlight w:val="none"/>
              </w:rPr>
            </w:pPr>
            <w:r>
              <w:rPr>
                <w:rFonts w:hint="eastAsia" w:hAnsi="宋体" w:cs="宋体"/>
                <w:color w:val="auto"/>
                <w:szCs w:val="21"/>
                <w:highlight w:val="none"/>
              </w:rPr>
              <w:t>规定值及允许偏差</w:t>
            </w:r>
          </w:p>
        </w:tc>
      </w:tr>
      <w:tr w14:paraId="44D2F3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46443505">
            <w:pPr>
              <w:spacing w:line="440" w:lineRule="exact"/>
              <w:rPr>
                <w:rFonts w:hint="eastAsia" w:hAnsi="宋体" w:cs="宋体"/>
                <w:color w:val="auto"/>
                <w:szCs w:val="21"/>
                <w:highlight w:val="none"/>
              </w:rPr>
            </w:pPr>
            <w:r>
              <w:rPr>
                <w:rFonts w:hint="eastAsia" w:hAnsi="宋体" w:cs="宋体"/>
                <w:color w:val="auto"/>
                <w:szCs w:val="21"/>
                <w:highlight w:val="none"/>
              </w:rPr>
              <w:t>切割</w:t>
            </w:r>
          </w:p>
        </w:tc>
        <w:tc>
          <w:tcPr>
            <w:tcW w:w="7888" w:type="dxa"/>
          </w:tcPr>
          <w:p w14:paraId="122A7B36">
            <w:pPr>
              <w:spacing w:line="440" w:lineRule="exact"/>
              <w:rPr>
                <w:rFonts w:hint="eastAsia" w:hAnsi="宋体" w:cs="宋体"/>
                <w:color w:val="auto"/>
                <w:szCs w:val="21"/>
                <w:highlight w:val="none"/>
              </w:rPr>
            </w:pPr>
            <w:r>
              <w:rPr>
                <w:rFonts w:hint="eastAsia" w:hAnsi="宋体" w:cs="宋体"/>
                <w:color w:val="auto"/>
                <w:szCs w:val="21"/>
                <w:highlight w:val="none"/>
              </w:rPr>
              <w:t>四周切割整齐垂直，不得附有损伤碎片，切角不得小于90℃</w:t>
            </w:r>
          </w:p>
        </w:tc>
      </w:tr>
      <w:tr w14:paraId="314649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7D0967EE">
            <w:pPr>
              <w:spacing w:line="440" w:lineRule="exact"/>
              <w:rPr>
                <w:rFonts w:hint="eastAsia" w:hAnsi="宋体" w:cs="宋体"/>
                <w:color w:val="auto"/>
                <w:szCs w:val="21"/>
                <w:highlight w:val="none"/>
              </w:rPr>
            </w:pPr>
            <w:r>
              <w:rPr>
                <w:rFonts w:hint="eastAsia" w:hAnsi="宋体" w:cs="宋体"/>
                <w:color w:val="auto"/>
                <w:szCs w:val="21"/>
                <w:highlight w:val="none"/>
              </w:rPr>
              <w:t>铺筑</w:t>
            </w:r>
          </w:p>
        </w:tc>
        <w:tc>
          <w:tcPr>
            <w:tcW w:w="7888" w:type="dxa"/>
          </w:tcPr>
          <w:p w14:paraId="639E2184">
            <w:pPr>
              <w:spacing w:line="440" w:lineRule="exact"/>
              <w:rPr>
                <w:rFonts w:hint="eastAsia" w:hAnsi="宋体" w:cs="宋体"/>
                <w:color w:val="auto"/>
                <w:szCs w:val="21"/>
                <w:highlight w:val="none"/>
              </w:rPr>
            </w:pPr>
            <w:r>
              <w:rPr>
                <w:rFonts w:hint="eastAsia" w:hAnsi="宋体" w:cs="宋体"/>
                <w:color w:val="auto"/>
                <w:szCs w:val="21"/>
                <w:highlight w:val="none"/>
              </w:rPr>
              <w:t>抗压、抗折强度不得低于原路面强度，板厚允许误差-5mm、+10mm；</w:t>
            </w:r>
          </w:p>
          <w:p w14:paraId="78C85E09">
            <w:pPr>
              <w:spacing w:line="440" w:lineRule="exact"/>
              <w:rPr>
                <w:rFonts w:hint="eastAsia" w:hAnsi="宋体" w:cs="宋体"/>
                <w:color w:val="auto"/>
                <w:szCs w:val="21"/>
                <w:highlight w:val="none"/>
              </w:rPr>
            </w:pPr>
            <w:r>
              <w:rPr>
                <w:rFonts w:hint="eastAsia" w:hAnsi="宋体" w:cs="宋体"/>
                <w:color w:val="auto"/>
                <w:szCs w:val="21"/>
                <w:highlight w:val="none"/>
              </w:rPr>
              <w:t>路面无露骨、麻面，板边蜂窝麻面不得大于3%，面层拉毛应整齐。</w:t>
            </w:r>
          </w:p>
        </w:tc>
      </w:tr>
      <w:tr w14:paraId="23DD2D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30F3A622">
            <w:pPr>
              <w:spacing w:line="440" w:lineRule="exact"/>
              <w:rPr>
                <w:rFonts w:hint="eastAsia" w:hAnsi="宋体" w:cs="宋体"/>
                <w:color w:val="auto"/>
                <w:szCs w:val="21"/>
                <w:highlight w:val="none"/>
              </w:rPr>
            </w:pPr>
            <w:r>
              <w:rPr>
                <w:rFonts w:hint="eastAsia" w:hAnsi="宋体" w:cs="宋体"/>
                <w:color w:val="auto"/>
                <w:szCs w:val="21"/>
                <w:highlight w:val="none"/>
              </w:rPr>
              <w:t>平整度</w:t>
            </w:r>
          </w:p>
        </w:tc>
        <w:tc>
          <w:tcPr>
            <w:tcW w:w="7888" w:type="dxa"/>
          </w:tcPr>
          <w:p w14:paraId="1F2BDF6F">
            <w:pPr>
              <w:spacing w:line="440" w:lineRule="exact"/>
              <w:rPr>
                <w:rFonts w:hint="eastAsia" w:hAnsi="宋体" w:cs="宋体"/>
                <w:color w:val="auto"/>
                <w:szCs w:val="21"/>
                <w:highlight w:val="none"/>
              </w:rPr>
            </w:pPr>
            <w:r>
              <w:rPr>
                <w:rFonts w:hint="eastAsia" w:hAnsi="宋体" w:cs="宋体"/>
                <w:color w:val="auto"/>
                <w:szCs w:val="21"/>
                <w:highlight w:val="none"/>
              </w:rPr>
              <w:t>路面平整度高差不得大于3mm（3米尺）</w:t>
            </w:r>
          </w:p>
        </w:tc>
      </w:tr>
      <w:tr w14:paraId="1A467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84" w:type="dxa"/>
            <w:vAlign w:val="center"/>
          </w:tcPr>
          <w:p w14:paraId="53BF5CEA">
            <w:pPr>
              <w:spacing w:line="440" w:lineRule="exact"/>
              <w:rPr>
                <w:rFonts w:hint="eastAsia" w:hAnsi="宋体" w:cs="宋体"/>
                <w:color w:val="auto"/>
                <w:szCs w:val="21"/>
                <w:highlight w:val="none"/>
              </w:rPr>
            </w:pPr>
            <w:r>
              <w:rPr>
                <w:rFonts w:hint="eastAsia" w:hAnsi="宋体" w:cs="宋体"/>
                <w:color w:val="auto"/>
                <w:szCs w:val="21"/>
                <w:highlight w:val="none"/>
              </w:rPr>
              <w:t>抗滑</w:t>
            </w:r>
          </w:p>
        </w:tc>
        <w:tc>
          <w:tcPr>
            <w:tcW w:w="7888" w:type="dxa"/>
          </w:tcPr>
          <w:p w14:paraId="619181EE">
            <w:pPr>
              <w:spacing w:line="440" w:lineRule="exact"/>
              <w:rPr>
                <w:rFonts w:hint="eastAsia" w:hAnsi="宋体" w:cs="宋体"/>
                <w:color w:val="auto"/>
                <w:szCs w:val="21"/>
                <w:highlight w:val="none"/>
              </w:rPr>
            </w:pPr>
            <w:r>
              <w:rPr>
                <w:rFonts w:hint="eastAsia" w:hAnsi="宋体" w:cs="宋体"/>
                <w:color w:val="auto"/>
                <w:szCs w:val="21"/>
                <w:highlight w:val="none"/>
              </w:rPr>
              <w:t xml:space="preserve">抗滑值BPN≥45，或横向力系数SFC≥0.38；                                                  </w:t>
            </w:r>
          </w:p>
        </w:tc>
      </w:tr>
      <w:tr w14:paraId="4D13B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384" w:type="dxa"/>
            <w:vAlign w:val="center"/>
          </w:tcPr>
          <w:p w14:paraId="4BF546F9">
            <w:pPr>
              <w:spacing w:line="440" w:lineRule="exact"/>
              <w:rPr>
                <w:rFonts w:hint="eastAsia" w:hAnsi="宋体" w:cs="宋体"/>
                <w:color w:val="auto"/>
                <w:szCs w:val="21"/>
                <w:highlight w:val="none"/>
              </w:rPr>
            </w:pPr>
            <w:r>
              <w:rPr>
                <w:rFonts w:hint="eastAsia" w:hAnsi="宋体" w:cs="宋体"/>
                <w:color w:val="auto"/>
                <w:szCs w:val="21"/>
                <w:highlight w:val="none"/>
              </w:rPr>
              <w:t>相邻板差</w:t>
            </w:r>
          </w:p>
        </w:tc>
        <w:tc>
          <w:tcPr>
            <w:tcW w:w="7888" w:type="dxa"/>
          </w:tcPr>
          <w:p w14:paraId="5CEEDAA1">
            <w:pPr>
              <w:spacing w:line="440" w:lineRule="exact"/>
              <w:rPr>
                <w:rFonts w:hint="eastAsia" w:hAnsi="宋体" w:cs="宋体"/>
                <w:color w:val="auto"/>
                <w:szCs w:val="21"/>
                <w:highlight w:val="none"/>
              </w:rPr>
            </w:pPr>
            <w:r>
              <w:rPr>
                <w:rFonts w:hint="eastAsia" w:hAnsi="宋体" w:cs="宋体"/>
                <w:color w:val="auto"/>
                <w:szCs w:val="21"/>
                <w:highlight w:val="none"/>
              </w:rPr>
              <w:t>新板块接边,高差不得大于5mm；</w:t>
            </w:r>
          </w:p>
        </w:tc>
      </w:tr>
      <w:tr w14:paraId="0516DF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384" w:type="dxa"/>
            <w:vAlign w:val="center"/>
          </w:tcPr>
          <w:p w14:paraId="1D251FCC">
            <w:pPr>
              <w:spacing w:line="440" w:lineRule="exact"/>
              <w:rPr>
                <w:rFonts w:hint="eastAsia" w:hAnsi="宋体" w:cs="宋体"/>
                <w:color w:val="auto"/>
                <w:szCs w:val="21"/>
                <w:highlight w:val="none"/>
              </w:rPr>
            </w:pPr>
            <w:r>
              <w:rPr>
                <w:rFonts w:hint="eastAsia" w:hAnsi="宋体" w:cs="宋体"/>
                <w:color w:val="auto"/>
                <w:szCs w:val="21"/>
                <w:highlight w:val="none"/>
              </w:rPr>
              <w:t>伸缩缝</w:t>
            </w:r>
          </w:p>
        </w:tc>
        <w:tc>
          <w:tcPr>
            <w:tcW w:w="7888" w:type="dxa"/>
          </w:tcPr>
          <w:p w14:paraId="6862C2F8">
            <w:pPr>
              <w:spacing w:line="440" w:lineRule="exact"/>
              <w:rPr>
                <w:rFonts w:hint="eastAsia" w:hAnsi="宋体" w:cs="宋体"/>
                <w:color w:val="auto"/>
                <w:szCs w:val="21"/>
                <w:highlight w:val="none"/>
              </w:rPr>
            </w:pPr>
            <w:r>
              <w:rPr>
                <w:rFonts w:hint="eastAsia" w:hAnsi="宋体" w:cs="宋体"/>
                <w:color w:val="auto"/>
                <w:szCs w:val="21"/>
                <w:highlight w:val="none"/>
              </w:rPr>
              <w:t>顺直、深度、宽度不得小于原规定；</w:t>
            </w:r>
          </w:p>
          <w:p w14:paraId="335962B1">
            <w:pPr>
              <w:spacing w:line="440" w:lineRule="exact"/>
              <w:rPr>
                <w:rFonts w:hint="eastAsia" w:hAnsi="宋体" w:cs="宋体"/>
                <w:color w:val="auto"/>
                <w:szCs w:val="21"/>
                <w:highlight w:val="none"/>
              </w:rPr>
            </w:pPr>
            <w:r>
              <w:rPr>
                <w:rFonts w:hint="eastAsia" w:hAnsi="宋体" w:cs="宋体"/>
                <w:color w:val="auto"/>
                <w:szCs w:val="21"/>
                <w:highlight w:val="none"/>
              </w:rPr>
              <w:t>嵌缝密实，高差不得大于3mm（1米尺）</w:t>
            </w:r>
          </w:p>
        </w:tc>
      </w:tr>
      <w:tr w14:paraId="644B1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4BA7A72C">
            <w:pPr>
              <w:spacing w:line="440" w:lineRule="exact"/>
              <w:rPr>
                <w:rFonts w:hint="eastAsia" w:hAnsi="宋体" w:cs="宋体"/>
                <w:color w:val="auto"/>
                <w:szCs w:val="21"/>
                <w:highlight w:val="none"/>
              </w:rPr>
            </w:pPr>
            <w:r>
              <w:rPr>
                <w:rFonts w:hint="eastAsia" w:hAnsi="宋体" w:cs="宋体"/>
                <w:color w:val="auto"/>
                <w:szCs w:val="21"/>
                <w:highlight w:val="none"/>
              </w:rPr>
              <w:t>路框差</w:t>
            </w:r>
          </w:p>
        </w:tc>
        <w:tc>
          <w:tcPr>
            <w:tcW w:w="7888" w:type="dxa"/>
          </w:tcPr>
          <w:p w14:paraId="5C6B0BAC">
            <w:pPr>
              <w:spacing w:line="440" w:lineRule="exact"/>
              <w:rPr>
                <w:rFonts w:hint="eastAsia" w:hAnsi="宋体" w:cs="宋体"/>
                <w:color w:val="auto"/>
                <w:szCs w:val="21"/>
                <w:highlight w:val="none"/>
              </w:rPr>
            </w:pPr>
            <w:r>
              <w:rPr>
                <w:rFonts w:hint="eastAsia" w:hAnsi="宋体" w:cs="宋体"/>
                <w:color w:val="auto"/>
                <w:szCs w:val="21"/>
                <w:highlight w:val="none"/>
              </w:rPr>
              <w:t>座框四周宜设置混凝土保护边，与路面高差不得大于3mm（1米尺）</w:t>
            </w:r>
          </w:p>
        </w:tc>
      </w:tr>
      <w:tr w14:paraId="550451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4" w:type="dxa"/>
            <w:vAlign w:val="center"/>
          </w:tcPr>
          <w:p w14:paraId="5937E3AF">
            <w:pPr>
              <w:spacing w:line="440" w:lineRule="exact"/>
              <w:rPr>
                <w:rFonts w:hint="eastAsia" w:hAnsi="宋体" w:cs="宋体"/>
                <w:color w:val="auto"/>
                <w:szCs w:val="21"/>
                <w:highlight w:val="none"/>
              </w:rPr>
            </w:pPr>
            <w:r>
              <w:rPr>
                <w:rFonts w:hint="eastAsia" w:hAnsi="宋体" w:cs="宋体"/>
                <w:color w:val="auto"/>
                <w:szCs w:val="21"/>
                <w:highlight w:val="none"/>
              </w:rPr>
              <w:t>横坡度</w:t>
            </w:r>
          </w:p>
        </w:tc>
        <w:tc>
          <w:tcPr>
            <w:tcW w:w="7888" w:type="dxa"/>
          </w:tcPr>
          <w:p w14:paraId="7B22E393">
            <w:pPr>
              <w:spacing w:line="440" w:lineRule="exact"/>
              <w:rPr>
                <w:rFonts w:hint="eastAsia" w:hAnsi="宋体" w:cs="宋体"/>
                <w:color w:val="auto"/>
                <w:szCs w:val="21"/>
                <w:highlight w:val="none"/>
              </w:rPr>
            </w:pPr>
            <w:r>
              <w:rPr>
                <w:rFonts w:hint="eastAsia" w:hAnsi="宋体" w:cs="宋体"/>
                <w:color w:val="auto"/>
                <w:szCs w:val="21"/>
                <w:highlight w:val="none"/>
              </w:rPr>
              <w:t>与原路面横坡相一致，不得有积水</w:t>
            </w:r>
          </w:p>
        </w:tc>
      </w:tr>
    </w:tbl>
    <w:p w14:paraId="790FB577">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（3）人行道</w:t>
      </w:r>
    </w:p>
    <w:tbl>
      <w:tblPr>
        <w:tblStyle w:val="25"/>
        <w:tblW w:w="92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4"/>
        <w:gridCol w:w="7838"/>
      </w:tblGrid>
      <w:tr w14:paraId="2D139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tcPr>
          <w:p w14:paraId="6BC8751C">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838" w:type="dxa"/>
          </w:tcPr>
          <w:p w14:paraId="677C7EE8">
            <w:pPr>
              <w:spacing w:line="440" w:lineRule="exact"/>
              <w:rPr>
                <w:rFonts w:hint="eastAsia" w:hAnsi="宋体" w:cs="宋体"/>
                <w:color w:val="auto"/>
                <w:szCs w:val="21"/>
                <w:highlight w:val="none"/>
              </w:rPr>
            </w:pPr>
            <w:r>
              <w:rPr>
                <w:rFonts w:hint="eastAsia" w:hAnsi="宋体" w:cs="宋体"/>
                <w:color w:val="auto"/>
                <w:szCs w:val="21"/>
                <w:highlight w:val="none"/>
              </w:rPr>
              <w:t>规定值及允许偏差</w:t>
            </w:r>
          </w:p>
        </w:tc>
      </w:tr>
      <w:tr w14:paraId="05C6B4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056D6114">
            <w:pPr>
              <w:spacing w:line="440" w:lineRule="exact"/>
              <w:rPr>
                <w:rFonts w:hint="eastAsia" w:hAnsi="宋体" w:cs="宋体"/>
                <w:color w:val="auto"/>
                <w:szCs w:val="21"/>
                <w:highlight w:val="none"/>
              </w:rPr>
            </w:pPr>
            <w:r>
              <w:rPr>
                <w:rFonts w:hint="eastAsia" w:hAnsi="宋体" w:cs="宋体"/>
                <w:color w:val="auto"/>
                <w:szCs w:val="21"/>
                <w:highlight w:val="none"/>
              </w:rPr>
              <w:t>铺筑</w:t>
            </w:r>
          </w:p>
        </w:tc>
        <w:tc>
          <w:tcPr>
            <w:tcW w:w="7838" w:type="dxa"/>
          </w:tcPr>
          <w:p w14:paraId="7465670C">
            <w:pPr>
              <w:spacing w:line="440" w:lineRule="exact"/>
              <w:rPr>
                <w:rFonts w:hint="eastAsia" w:hAnsi="宋体" w:cs="宋体"/>
                <w:color w:val="auto"/>
                <w:szCs w:val="21"/>
                <w:highlight w:val="none"/>
              </w:rPr>
            </w:pPr>
            <w:r>
              <w:rPr>
                <w:rFonts w:hint="eastAsia" w:hAnsi="宋体" w:cs="宋体"/>
                <w:color w:val="auto"/>
                <w:szCs w:val="21"/>
                <w:highlight w:val="none"/>
              </w:rPr>
              <w:t>预制块、块石铺筑平整不松动，缝隙饱满；</w:t>
            </w:r>
          </w:p>
          <w:p w14:paraId="613555DB">
            <w:pPr>
              <w:spacing w:line="440" w:lineRule="exact"/>
              <w:rPr>
                <w:rFonts w:hint="eastAsia" w:hAnsi="宋体" w:cs="宋体"/>
                <w:color w:val="auto"/>
                <w:szCs w:val="21"/>
                <w:highlight w:val="none"/>
              </w:rPr>
            </w:pPr>
            <w:r>
              <w:rPr>
                <w:rFonts w:hint="eastAsia" w:hAnsi="宋体" w:cs="宋体"/>
                <w:color w:val="auto"/>
                <w:szCs w:val="21"/>
                <w:highlight w:val="none"/>
              </w:rPr>
              <w:t>纵横缝顺直，排列整齐，纵向偏差不得大于10mm；（10米线量）</w:t>
            </w:r>
          </w:p>
        </w:tc>
      </w:tr>
      <w:tr w14:paraId="1663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6E1A128B">
            <w:pPr>
              <w:spacing w:line="440" w:lineRule="exact"/>
              <w:rPr>
                <w:rFonts w:hint="eastAsia" w:hAnsi="宋体" w:cs="宋体"/>
                <w:color w:val="auto"/>
                <w:szCs w:val="21"/>
                <w:highlight w:val="none"/>
              </w:rPr>
            </w:pPr>
            <w:r>
              <w:rPr>
                <w:rFonts w:hint="eastAsia" w:hAnsi="宋体" w:cs="宋体"/>
                <w:color w:val="auto"/>
                <w:szCs w:val="21"/>
                <w:highlight w:val="none"/>
              </w:rPr>
              <w:t>强度</w:t>
            </w:r>
          </w:p>
        </w:tc>
        <w:tc>
          <w:tcPr>
            <w:tcW w:w="7838" w:type="dxa"/>
          </w:tcPr>
          <w:p w14:paraId="5B99E9D9">
            <w:pPr>
              <w:spacing w:line="440" w:lineRule="exact"/>
              <w:rPr>
                <w:rFonts w:hint="eastAsia" w:hAnsi="宋体" w:cs="宋体"/>
                <w:color w:val="auto"/>
                <w:szCs w:val="21"/>
                <w:highlight w:val="none"/>
              </w:rPr>
            </w:pPr>
            <w:r>
              <w:rPr>
                <w:rFonts w:hint="eastAsia" w:hAnsi="宋体" w:cs="宋体"/>
                <w:color w:val="auto"/>
                <w:szCs w:val="21"/>
                <w:highlight w:val="none"/>
              </w:rPr>
              <w:t>现浇水泥人行道强度、厚度符合设计要求，振捣结实；</w:t>
            </w:r>
          </w:p>
          <w:p w14:paraId="2343DB0B">
            <w:pPr>
              <w:spacing w:line="440" w:lineRule="exact"/>
              <w:rPr>
                <w:rFonts w:hint="eastAsia" w:hAnsi="宋体" w:cs="宋体"/>
                <w:color w:val="auto"/>
                <w:szCs w:val="21"/>
                <w:highlight w:val="none"/>
              </w:rPr>
            </w:pPr>
            <w:r>
              <w:rPr>
                <w:rFonts w:hint="eastAsia" w:hAnsi="宋体" w:cs="宋体"/>
                <w:color w:val="auto"/>
                <w:szCs w:val="21"/>
                <w:highlight w:val="none"/>
              </w:rPr>
              <w:t>表面无露骨，麻面，厚度偏差+10mm 、-5mm</w:t>
            </w:r>
          </w:p>
        </w:tc>
      </w:tr>
      <w:tr w14:paraId="019B3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34" w:type="dxa"/>
            <w:vAlign w:val="center"/>
          </w:tcPr>
          <w:p w14:paraId="1B9C98CD">
            <w:pPr>
              <w:spacing w:line="440" w:lineRule="exact"/>
              <w:rPr>
                <w:rFonts w:hint="eastAsia" w:hAnsi="宋体" w:cs="宋体"/>
                <w:color w:val="auto"/>
                <w:szCs w:val="21"/>
                <w:highlight w:val="none"/>
              </w:rPr>
            </w:pPr>
            <w:r>
              <w:rPr>
                <w:rFonts w:hint="eastAsia" w:hAnsi="宋体" w:cs="宋体"/>
                <w:color w:val="auto"/>
                <w:szCs w:val="21"/>
                <w:highlight w:val="none"/>
              </w:rPr>
              <w:t>平整度</w:t>
            </w:r>
          </w:p>
        </w:tc>
        <w:tc>
          <w:tcPr>
            <w:tcW w:w="7838" w:type="dxa"/>
          </w:tcPr>
          <w:p w14:paraId="54DF3A07">
            <w:pPr>
              <w:spacing w:line="440" w:lineRule="exact"/>
              <w:rPr>
                <w:rFonts w:hint="eastAsia" w:hAnsi="宋体" w:cs="宋体"/>
                <w:color w:val="auto"/>
                <w:szCs w:val="21"/>
                <w:highlight w:val="none"/>
              </w:rPr>
            </w:pPr>
            <w:r>
              <w:rPr>
                <w:rFonts w:hint="eastAsia" w:hAnsi="宋体" w:cs="宋体"/>
                <w:color w:val="auto"/>
                <w:szCs w:val="21"/>
                <w:highlight w:val="none"/>
              </w:rPr>
              <w:t>高差不得大于5mm（3米尺）</w:t>
            </w:r>
          </w:p>
        </w:tc>
      </w:tr>
      <w:tr w14:paraId="49645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34" w:type="dxa"/>
            <w:vAlign w:val="center"/>
          </w:tcPr>
          <w:p w14:paraId="0A82916C">
            <w:pPr>
              <w:spacing w:line="440" w:lineRule="exact"/>
              <w:rPr>
                <w:rFonts w:hint="eastAsia" w:hAnsi="宋体" w:cs="宋体"/>
                <w:color w:val="auto"/>
                <w:szCs w:val="21"/>
                <w:highlight w:val="none"/>
              </w:rPr>
            </w:pPr>
            <w:r>
              <w:rPr>
                <w:rFonts w:hint="eastAsia" w:hAnsi="宋体" w:cs="宋体"/>
                <w:color w:val="auto"/>
                <w:szCs w:val="21"/>
                <w:highlight w:val="none"/>
              </w:rPr>
              <w:t>路框差</w:t>
            </w:r>
          </w:p>
        </w:tc>
        <w:tc>
          <w:tcPr>
            <w:tcW w:w="7838" w:type="dxa"/>
          </w:tcPr>
          <w:p w14:paraId="500A0334">
            <w:pPr>
              <w:spacing w:line="440" w:lineRule="exact"/>
              <w:rPr>
                <w:rFonts w:hint="eastAsia" w:hAnsi="宋体" w:cs="宋体"/>
                <w:color w:val="auto"/>
                <w:szCs w:val="21"/>
                <w:highlight w:val="none"/>
              </w:rPr>
            </w:pPr>
            <w:r>
              <w:rPr>
                <w:rFonts w:hint="eastAsia" w:hAnsi="宋体" w:cs="宋体"/>
                <w:color w:val="auto"/>
                <w:szCs w:val="21"/>
                <w:highlight w:val="none"/>
              </w:rPr>
              <w:t>检查井及井盖框与人行道路面高差不得大于5mm</w:t>
            </w:r>
          </w:p>
          <w:p w14:paraId="461EFBEF">
            <w:pPr>
              <w:spacing w:line="440" w:lineRule="exact"/>
              <w:rPr>
                <w:rFonts w:hint="eastAsia" w:hAnsi="宋体" w:cs="宋体"/>
                <w:color w:val="auto"/>
                <w:szCs w:val="21"/>
                <w:highlight w:val="none"/>
              </w:rPr>
            </w:pPr>
            <w:r>
              <w:rPr>
                <w:rFonts w:hint="eastAsia" w:hAnsi="宋体" w:cs="宋体"/>
                <w:color w:val="auto"/>
                <w:szCs w:val="21"/>
                <w:highlight w:val="none"/>
              </w:rPr>
              <w:t>现浇水泥人行道不得大于3mm（1米尺）</w:t>
            </w:r>
          </w:p>
        </w:tc>
      </w:tr>
      <w:tr w14:paraId="2F56D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34" w:type="dxa"/>
            <w:vAlign w:val="center"/>
          </w:tcPr>
          <w:p w14:paraId="7A2469E0">
            <w:pPr>
              <w:spacing w:line="440" w:lineRule="exact"/>
              <w:rPr>
                <w:rFonts w:hint="eastAsia" w:hAnsi="宋体" w:cs="宋体"/>
                <w:color w:val="auto"/>
                <w:szCs w:val="21"/>
                <w:highlight w:val="none"/>
              </w:rPr>
            </w:pPr>
            <w:r>
              <w:rPr>
                <w:rFonts w:hint="eastAsia" w:hAnsi="宋体" w:cs="宋体"/>
                <w:color w:val="auto"/>
                <w:szCs w:val="21"/>
                <w:highlight w:val="none"/>
              </w:rPr>
              <w:t>接茬</w:t>
            </w:r>
          </w:p>
        </w:tc>
        <w:tc>
          <w:tcPr>
            <w:tcW w:w="7838" w:type="dxa"/>
          </w:tcPr>
          <w:p w14:paraId="1F235CD8">
            <w:pPr>
              <w:spacing w:line="440" w:lineRule="exact"/>
              <w:rPr>
                <w:rFonts w:hint="eastAsia" w:hAnsi="宋体" w:cs="宋体"/>
                <w:color w:val="auto"/>
                <w:szCs w:val="21"/>
                <w:highlight w:val="none"/>
              </w:rPr>
            </w:pPr>
            <w:r>
              <w:rPr>
                <w:rFonts w:hint="eastAsia" w:hAnsi="宋体" w:cs="宋体"/>
                <w:color w:val="auto"/>
                <w:szCs w:val="21"/>
                <w:highlight w:val="none"/>
              </w:rPr>
              <w:t>人行道面应高于侧石顶面5mm；</w:t>
            </w:r>
          </w:p>
          <w:p w14:paraId="4F3FE35B">
            <w:pPr>
              <w:spacing w:line="440" w:lineRule="exact"/>
              <w:rPr>
                <w:rFonts w:hint="eastAsia" w:hAnsi="宋体" w:cs="宋体"/>
                <w:color w:val="auto"/>
                <w:szCs w:val="21"/>
                <w:highlight w:val="none"/>
              </w:rPr>
            </w:pPr>
            <w:r>
              <w:rPr>
                <w:rFonts w:hint="eastAsia" w:hAnsi="宋体" w:cs="宋体"/>
                <w:color w:val="auto"/>
                <w:szCs w:val="21"/>
                <w:highlight w:val="none"/>
              </w:rPr>
              <w:t>新老接茬齐平，高差不得大于5mm（1米尺）</w:t>
            </w:r>
          </w:p>
        </w:tc>
      </w:tr>
      <w:tr w14:paraId="5AE55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 w:hRule="atLeast"/>
          <w:jc w:val="center"/>
        </w:trPr>
        <w:tc>
          <w:tcPr>
            <w:tcW w:w="1434" w:type="dxa"/>
            <w:vAlign w:val="center"/>
          </w:tcPr>
          <w:p w14:paraId="1323FEAE">
            <w:pPr>
              <w:spacing w:line="440" w:lineRule="exact"/>
              <w:rPr>
                <w:rFonts w:hint="eastAsia" w:hAnsi="宋体" w:cs="宋体"/>
                <w:color w:val="auto"/>
                <w:szCs w:val="21"/>
                <w:highlight w:val="none"/>
              </w:rPr>
            </w:pPr>
            <w:r>
              <w:rPr>
                <w:rFonts w:hint="eastAsia" w:hAnsi="宋体" w:cs="宋体"/>
                <w:color w:val="auto"/>
                <w:szCs w:val="21"/>
                <w:highlight w:val="none"/>
              </w:rPr>
              <w:t>凿边及</w:t>
            </w:r>
          </w:p>
          <w:p w14:paraId="2CD8FB7B">
            <w:pPr>
              <w:spacing w:line="440" w:lineRule="exact"/>
              <w:rPr>
                <w:rFonts w:hint="eastAsia" w:hAnsi="宋体" w:cs="宋体"/>
                <w:color w:val="auto"/>
                <w:szCs w:val="21"/>
                <w:highlight w:val="none"/>
              </w:rPr>
            </w:pPr>
            <w:r>
              <w:rPr>
                <w:rFonts w:hint="eastAsia" w:hAnsi="宋体" w:cs="宋体"/>
                <w:color w:val="auto"/>
                <w:szCs w:val="21"/>
                <w:highlight w:val="none"/>
              </w:rPr>
              <w:t>滚边</w:t>
            </w:r>
          </w:p>
        </w:tc>
        <w:tc>
          <w:tcPr>
            <w:tcW w:w="7838" w:type="dxa"/>
          </w:tcPr>
          <w:p w14:paraId="241489B7">
            <w:pPr>
              <w:spacing w:line="440" w:lineRule="exact"/>
              <w:rPr>
                <w:rFonts w:hint="eastAsia" w:hAnsi="宋体" w:cs="宋体"/>
                <w:color w:val="auto"/>
                <w:szCs w:val="21"/>
                <w:highlight w:val="none"/>
              </w:rPr>
            </w:pPr>
            <w:r>
              <w:rPr>
                <w:rFonts w:hint="eastAsia" w:hAnsi="宋体" w:cs="宋体"/>
                <w:color w:val="auto"/>
                <w:szCs w:val="21"/>
                <w:highlight w:val="none"/>
              </w:rPr>
              <w:t>现浇人行道四周凿边整齐不斜，四周不得有损伤碎石；</w:t>
            </w:r>
          </w:p>
          <w:p w14:paraId="1D5E7C88">
            <w:pPr>
              <w:spacing w:line="440" w:lineRule="exact"/>
              <w:rPr>
                <w:rFonts w:hint="eastAsia" w:hAnsi="宋体" w:cs="宋体"/>
                <w:color w:val="auto"/>
                <w:szCs w:val="21"/>
                <w:highlight w:val="none"/>
              </w:rPr>
            </w:pPr>
            <w:r>
              <w:rPr>
                <w:rFonts w:hint="eastAsia" w:hAnsi="宋体" w:cs="宋体"/>
                <w:color w:val="auto"/>
                <w:szCs w:val="21"/>
                <w:highlight w:val="none"/>
              </w:rPr>
              <w:t>纵横划线垂直齐整、缝宽和缝深均匀，滚花整齐</w:t>
            </w:r>
          </w:p>
        </w:tc>
      </w:tr>
    </w:tbl>
    <w:p w14:paraId="62242A9B">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（4）盲道</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7846"/>
      </w:tblGrid>
      <w:tr w14:paraId="1D2AD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tcPr>
          <w:p w14:paraId="7605C8BC">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846" w:type="dxa"/>
          </w:tcPr>
          <w:p w14:paraId="74331DB4">
            <w:pPr>
              <w:spacing w:line="440" w:lineRule="exact"/>
              <w:rPr>
                <w:rFonts w:hint="eastAsia" w:hAnsi="宋体" w:cs="宋体"/>
                <w:color w:val="auto"/>
                <w:szCs w:val="21"/>
                <w:highlight w:val="none"/>
              </w:rPr>
            </w:pPr>
            <w:r>
              <w:rPr>
                <w:rFonts w:hint="eastAsia" w:hAnsi="宋体" w:cs="宋体"/>
                <w:color w:val="auto"/>
                <w:szCs w:val="21"/>
                <w:highlight w:val="none"/>
              </w:rPr>
              <w:t>规定值及允许偏差</w:t>
            </w:r>
          </w:p>
        </w:tc>
      </w:tr>
      <w:tr w14:paraId="38795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14:paraId="283914F6">
            <w:pPr>
              <w:spacing w:line="440" w:lineRule="exact"/>
              <w:rPr>
                <w:rFonts w:hint="eastAsia" w:hAnsi="宋体" w:cs="宋体"/>
                <w:color w:val="auto"/>
                <w:szCs w:val="21"/>
                <w:highlight w:val="none"/>
              </w:rPr>
            </w:pPr>
            <w:r>
              <w:rPr>
                <w:rFonts w:hint="eastAsia" w:hAnsi="宋体" w:cs="宋体"/>
                <w:color w:val="auto"/>
                <w:szCs w:val="21"/>
                <w:highlight w:val="none"/>
              </w:rPr>
              <w:t>位置</w:t>
            </w:r>
          </w:p>
        </w:tc>
        <w:tc>
          <w:tcPr>
            <w:tcW w:w="7846" w:type="dxa"/>
          </w:tcPr>
          <w:p w14:paraId="64254C5E">
            <w:pPr>
              <w:spacing w:line="440" w:lineRule="exact"/>
              <w:rPr>
                <w:rFonts w:hint="eastAsia" w:hAnsi="宋体" w:cs="宋体"/>
                <w:color w:val="auto"/>
                <w:szCs w:val="21"/>
                <w:highlight w:val="none"/>
              </w:rPr>
            </w:pPr>
            <w:r>
              <w:rPr>
                <w:rFonts w:hint="eastAsia" w:hAnsi="宋体" w:cs="宋体"/>
                <w:color w:val="auto"/>
                <w:szCs w:val="21"/>
                <w:highlight w:val="none"/>
              </w:rPr>
              <w:t>设置盲道的人行道宽度不宜小于3500mm ；</w:t>
            </w:r>
          </w:p>
          <w:p w14:paraId="45E7F501">
            <w:pPr>
              <w:spacing w:line="440" w:lineRule="exact"/>
              <w:rPr>
                <w:rFonts w:hint="eastAsia" w:hAnsi="宋体" w:cs="宋体"/>
                <w:color w:val="auto"/>
                <w:szCs w:val="21"/>
                <w:highlight w:val="none"/>
              </w:rPr>
            </w:pPr>
            <w:r>
              <w:rPr>
                <w:rFonts w:hint="eastAsia" w:hAnsi="宋体" w:cs="宋体"/>
                <w:color w:val="auto"/>
                <w:szCs w:val="21"/>
                <w:highlight w:val="none"/>
              </w:rPr>
              <w:t>避开各类地面障碍物并距人行道边线250</w:t>
            </w:r>
            <w:r>
              <w:rPr>
                <w:rFonts w:hint="eastAsia" w:hAnsi="宋体" w:cs="宋体"/>
                <w:color w:val="auto"/>
                <w:szCs w:val="21"/>
                <w:highlight w:val="none"/>
                <w:vertAlign w:val="subscript"/>
              </w:rPr>
              <w:t>~</w:t>
            </w:r>
            <w:r>
              <w:rPr>
                <w:rFonts w:hint="eastAsia" w:hAnsi="宋体" w:cs="宋体"/>
                <w:color w:val="auto"/>
                <w:szCs w:val="21"/>
                <w:highlight w:val="none"/>
              </w:rPr>
              <w:t>600mm；</w:t>
            </w:r>
          </w:p>
          <w:p w14:paraId="76EC087D">
            <w:pPr>
              <w:spacing w:line="440" w:lineRule="exact"/>
              <w:rPr>
                <w:rFonts w:hint="eastAsia" w:hAnsi="宋体" w:cs="宋体"/>
                <w:color w:val="auto"/>
                <w:szCs w:val="21"/>
                <w:highlight w:val="none"/>
              </w:rPr>
            </w:pPr>
            <w:r>
              <w:rPr>
                <w:rFonts w:hint="eastAsia" w:hAnsi="宋体" w:cs="宋体"/>
                <w:color w:val="auto"/>
                <w:szCs w:val="21"/>
                <w:highlight w:val="none"/>
              </w:rPr>
              <w:t>盲道中应无障碍物，检查井盖框高低差不超过10mm</w:t>
            </w:r>
          </w:p>
        </w:tc>
      </w:tr>
      <w:tr w14:paraId="3DEC9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14:paraId="49259B7D">
            <w:pPr>
              <w:spacing w:line="440" w:lineRule="exact"/>
              <w:rPr>
                <w:rFonts w:hint="eastAsia" w:hAnsi="宋体" w:cs="宋体"/>
                <w:color w:val="auto"/>
                <w:szCs w:val="21"/>
                <w:highlight w:val="none"/>
              </w:rPr>
            </w:pPr>
            <w:r>
              <w:rPr>
                <w:rFonts w:hint="eastAsia" w:hAnsi="宋体" w:cs="宋体"/>
                <w:color w:val="auto"/>
                <w:szCs w:val="21"/>
                <w:highlight w:val="none"/>
              </w:rPr>
              <w:t>宽度</w:t>
            </w:r>
          </w:p>
        </w:tc>
        <w:tc>
          <w:tcPr>
            <w:tcW w:w="7846" w:type="dxa"/>
          </w:tcPr>
          <w:p w14:paraId="19D6E393">
            <w:pPr>
              <w:spacing w:line="440" w:lineRule="exact"/>
              <w:rPr>
                <w:rFonts w:hint="eastAsia" w:hAnsi="宋体" w:cs="宋体"/>
                <w:color w:val="auto"/>
                <w:szCs w:val="21"/>
                <w:highlight w:val="none"/>
              </w:rPr>
            </w:pPr>
            <w:r>
              <w:rPr>
                <w:rFonts w:hint="eastAsia" w:hAnsi="宋体" w:cs="宋体"/>
                <w:color w:val="auto"/>
                <w:szCs w:val="21"/>
                <w:highlight w:val="none"/>
              </w:rPr>
              <w:t>人行道设盲道宽度宜为300～600mm；</w:t>
            </w:r>
          </w:p>
          <w:p w14:paraId="73035188">
            <w:pPr>
              <w:spacing w:line="440" w:lineRule="exact"/>
              <w:rPr>
                <w:rFonts w:hint="eastAsia" w:hAnsi="宋体" w:cs="宋体"/>
                <w:color w:val="auto"/>
                <w:szCs w:val="21"/>
                <w:highlight w:val="none"/>
              </w:rPr>
            </w:pPr>
            <w:r>
              <w:rPr>
                <w:rFonts w:hint="eastAsia" w:hAnsi="宋体" w:cs="宋体"/>
                <w:color w:val="auto"/>
                <w:szCs w:val="21"/>
                <w:highlight w:val="none"/>
              </w:rPr>
              <w:t>人行道转弯处的全宽式无障碍物坡道形式，设置提示盲道，宽度应大于行进盲道的宽度</w:t>
            </w:r>
          </w:p>
        </w:tc>
      </w:tr>
    </w:tbl>
    <w:p w14:paraId="27257CD4">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（5）无障碍坡道</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2"/>
        <w:gridCol w:w="7846"/>
      </w:tblGrid>
      <w:tr w14:paraId="50B68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tcPr>
          <w:p w14:paraId="7E6EEEBA">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846" w:type="dxa"/>
          </w:tcPr>
          <w:p w14:paraId="7EA5B27A">
            <w:pPr>
              <w:spacing w:line="440" w:lineRule="exact"/>
              <w:rPr>
                <w:rFonts w:hint="eastAsia" w:hAnsi="宋体" w:cs="宋体"/>
                <w:color w:val="auto"/>
                <w:szCs w:val="21"/>
                <w:highlight w:val="none"/>
              </w:rPr>
            </w:pPr>
            <w:r>
              <w:rPr>
                <w:rFonts w:hint="eastAsia" w:hAnsi="宋体" w:cs="宋体"/>
                <w:color w:val="auto"/>
                <w:szCs w:val="21"/>
                <w:highlight w:val="none"/>
              </w:rPr>
              <w:t>规定值及允许偏差</w:t>
            </w:r>
          </w:p>
        </w:tc>
      </w:tr>
      <w:tr w14:paraId="399E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1442" w:type="dxa"/>
            <w:vAlign w:val="center"/>
          </w:tcPr>
          <w:p w14:paraId="1C317E69">
            <w:pPr>
              <w:spacing w:line="440" w:lineRule="exact"/>
              <w:rPr>
                <w:rFonts w:hint="eastAsia" w:hAnsi="宋体" w:cs="宋体"/>
                <w:color w:val="auto"/>
                <w:szCs w:val="21"/>
                <w:highlight w:val="none"/>
              </w:rPr>
            </w:pPr>
            <w:r>
              <w:rPr>
                <w:rFonts w:hint="eastAsia" w:hAnsi="宋体" w:cs="宋体"/>
                <w:color w:val="auto"/>
                <w:szCs w:val="21"/>
                <w:highlight w:val="none"/>
              </w:rPr>
              <w:t>坡度</w:t>
            </w:r>
          </w:p>
        </w:tc>
        <w:tc>
          <w:tcPr>
            <w:tcW w:w="7846" w:type="dxa"/>
          </w:tcPr>
          <w:p w14:paraId="1789870E">
            <w:pPr>
              <w:spacing w:line="440" w:lineRule="exact"/>
              <w:rPr>
                <w:rFonts w:hint="eastAsia" w:hAnsi="宋体" w:cs="宋体"/>
                <w:color w:val="auto"/>
                <w:szCs w:val="21"/>
                <w:highlight w:val="none"/>
              </w:rPr>
            </w:pPr>
            <w:r>
              <w:rPr>
                <w:rFonts w:hint="eastAsia" w:hAnsi="宋体" w:cs="宋体"/>
                <w:color w:val="auto"/>
                <w:szCs w:val="21"/>
                <w:highlight w:val="none"/>
              </w:rPr>
              <w:t>缘石坡道正面坡、两面坡的坡度不得大于1：12；</w:t>
            </w:r>
          </w:p>
          <w:p w14:paraId="69A42D5F">
            <w:pPr>
              <w:spacing w:line="440" w:lineRule="exact"/>
              <w:rPr>
                <w:rFonts w:hint="eastAsia" w:hAnsi="宋体" w:cs="宋体"/>
                <w:color w:val="auto"/>
                <w:szCs w:val="21"/>
                <w:highlight w:val="none"/>
              </w:rPr>
            </w:pPr>
            <w:r>
              <w:rPr>
                <w:rFonts w:hint="eastAsia" w:hAnsi="宋体" w:cs="宋体"/>
                <w:color w:val="auto"/>
                <w:szCs w:val="21"/>
                <w:highlight w:val="none"/>
              </w:rPr>
              <w:t>缓坡道正面坡的坡度不得大于1：20；</w:t>
            </w:r>
          </w:p>
        </w:tc>
      </w:tr>
      <w:tr w14:paraId="42BD4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1442" w:type="dxa"/>
            <w:vAlign w:val="center"/>
          </w:tcPr>
          <w:p w14:paraId="35527A6B">
            <w:pPr>
              <w:spacing w:line="440" w:lineRule="exact"/>
              <w:rPr>
                <w:rFonts w:hint="eastAsia" w:hAnsi="宋体" w:cs="宋体"/>
                <w:color w:val="auto"/>
                <w:szCs w:val="21"/>
                <w:highlight w:val="none"/>
              </w:rPr>
            </w:pPr>
            <w:r>
              <w:rPr>
                <w:rFonts w:hint="eastAsia" w:hAnsi="宋体" w:cs="宋体"/>
                <w:color w:val="auto"/>
                <w:szCs w:val="21"/>
                <w:highlight w:val="none"/>
              </w:rPr>
              <w:t>高度</w:t>
            </w:r>
          </w:p>
        </w:tc>
        <w:tc>
          <w:tcPr>
            <w:tcW w:w="7846" w:type="dxa"/>
          </w:tcPr>
          <w:p w14:paraId="172B02FF">
            <w:pPr>
              <w:spacing w:line="440" w:lineRule="exact"/>
              <w:rPr>
                <w:rFonts w:hint="eastAsia" w:hAnsi="宋体" w:cs="宋体"/>
                <w:color w:val="auto"/>
                <w:szCs w:val="21"/>
                <w:highlight w:val="none"/>
              </w:rPr>
            </w:pPr>
            <w:r>
              <w:rPr>
                <w:rFonts w:hint="eastAsia" w:hAnsi="宋体" w:cs="宋体"/>
                <w:color w:val="auto"/>
                <w:szCs w:val="21"/>
                <w:highlight w:val="none"/>
              </w:rPr>
              <w:t>缘石坡道正面坡中缘石外露高度不得大于20mm</w:t>
            </w:r>
          </w:p>
        </w:tc>
      </w:tr>
      <w:tr w14:paraId="40091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2" w:type="dxa"/>
            <w:vAlign w:val="center"/>
          </w:tcPr>
          <w:p w14:paraId="3865BA1D">
            <w:pPr>
              <w:spacing w:line="440" w:lineRule="exact"/>
              <w:rPr>
                <w:rFonts w:hint="eastAsia" w:hAnsi="宋体" w:cs="宋体"/>
                <w:color w:val="auto"/>
                <w:szCs w:val="21"/>
                <w:highlight w:val="none"/>
              </w:rPr>
            </w:pPr>
            <w:r>
              <w:rPr>
                <w:rFonts w:hint="eastAsia" w:hAnsi="宋体" w:cs="宋体"/>
                <w:color w:val="auto"/>
                <w:szCs w:val="21"/>
                <w:highlight w:val="none"/>
              </w:rPr>
              <w:t>宽度</w:t>
            </w:r>
          </w:p>
        </w:tc>
        <w:tc>
          <w:tcPr>
            <w:tcW w:w="7846" w:type="dxa"/>
          </w:tcPr>
          <w:p w14:paraId="20C8D08E">
            <w:pPr>
              <w:spacing w:line="440" w:lineRule="exact"/>
              <w:rPr>
                <w:rFonts w:hint="eastAsia" w:hAnsi="宋体" w:cs="宋体"/>
                <w:color w:val="auto"/>
                <w:szCs w:val="21"/>
                <w:highlight w:val="none"/>
              </w:rPr>
            </w:pPr>
            <w:r>
              <w:rPr>
                <w:rFonts w:hint="eastAsia" w:hAnsi="宋体" w:cs="宋体"/>
                <w:color w:val="auto"/>
                <w:szCs w:val="21"/>
                <w:highlight w:val="none"/>
              </w:rPr>
              <w:t>三面坡缘石坡道的正面坡道宽度不得小于1200mm；</w:t>
            </w:r>
          </w:p>
          <w:p w14:paraId="3C346BF9">
            <w:pPr>
              <w:spacing w:line="440" w:lineRule="exact"/>
              <w:rPr>
                <w:rFonts w:hint="eastAsia" w:hAnsi="宋体" w:cs="宋体"/>
                <w:color w:val="auto"/>
                <w:szCs w:val="21"/>
                <w:highlight w:val="none"/>
              </w:rPr>
            </w:pPr>
            <w:r>
              <w:rPr>
                <w:rFonts w:hint="eastAsia" w:hAnsi="宋体" w:cs="宋体"/>
                <w:color w:val="auto"/>
                <w:szCs w:val="21"/>
                <w:highlight w:val="none"/>
              </w:rPr>
              <w:t>扇面式缘石坡道的下口宽度不得小于1500mm；</w:t>
            </w:r>
          </w:p>
          <w:p w14:paraId="7FE04F25">
            <w:pPr>
              <w:spacing w:line="440" w:lineRule="exact"/>
              <w:rPr>
                <w:rFonts w:hint="eastAsia" w:hAnsi="宋体" w:cs="宋体"/>
                <w:color w:val="auto"/>
                <w:szCs w:val="21"/>
                <w:highlight w:val="none"/>
              </w:rPr>
            </w:pPr>
            <w:r>
              <w:rPr>
                <w:rFonts w:hint="eastAsia" w:hAnsi="宋体" w:cs="宋体"/>
                <w:color w:val="auto"/>
                <w:szCs w:val="21"/>
                <w:highlight w:val="none"/>
              </w:rPr>
              <w:t>转角处缘石坡道的上口宽度不得小于2000mm；</w:t>
            </w:r>
          </w:p>
          <w:p w14:paraId="75E9C7F7">
            <w:pPr>
              <w:spacing w:line="440" w:lineRule="exact"/>
              <w:rPr>
                <w:rFonts w:hint="eastAsia" w:hAnsi="宋体" w:cs="宋体"/>
                <w:color w:val="auto"/>
                <w:szCs w:val="21"/>
                <w:highlight w:val="none"/>
              </w:rPr>
            </w:pPr>
            <w:r>
              <w:rPr>
                <w:rFonts w:hint="eastAsia" w:hAnsi="宋体" w:cs="宋体"/>
                <w:color w:val="auto"/>
                <w:szCs w:val="21"/>
                <w:highlight w:val="none"/>
              </w:rPr>
              <w:t>其他形式的缘石坡道的宽度不应小于1200mm</w:t>
            </w:r>
          </w:p>
        </w:tc>
      </w:tr>
    </w:tbl>
    <w:p w14:paraId="4E069DFA">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（6）其他路面（大理石、花岗石、彩色预制块、广场砖等）</w:t>
      </w:r>
    </w:p>
    <w:tbl>
      <w:tblPr>
        <w:tblStyle w:val="25"/>
        <w:tblW w:w="92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3"/>
        <w:gridCol w:w="7815"/>
      </w:tblGrid>
      <w:tr w14:paraId="00BCA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tcPr>
          <w:p w14:paraId="597A7746">
            <w:pPr>
              <w:spacing w:line="440" w:lineRule="exact"/>
              <w:rPr>
                <w:rFonts w:hint="eastAsia" w:hAnsi="宋体" w:cs="宋体"/>
                <w:color w:val="auto"/>
                <w:szCs w:val="21"/>
                <w:highlight w:val="none"/>
              </w:rPr>
            </w:pPr>
            <w:r>
              <w:rPr>
                <w:rFonts w:hint="eastAsia" w:hAnsi="宋体" w:cs="宋体"/>
                <w:color w:val="auto"/>
                <w:szCs w:val="21"/>
                <w:highlight w:val="none"/>
              </w:rPr>
              <w:t>项目</w:t>
            </w:r>
          </w:p>
        </w:tc>
        <w:tc>
          <w:tcPr>
            <w:tcW w:w="7815" w:type="dxa"/>
          </w:tcPr>
          <w:p w14:paraId="0C1D8E2B">
            <w:pPr>
              <w:spacing w:line="440" w:lineRule="exact"/>
              <w:rPr>
                <w:rFonts w:hint="eastAsia" w:hAnsi="宋体" w:cs="宋体"/>
                <w:color w:val="auto"/>
                <w:szCs w:val="21"/>
                <w:highlight w:val="none"/>
              </w:rPr>
            </w:pPr>
            <w:r>
              <w:rPr>
                <w:rFonts w:hint="eastAsia" w:hAnsi="宋体" w:cs="宋体"/>
                <w:color w:val="auto"/>
                <w:szCs w:val="21"/>
                <w:highlight w:val="none"/>
              </w:rPr>
              <w:t>规定值及允许偏差</w:t>
            </w:r>
          </w:p>
        </w:tc>
      </w:tr>
      <w:tr w14:paraId="34DA7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21EDFC10">
            <w:pPr>
              <w:spacing w:line="440" w:lineRule="exact"/>
              <w:rPr>
                <w:rFonts w:hint="eastAsia" w:hAnsi="宋体" w:cs="宋体"/>
                <w:color w:val="auto"/>
                <w:szCs w:val="21"/>
                <w:highlight w:val="none"/>
              </w:rPr>
            </w:pPr>
            <w:r>
              <w:rPr>
                <w:rFonts w:hint="eastAsia" w:hAnsi="宋体" w:cs="宋体"/>
                <w:color w:val="auto"/>
                <w:szCs w:val="21"/>
                <w:highlight w:val="none"/>
              </w:rPr>
              <w:t>平整度</w:t>
            </w:r>
          </w:p>
        </w:tc>
        <w:tc>
          <w:tcPr>
            <w:tcW w:w="7815" w:type="dxa"/>
          </w:tcPr>
          <w:p w14:paraId="2D897385">
            <w:pPr>
              <w:spacing w:line="440" w:lineRule="exact"/>
              <w:rPr>
                <w:rFonts w:hint="eastAsia" w:hAnsi="宋体" w:cs="宋体"/>
                <w:color w:val="auto"/>
                <w:szCs w:val="21"/>
                <w:highlight w:val="none"/>
              </w:rPr>
            </w:pPr>
            <w:r>
              <w:rPr>
                <w:rFonts w:hint="eastAsia" w:hAnsi="宋体" w:cs="宋体"/>
                <w:color w:val="auto"/>
                <w:szCs w:val="21"/>
                <w:highlight w:val="none"/>
              </w:rPr>
              <w:t>大理石、花岗石不得超过5mm</w:t>
            </w:r>
          </w:p>
          <w:p w14:paraId="77F36E65">
            <w:pPr>
              <w:spacing w:line="440" w:lineRule="exact"/>
              <w:rPr>
                <w:rFonts w:hint="eastAsia" w:hAnsi="宋体" w:cs="宋体"/>
                <w:color w:val="auto"/>
                <w:szCs w:val="21"/>
                <w:highlight w:val="none"/>
              </w:rPr>
            </w:pPr>
            <w:r>
              <w:rPr>
                <w:rFonts w:hint="eastAsia" w:hAnsi="宋体" w:cs="宋体"/>
                <w:color w:val="auto"/>
                <w:szCs w:val="21"/>
                <w:highlight w:val="none"/>
              </w:rPr>
              <w:t>彩色预制块、广场砖不得超过7mm（3米尺）</w:t>
            </w:r>
          </w:p>
        </w:tc>
      </w:tr>
      <w:tr w14:paraId="48494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1A918DF4">
            <w:pPr>
              <w:spacing w:line="440" w:lineRule="exact"/>
              <w:rPr>
                <w:rFonts w:hint="eastAsia" w:hAnsi="宋体" w:cs="宋体"/>
                <w:color w:val="auto"/>
                <w:szCs w:val="21"/>
                <w:highlight w:val="none"/>
              </w:rPr>
            </w:pPr>
            <w:r>
              <w:rPr>
                <w:rFonts w:hint="eastAsia" w:hAnsi="宋体" w:cs="宋体"/>
                <w:color w:val="auto"/>
                <w:szCs w:val="21"/>
                <w:highlight w:val="none"/>
              </w:rPr>
              <w:t>相邻块高差</w:t>
            </w:r>
          </w:p>
        </w:tc>
        <w:tc>
          <w:tcPr>
            <w:tcW w:w="7815" w:type="dxa"/>
          </w:tcPr>
          <w:p w14:paraId="530C8A61">
            <w:pPr>
              <w:spacing w:line="440" w:lineRule="exact"/>
              <w:rPr>
                <w:rFonts w:hint="eastAsia" w:hAnsi="宋体" w:cs="宋体"/>
                <w:color w:val="auto"/>
                <w:szCs w:val="21"/>
                <w:highlight w:val="none"/>
              </w:rPr>
            </w:pPr>
            <w:r>
              <w:rPr>
                <w:rFonts w:hint="eastAsia" w:hAnsi="宋体" w:cs="宋体"/>
                <w:color w:val="auto"/>
                <w:szCs w:val="21"/>
                <w:highlight w:val="none"/>
              </w:rPr>
              <w:t>大理石、花岗石毛面不得超过2mm</w:t>
            </w:r>
          </w:p>
          <w:p w14:paraId="4B8E13E8">
            <w:pPr>
              <w:spacing w:line="440" w:lineRule="exact"/>
              <w:rPr>
                <w:rFonts w:hint="eastAsia" w:hAnsi="宋体" w:cs="宋体"/>
                <w:color w:val="auto"/>
                <w:szCs w:val="21"/>
                <w:highlight w:val="none"/>
              </w:rPr>
            </w:pPr>
            <w:r>
              <w:rPr>
                <w:rFonts w:hint="eastAsia" w:hAnsi="宋体" w:cs="宋体"/>
                <w:color w:val="auto"/>
                <w:szCs w:val="21"/>
                <w:highlight w:val="none"/>
              </w:rPr>
              <w:t>彩色预制块、广场砖不得超过2mm</w:t>
            </w:r>
          </w:p>
        </w:tc>
      </w:tr>
      <w:tr w14:paraId="16DDF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3" w:type="dxa"/>
            <w:vAlign w:val="center"/>
          </w:tcPr>
          <w:p w14:paraId="69FB605C">
            <w:pPr>
              <w:spacing w:line="440" w:lineRule="exact"/>
              <w:rPr>
                <w:rFonts w:hint="eastAsia" w:hAnsi="宋体" w:cs="宋体"/>
                <w:color w:val="auto"/>
                <w:szCs w:val="21"/>
                <w:highlight w:val="none"/>
              </w:rPr>
            </w:pPr>
            <w:r>
              <w:rPr>
                <w:rFonts w:hint="eastAsia" w:hAnsi="宋体" w:cs="宋体"/>
                <w:color w:val="auto"/>
                <w:szCs w:val="21"/>
                <w:highlight w:val="none"/>
              </w:rPr>
              <w:t>路框差</w:t>
            </w:r>
          </w:p>
        </w:tc>
        <w:tc>
          <w:tcPr>
            <w:tcW w:w="7815" w:type="dxa"/>
          </w:tcPr>
          <w:p w14:paraId="0A36724B">
            <w:pPr>
              <w:spacing w:line="440" w:lineRule="exact"/>
              <w:rPr>
                <w:rFonts w:hint="eastAsia" w:hAnsi="宋体" w:cs="宋体"/>
                <w:color w:val="auto"/>
                <w:szCs w:val="21"/>
                <w:highlight w:val="none"/>
              </w:rPr>
            </w:pPr>
            <w:r>
              <w:rPr>
                <w:rFonts w:hint="eastAsia" w:hAnsi="宋体" w:cs="宋体"/>
                <w:color w:val="auto"/>
                <w:szCs w:val="21"/>
                <w:highlight w:val="none"/>
              </w:rPr>
              <w:t>大理石、花岗石2mm</w:t>
            </w:r>
          </w:p>
          <w:p w14:paraId="56115928">
            <w:pPr>
              <w:spacing w:line="440" w:lineRule="exact"/>
              <w:rPr>
                <w:rFonts w:hint="eastAsia" w:hAnsi="宋体" w:cs="宋体"/>
                <w:color w:val="auto"/>
                <w:szCs w:val="21"/>
                <w:highlight w:val="none"/>
              </w:rPr>
            </w:pPr>
            <w:r>
              <w:rPr>
                <w:rFonts w:hint="eastAsia" w:hAnsi="宋体" w:cs="宋体"/>
                <w:color w:val="auto"/>
                <w:szCs w:val="21"/>
                <w:highlight w:val="none"/>
              </w:rPr>
              <w:t>彩色预制块、广场砖3mm</w:t>
            </w:r>
          </w:p>
        </w:tc>
      </w:tr>
      <w:tr w14:paraId="02681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473" w:type="dxa"/>
            <w:vAlign w:val="center"/>
          </w:tcPr>
          <w:p w14:paraId="4E9A1B6D">
            <w:pPr>
              <w:spacing w:line="440" w:lineRule="exact"/>
              <w:rPr>
                <w:rFonts w:hint="eastAsia" w:hAnsi="宋体" w:cs="宋体"/>
                <w:color w:val="auto"/>
                <w:szCs w:val="21"/>
                <w:highlight w:val="none"/>
              </w:rPr>
            </w:pPr>
            <w:r>
              <w:rPr>
                <w:rFonts w:hint="eastAsia" w:hAnsi="宋体" w:cs="宋体"/>
                <w:color w:val="auto"/>
                <w:szCs w:val="21"/>
                <w:highlight w:val="none"/>
              </w:rPr>
              <w:t>缝宽误差</w:t>
            </w:r>
          </w:p>
        </w:tc>
        <w:tc>
          <w:tcPr>
            <w:tcW w:w="7815" w:type="dxa"/>
          </w:tcPr>
          <w:p w14:paraId="401B88C0">
            <w:pPr>
              <w:spacing w:line="440" w:lineRule="exact"/>
              <w:rPr>
                <w:rFonts w:hint="eastAsia" w:hAnsi="宋体" w:cs="宋体"/>
                <w:color w:val="auto"/>
                <w:szCs w:val="21"/>
                <w:highlight w:val="none"/>
              </w:rPr>
            </w:pPr>
            <w:r>
              <w:rPr>
                <w:rFonts w:hint="eastAsia" w:hAnsi="宋体" w:cs="宋体"/>
                <w:color w:val="auto"/>
                <w:szCs w:val="21"/>
                <w:highlight w:val="none"/>
              </w:rPr>
              <w:t>大理石、花岗石±2mm</w:t>
            </w:r>
          </w:p>
          <w:p w14:paraId="47B5385F">
            <w:pPr>
              <w:spacing w:line="440" w:lineRule="exact"/>
              <w:rPr>
                <w:rFonts w:hint="eastAsia" w:hAnsi="宋体" w:cs="宋体"/>
                <w:color w:val="auto"/>
                <w:szCs w:val="21"/>
                <w:highlight w:val="none"/>
              </w:rPr>
            </w:pPr>
            <w:r>
              <w:rPr>
                <w:rFonts w:hint="eastAsia" w:hAnsi="宋体" w:cs="宋体"/>
                <w:color w:val="auto"/>
                <w:szCs w:val="21"/>
                <w:highlight w:val="none"/>
              </w:rPr>
              <w:t>彩色预制块、广场砖±2mm（10米线）</w:t>
            </w:r>
          </w:p>
        </w:tc>
      </w:tr>
      <w:tr w14:paraId="094EA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jc w:val="center"/>
        </w:trPr>
        <w:tc>
          <w:tcPr>
            <w:tcW w:w="1473" w:type="dxa"/>
            <w:vAlign w:val="center"/>
          </w:tcPr>
          <w:p w14:paraId="26D2D447">
            <w:pPr>
              <w:spacing w:line="440" w:lineRule="exact"/>
              <w:rPr>
                <w:rFonts w:hint="eastAsia" w:hAnsi="宋体" w:cs="宋体"/>
                <w:color w:val="auto"/>
                <w:szCs w:val="21"/>
                <w:highlight w:val="none"/>
              </w:rPr>
            </w:pPr>
            <w:r>
              <w:rPr>
                <w:rFonts w:hint="eastAsia" w:hAnsi="宋体" w:cs="宋体"/>
                <w:color w:val="auto"/>
                <w:szCs w:val="21"/>
                <w:highlight w:val="none"/>
              </w:rPr>
              <w:t>纵横缝线</w:t>
            </w:r>
          </w:p>
          <w:p w14:paraId="37A316E5">
            <w:pPr>
              <w:spacing w:line="440" w:lineRule="exact"/>
              <w:rPr>
                <w:rFonts w:hint="eastAsia" w:hAnsi="宋体" w:cs="宋体"/>
                <w:color w:val="auto"/>
                <w:szCs w:val="21"/>
                <w:highlight w:val="none"/>
              </w:rPr>
            </w:pPr>
            <w:r>
              <w:rPr>
                <w:rFonts w:hint="eastAsia" w:hAnsi="宋体" w:cs="宋体"/>
                <w:color w:val="auto"/>
                <w:szCs w:val="21"/>
                <w:highlight w:val="none"/>
              </w:rPr>
              <w:t>中心偏差</w:t>
            </w:r>
          </w:p>
        </w:tc>
        <w:tc>
          <w:tcPr>
            <w:tcW w:w="7815" w:type="dxa"/>
          </w:tcPr>
          <w:p w14:paraId="5A189105">
            <w:pPr>
              <w:spacing w:line="440" w:lineRule="exact"/>
              <w:rPr>
                <w:rFonts w:hint="eastAsia" w:hAnsi="宋体" w:cs="宋体"/>
                <w:color w:val="auto"/>
                <w:szCs w:val="21"/>
                <w:highlight w:val="none"/>
              </w:rPr>
            </w:pPr>
            <w:r>
              <w:rPr>
                <w:rFonts w:hint="eastAsia" w:hAnsi="宋体" w:cs="宋体"/>
                <w:color w:val="auto"/>
                <w:szCs w:val="21"/>
                <w:highlight w:val="none"/>
              </w:rPr>
              <w:t>大理石、花岗石±1mm</w:t>
            </w:r>
          </w:p>
          <w:p w14:paraId="1B72E2D2">
            <w:pPr>
              <w:spacing w:line="440" w:lineRule="exact"/>
              <w:rPr>
                <w:rFonts w:hint="eastAsia" w:hAnsi="宋体" w:cs="宋体"/>
                <w:color w:val="auto"/>
                <w:szCs w:val="21"/>
                <w:highlight w:val="none"/>
              </w:rPr>
            </w:pPr>
            <w:r>
              <w:rPr>
                <w:rFonts w:hint="eastAsia" w:hAnsi="宋体" w:cs="宋体"/>
                <w:color w:val="auto"/>
                <w:szCs w:val="21"/>
                <w:highlight w:val="none"/>
              </w:rPr>
              <w:t>彩色预制块、广场砖±2mm（10米线）</w:t>
            </w:r>
          </w:p>
        </w:tc>
      </w:tr>
    </w:tbl>
    <w:p w14:paraId="12667262">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3、预制块铺装车行道路面应符合人行道维修要求。</w:t>
      </w:r>
    </w:p>
    <w:p w14:paraId="54A14A4D">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4、沥青、水泥、砂土等结构的人行道维修应符合相同材质车行道的要求。</w:t>
      </w:r>
    </w:p>
    <w:p w14:paraId="2A0E42EB">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5、修补路面（含人行道板）的结构强度不得低于原路面，结构、材质、颜色、功能、预制块尺寸等，均应与原路衔接协调。</w:t>
      </w:r>
    </w:p>
    <w:p w14:paraId="0B027F67">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6、沥青路面不得用水泥混凝土修补；水泥混凝土路面不得用沥青混合料修补。</w:t>
      </w:r>
    </w:p>
    <w:p w14:paraId="2B41E090">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7、道路养护维修选用材料应符合相关标准的规定，并有质量合格证明；防滑性能需满足通行需要，不得采用光滑面材料。</w:t>
      </w:r>
    </w:p>
    <w:p w14:paraId="3DC908EA">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8、提倡采用成熟的、符合生态环保要求的新工艺、新材料、新机械。新材料、新工艺首次应用前，需经专业部门评估审查，通过后才能推广采用。</w:t>
      </w:r>
    </w:p>
    <w:p w14:paraId="2420C95D">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9、修补工序要紧密衔接，不得间断或拖延。</w:t>
      </w:r>
    </w:p>
    <w:p w14:paraId="7D5F74E4">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10、车行道修补应放线、切边，修补形状规矩美观。</w:t>
      </w:r>
    </w:p>
    <w:p w14:paraId="1B8FF029">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11、受气候影响暂无法实施路面修复的车行道，应立即进行临时硬化。</w:t>
      </w:r>
    </w:p>
    <w:p w14:paraId="4848028D">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12、沥青路面摊铺面积大于500平方米时，宜采用摊铺机铺筑。</w:t>
      </w:r>
    </w:p>
    <w:p w14:paraId="44D9C3E7">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13、当顺向掘路宽度达到全路二分之一时，路面层应全幅修复。</w:t>
      </w:r>
    </w:p>
    <w:p w14:paraId="2CF58BB0">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14、掘路宽度应满足压实机械宽度要求，当宽度不适宜时，修复前应对路基进行加固处理。</w:t>
      </w:r>
    </w:p>
    <w:p w14:paraId="6C4E1B3E">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15、掘路开挖断面严禁上窄下宽，回填修复前应去除松动及掏空部分。</w:t>
      </w:r>
    </w:p>
    <w:p w14:paraId="0402AB45">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16、道路两侧非路口的人行道出入口，标高应与人行道一致。</w:t>
      </w:r>
    </w:p>
    <w:p w14:paraId="5D0BDA73">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17、桥面维修铣刨、切割，深度不得大于路面混凝土深度，不得损坏防水层。</w:t>
      </w:r>
    </w:p>
    <w:p w14:paraId="6ACB59D2">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18、不得擅自在钢筋混凝土、预应力混凝土构件上钻孔打眼及架设其他构件。</w:t>
      </w:r>
    </w:p>
    <w:p w14:paraId="70B94A0B">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19、桥梁、挡土墙、堤防等构筑物上的草木须及时清除。</w:t>
      </w:r>
    </w:p>
    <w:p w14:paraId="1C91DCBD">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20、设施加固、改扩建工程应依据新建工程的质量与验收标准进行，并及时完善、移交竣工验收资料。</w:t>
      </w:r>
    </w:p>
    <w:p w14:paraId="4309630B">
      <w:pPr>
        <w:spacing w:line="440" w:lineRule="exact"/>
        <w:rPr>
          <w:rFonts w:hint="eastAsia" w:hAnsi="宋体" w:cs="宋体"/>
          <w:b/>
          <w:bCs/>
          <w:color w:val="auto"/>
          <w:szCs w:val="21"/>
          <w:highlight w:val="none"/>
        </w:rPr>
      </w:pPr>
      <w:r>
        <w:rPr>
          <w:rFonts w:hint="eastAsia" w:hAnsi="宋体" w:cs="宋体"/>
          <w:b/>
          <w:bCs/>
          <w:color w:val="auto"/>
          <w:szCs w:val="21"/>
          <w:highlight w:val="none"/>
        </w:rPr>
        <w:t>五、安全与文明施工</w:t>
      </w:r>
    </w:p>
    <w:p w14:paraId="3E00F7DC">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1、养护作业人员上岗前必须经过岗位安全教育和技术培训。</w:t>
      </w:r>
    </w:p>
    <w:p w14:paraId="1D29CE03">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2、养护管理、作业人员施工时必须穿戴统一制作的具有反光功能的安全标志服和安全帽。</w:t>
      </w:r>
    </w:p>
    <w:p w14:paraId="143A5CB2">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3、养护作业应根据施工要求，采取局部封闭、半幅封闭或全路封闭等形式。</w:t>
      </w:r>
    </w:p>
    <w:p w14:paraId="6D11269C">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4、无法封闭围挡施工时，必须设专职现场交通督导员，负责安全巡视、指挥施工机械和车辆疏导工作。</w:t>
      </w:r>
    </w:p>
    <w:p w14:paraId="100EF8FB">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5、施工现场必须采取安全围挡等措施，围挡应连续、整洁、牢固、稳定、醒目，并具备夜间可视功能，兼顾行人通行需要。</w:t>
      </w:r>
    </w:p>
    <w:p w14:paraId="0C6B7849">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6、所有施工作业必须在围挡内进行，施工完成后应及时清理物料、打扫垃圾、拆撤围挡、恢复交通。</w:t>
      </w:r>
    </w:p>
    <w:p w14:paraId="5E72756E">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7、施工现场及围挡区必须设置明显施工标志牌。</w:t>
      </w:r>
    </w:p>
    <w:p w14:paraId="2549701B">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8、实施水泥混凝土、二灰基础等养护工艺时，应做好围挡或警示工作，并定期巡回检查,做好调整工作。</w:t>
      </w:r>
    </w:p>
    <w:p w14:paraId="5D1E5AB6">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9、施工机械、车辆、维修用料应整齐堆放于施工围挡区内，扬尘物料还应注意覆盖。</w:t>
      </w:r>
    </w:p>
    <w:p w14:paraId="088B3880">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10、沥青喷洒作业时，应做好设施遮盖防护工作，不得污染邻接设施。</w:t>
      </w:r>
    </w:p>
    <w:p w14:paraId="75785D12">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11、沥青作业车辆周围应设隔离区，派专人疏导行人、车辆绕行通过。</w:t>
      </w:r>
    </w:p>
    <w:p w14:paraId="57C1D65B">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12、施工垃圾必须集中堆放在围挡区内；现场无法围挡封闭时应日产日清。</w:t>
      </w:r>
    </w:p>
    <w:p w14:paraId="3488E6A4">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13、施工及清运应符合《崇川区大气污染防治条例》的有关规定。施工时应采取洒水降尘等相应措施。</w:t>
      </w:r>
    </w:p>
    <w:p w14:paraId="0005C03D">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14、实施路面铣刨工艺，应根据清扫、运输能力分段施工，及时将残料和粉尘清除干净，并在未铺路前洒水降尘。</w:t>
      </w:r>
    </w:p>
    <w:p w14:paraId="3F283987">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15、施工噪声应符合GB 12523-2011的规定。</w:t>
      </w:r>
    </w:p>
    <w:p w14:paraId="0602D5B7">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16、施工应加强市政公用管线设施保护，发生破坏必须及时向有关主管部门报告。</w:t>
      </w:r>
    </w:p>
    <w:p w14:paraId="0738FF69">
      <w:pPr>
        <w:spacing w:line="440" w:lineRule="exact"/>
        <w:ind w:firstLine="420" w:firstLineChars="200"/>
        <w:rPr>
          <w:rFonts w:hint="eastAsia" w:hAnsi="宋体" w:cs="宋体"/>
          <w:color w:val="auto"/>
          <w:szCs w:val="21"/>
          <w:highlight w:val="none"/>
        </w:rPr>
      </w:pPr>
      <w:r>
        <w:rPr>
          <w:rFonts w:hint="eastAsia" w:hAnsi="宋体" w:cs="宋体"/>
          <w:color w:val="auto"/>
          <w:szCs w:val="21"/>
          <w:highlight w:val="none"/>
        </w:rPr>
        <w:t>17、发生施工安全事故，应在有序组织人员抢险救援的同时，按规定及时向养护施工主管部门、安全主管部门报告。</w:t>
      </w:r>
    </w:p>
    <w:p w14:paraId="360A35CD">
      <w:pPr>
        <w:spacing w:line="440" w:lineRule="exact"/>
        <w:ind w:firstLine="420" w:firstLineChars="200"/>
        <w:rPr>
          <w:rFonts w:hint="eastAsia" w:hAnsi="宋体" w:cs="宋体"/>
          <w:color w:val="auto"/>
          <w:szCs w:val="21"/>
          <w:highlight w:val="none"/>
        </w:rPr>
      </w:pPr>
    </w:p>
    <w:p w14:paraId="617C05FB">
      <w:pPr>
        <w:keepNext/>
        <w:keepLines/>
        <w:spacing w:line="360" w:lineRule="auto"/>
        <w:outlineLvl w:val="2"/>
        <w:rPr>
          <w:rFonts w:hint="eastAsia" w:ascii="宋体" w:hAnsi="宋体" w:cs="Calibri"/>
          <w:b/>
          <w:color w:val="auto"/>
          <w:szCs w:val="21"/>
          <w:highlight w:val="none"/>
        </w:rPr>
      </w:pPr>
      <w:r>
        <w:rPr>
          <w:rFonts w:hint="eastAsia" w:ascii="宋体" w:hAnsi="宋体" w:cs="宋体"/>
          <w:b/>
          <w:bCs/>
          <w:color w:val="auto"/>
          <w:sz w:val="36"/>
          <w:highlight w:val="none"/>
        </w:rPr>
        <w:br w:type="page"/>
      </w:r>
      <w:r>
        <w:rPr>
          <w:rFonts w:hint="eastAsia" w:ascii="宋体" w:hAnsi="宋体" w:cs="宋体"/>
          <w:b/>
          <w:bCs/>
          <w:color w:val="auto"/>
          <w:sz w:val="36"/>
          <w:highlight w:val="none"/>
        </w:rPr>
        <w:t>附件2：崇川区市政设施巡查考核评价标准</w:t>
      </w:r>
    </w:p>
    <w:p w14:paraId="5E5820FD">
      <w:pPr>
        <w:spacing w:line="360" w:lineRule="auto"/>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一、总则</w:t>
      </w:r>
    </w:p>
    <w:p w14:paraId="63B6619D">
      <w:pPr>
        <w:spacing w:line="360" w:lineRule="auto"/>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为规范崇川区城市道路、桥梁及其附属设施巡查工作，依据</w:t>
      </w:r>
      <w:r>
        <w:rPr>
          <w:rFonts w:ascii="宋体" w:hAnsi="宋体" w:cs="Calibri"/>
          <w:color w:val="auto"/>
          <w:szCs w:val="21"/>
          <w:highlight w:val="none"/>
        </w:rPr>
        <w:t>《城市道路管理条例》</w:t>
      </w:r>
      <w:r>
        <w:rPr>
          <w:rFonts w:hint="eastAsia" w:ascii="宋体" w:hAnsi="宋体" w:cs="Calibri"/>
          <w:color w:val="auto"/>
          <w:szCs w:val="21"/>
          <w:highlight w:val="none"/>
        </w:rPr>
        <w:t>、《城镇道路养护技术规范》CJJ36-2016、《城市桥梁养护技术标准》</w:t>
      </w:r>
      <w:r>
        <w:rPr>
          <w:rFonts w:ascii="宋体" w:hAnsi="宋体" w:cs="Calibri"/>
          <w:color w:val="auto"/>
          <w:szCs w:val="21"/>
          <w:highlight w:val="none"/>
        </w:rPr>
        <w:t>CJJ</w:t>
      </w:r>
      <w:r>
        <w:rPr>
          <w:rFonts w:hint="eastAsia" w:ascii="宋体" w:hAnsi="宋体" w:cs="Calibri"/>
          <w:color w:val="auto"/>
          <w:szCs w:val="21"/>
          <w:highlight w:val="none"/>
        </w:rPr>
        <w:t>99</w:t>
      </w:r>
      <w:r>
        <w:rPr>
          <w:rFonts w:ascii="宋体" w:hAnsi="宋体" w:cs="Calibri"/>
          <w:color w:val="auto"/>
          <w:szCs w:val="21"/>
          <w:highlight w:val="none"/>
        </w:rPr>
        <w:t>-201</w:t>
      </w:r>
      <w:r>
        <w:rPr>
          <w:rFonts w:hint="eastAsia" w:ascii="宋体" w:hAnsi="宋体" w:cs="Calibri"/>
          <w:color w:val="auto"/>
          <w:szCs w:val="21"/>
          <w:highlight w:val="none"/>
        </w:rPr>
        <w:t>7等规定，结合崇川区实际，特制定本考核办法。本办法适用于崇川区市政设施巡查工作的检查与考核。</w:t>
      </w:r>
    </w:p>
    <w:p w14:paraId="0E943939">
      <w:pPr>
        <w:spacing w:line="360" w:lineRule="auto"/>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二、考核工作组织</w:t>
      </w:r>
    </w:p>
    <w:p w14:paraId="0DA3C99F">
      <w:pPr>
        <w:spacing w:line="360" w:lineRule="auto"/>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1、考核工作由南通市崇川区城市工程建设管理中心（发包人）组织，各巡查单位（承包人）均应接受考核。</w:t>
      </w:r>
    </w:p>
    <w:p w14:paraId="2D12EB07">
      <w:pPr>
        <w:spacing w:line="360" w:lineRule="auto"/>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2、考核小组由崇川区市政和绿化管理局、南通市崇川区城市工程建设管理中心及监理单位代表组成。</w:t>
      </w:r>
    </w:p>
    <w:p w14:paraId="745BB6C2">
      <w:pPr>
        <w:spacing w:line="360" w:lineRule="auto"/>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3、按每2个月考核一次，总分100分。</w:t>
      </w:r>
    </w:p>
    <w:p w14:paraId="770ECAAA">
      <w:pPr>
        <w:spacing w:line="360" w:lineRule="auto"/>
        <w:ind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4、考核方式包括：日常考核与集中考核两部分。日常考核以发包人日常检查为主，由发包人对照考核评价标准对各标段巡查情况进行加分或扣分；集中考核由考核小组选取5 个路段，按考核评价标准进行加分或扣分。</w:t>
      </w:r>
    </w:p>
    <w:p w14:paraId="30AC1DE4">
      <w:pPr>
        <w:spacing w:line="360" w:lineRule="auto"/>
        <w:ind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三、考核评价标准</w:t>
      </w:r>
    </w:p>
    <w:tbl>
      <w:tblPr>
        <w:tblStyle w:val="25"/>
        <w:tblW w:w="9673" w:type="dxa"/>
        <w:jc w:val="center"/>
        <w:tblBorders>
          <w:top w:val="none" w:color="auto" w:sz="2" w:space="0"/>
          <w:left w:val="none" w:color="auto" w:sz="2" w:space="0"/>
          <w:bottom w:val="none" w:color="auto" w:sz="2" w:space="0"/>
          <w:right w:val="none" w:color="auto" w:sz="2" w:space="0"/>
          <w:insideH w:val="none" w:color="auto" w:sz="2" w:space="0"/>
          <w:insideV w:val="none" w:color="auto" w:sz="2" w:space="0"/>
        </w:tblBorders>
        <w:tblLayout w:type="autofit"/>
        <w:tblCellMar>
          <w:top w:w="0" w:type="dxa"/>
          <w:left w:w="108" w:type="dxa"/>
          <w:bottom w:w="0" w:type="dxa"/>
          <w:right w:w="108" w:type="dxa"/>
        </w:tblCellMar>
      </w:tblPr>
      <w:tblGrid>
        <w:gridCol w:w="1087"/>
        <w:gridCol w:w="710"/>
        <w:gridCol w:w="4191"/>
        <w:gridCol w:w="3685"/>
      </w:tblGrid>
      <w:tr w14:paraId="3FB17ACD">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768"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3744FF7A">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分类</w:t>
            </w:r>
          </w:p>
        </w:tc>
        <w:tc>
          <w:tcPr>
            <w:tcW w:w="710" w:type="dxa"/>
            <w:tcBorders>
              <w:top w:val="single" w:color="auto" w:sz="4" w:space="0"/>
              <w:left w:val="nil"/>
              <w:bottom w:val="single" w:color="auto" w:sz="4" w:space="0"/>
              <w:right w:val="single" w:color="auto" w:sz="4" w:space="0"/>
            </w:tcBorders>
            <w:vAlign w:val="center"/>
          </w:tcPr>
          <w:p w14:paraId="7F2E5357">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条目</w:t>
            </w:r>
          </w:p>
        </w:tc>
        <w:tc>
          <w:tcPr>
            <w:tcW w:w="4191" w:type="dxa"/>
            <w:tcBorders>
              <w:top w:val="single" w:color="auto" w:sz="4" w:space="0"/>
              <w:left w:val="nil"/>
              <w:bottom w:val="single" w:color="auto" w:sz="4" w:space="0"/>
              <w:right w:val="single" w:color="auto" w:sz="4" w:space="0"/>
            </w:tcBorders>
            <w:vAlign w:val="center"/>
          </w:tcPr>
          <w:p w14:paraId="33B2A2B3">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考核内容及巡查要求</w:t>
            </w:r>
          </w:p>
        </w:tc>
        <w:tc>
          <w:tcPr>
            <w:tcW w:w="3685" w:type="dxa"/>
            <w:tcBorders>
              <w:top w:val="single" w:color="auto" w:sz="4" w:space="0"/>
              <w:left w:val="nil"/>
              <w:bottom w:val="single" w:color="auto" w:sz="4" w:space="0"/>
              <w:right w:val="single" w:color="auto" w:sz="4" w:space="0"/>
            </w:tcBorders>
            <w:vAlign w:val="center"/>
          </w:tcPr>
          <w:p w14:paraId="447DF294">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评分细则</w:t>
            </w:r>
          </w:p>
        </w:tc>
      </w:tr>
      <w:tr w14:paraId="2D45D222">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908"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1338A8A7">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城市桥梁巡查基本要求</w:t>
            </w:r>
          </w:p>
        </w:tc>
        <w:tc>
          <w:tcPr>
            <w:tcW w:w="710" w:type="dxa"/>
            <w:tcBorders>
              <w:top w:val="nil"/>
              <w:left w:val="nil"/>
              <w:bottom w:val="single" w:color="auto" w:sz="4" w:space="0"/>
              <w:right w:val="single" w:color="auto" w:sz="4" w:space="0"/>
            </w:tcBorders>
            <w:vAlign w:val="center"/>
          </w:tcPr>
          <w:p w14:paraId="1717FDBA">
            <w:pPr>
              <w:widowControl/>
              <w:jc w:val="center"/>
              <w:rPr>
                <w:rFonts w:cs="Calibri"/>
                <w:color w:val="auto"/>
                <w:sz w:val="18"/>
                <w:szCs w:val="18"/>
                <w:highlight w:val="none"/>
              </w:rPr>
            </w:pPr>
            <w:r>
              <w:rPr>
                <w:rFonts w:cs="Calibri"/>
                <w:color w:val="auto"/>
                <w:sz w:val="18"/>
                <w:szCs w:val="18"/>
                <w:highlight w:val="none"/>
              </w:rPr>
              <w:t>1</w:t>
            </w:r>
          </w:p>
        </w:tc>
        <w:tc>
          <w:tcPr>
            <w:tcW w:w="4191" w:type="dxa"/>
            <w:tcBorders>
              <w:top w:val="nil"/>
              <w:left w:val="nil"/>
              <w:bottom w:val="single" w:color="auto" w:sz="4" w:space="0"/>
              <w:right w:val="single" w:color="auto" w:sz="4" w:space="0"/>
            </w:tcBorders>
            <w:vAlign w:val="center"/>
          </w:tcPr>
          <w:p w14:paraId="4B8EAAF6">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应按月排定桥梁巡查计划，巡查频次不得低于6日一巡，应对桥梁及桥梁保护区域施工作业情况、限载标志、限高标志、交通标志及其它附属设施等状况进行日常巡检。对桥梁栏杆、桥面铺装、伸缩缝等损坏情况进行记录上报。</w:t>
            </w:r>
          </w:p>
        </w:tc>
        <w:tc>
          <w:tcPr>
            <w:tcW w:w="3685" w:type="dxa"/>
            <w:tcBorders>
              <w:top w:val="nil"/>
              <w:left w:val="nil"/>
              <w:bottom w:val="single" w:color="auto" w:sz="4" w:space="0"/>
              <w:right w:val="single" w:color="auto" w:sz="4" w:space="0"/>
            </w:tcBorders>
            <w:vAlign w:val="center"/>
          </w:tcPr>
          <w:p w14:paraId="1FD01044">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未制定巡查计划的每月扣1分，一座桥梁少巡一次扣</w:t>
            </w:r>
            <w:r>
              <w:rPr>
                <w:rFonts w:ascii="宋体" w:hAnsi="宋体" w:cs="宋体"/>
                <w:color w:val="auto"/>
                <w:sz w:val="18"/>
                <w:szCs w:val="18"/>
                <w:highlight w:val="none"/>
              </w:rPr>
              <w:t>0.2</w:t>
            </w:r>
            <w:r>
              <w:rPr>
                <w:rFonts w:hint="eastAsia" w:ascii="宋体" w:hAnsi="宋体" w:cs="宋体"/>
                <w:color w:val="auto"/>
                <w:sz w:val="18"/>
                <w:szCs w:val="18"/>
                <w:highlight w:val="none"/>
              </w:rPr>
              <w:t>分；对存在的病害与缺陷未记录上报的一处扣0.2分。</w:t>
            </w:r>
          </w:p>
        </w:tc>
      </w:tr>
      <w:tr w14:paraId="5D846E77">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682"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7BB413F4">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城市道路巡查基本要求</w:t>
            </w:r>
          </w:p>
        </w:tc>
        <w:tc>
          <w:tcPr>
            <w:tcW w:w="710" w:type="dxa"/>
            <w:tcBorders>
              <w:top w:val="nil"/>
              <w:left w:val="nil"/>
              <w:bottom w:val="single" w:color="auto" w:sz="4" w:space="0"/>
              <w:right w:val="single" w:color="auto" w:sz="4" w:space="0"/>
            </w:tcBorders>
            <w:vAlign w:val="center"/>
          </w:tcPr>
          <w:p w14:paraId="3D37AB63">
            <w:pPr>
              <w:widowControl/>
              <w:jc w:val="center"/>
              <w:rPr>
                <w:rFonts w:cs="Calibri"/>
                <w:color w:val="auto"/>
                <w:sz w:val="18"/>
                <w:szCs w:val="18"/>
                <w:highlight w:val="none"/>
              </w:rPr>
            </w:pPr>
            <w:r>
              <w:rPr>
                <w:rFonts w:cs="Calibri"/>
                <w:color w:val="auto"/>
                <w:sz w:val="18"/>
                <w:szCs w:val="18"/>
                <w:highlight w:val="none"/>
              </w:rPr>
              <w:t>2</w:t>
            </w:r>
          </w:p>
        </w:tc>
        <w:tc>
          <w:tcPr>
            <w:tcW w:w="4191" w:type="dxa"/>
            <w:tcBorders>
              <w:top w:val="nil"/>
              <w:left w:val="nil"/>
              <w:bottom w:val="single" w:color="auto" w:sz="4" w:space="0"/>
              <w:right w:val="single" w:color="auto" w:sz="4" w:space="0"/>
            </w:tcBorders>
            <w:vAlign w:val="center"/>
          </w:tcPr>
          <w:p w14:paraId="5A9C11C8">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应按月排定道路巡查计划，巡查频次不得低于3日一巡，应对路面外观变化、结构变化、道路施工作业及附属设施等状况进行检查。将巡查结果记录上报，并对道路及附属设施的病害与缺陷类型、规模、位置准确记录。</w:t>
            </w:r>
          </w:p>
        </w:tc>
        <w:tc>
          <w:tcPr>
            <w:tcW w:w="3685" w:type="dxa"/>
            <w:tcBorders>
              <w:top w:val="nil"/>
              <w:left w:val="nil"/>
              <w:bottom w:val="single" w:color="auto" w:sz="4" w:space="0"/>
              <w:right w:val="single" w:color="auto" w:sz="4" w:space="0"/>
            </w:tcBorders>
            <w:vAlign w:val="center"/>
          </w:tcPr>
          <w:p w14:paraId="5B2A7DFD">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未制定巡查计划的每月扣1分，每遗漏一条路段扣</w:t>
            </w:r>
            <w:r>
              <w:rPr>
                <w:rFonts w:cs="Calibri"/>
                <w:color w:val="auto"/>
                <w:sz w:val="18"/>
                <w:szCs w:val="18"/>
                <w:highlight w:val="none"/>
              </w:rPr>
              <w:t>0.2</w:t>
            </w:r>
            <w:r>
              <w:rPr>
                <w:rFonts w:hint="eastAsia" w:ascii="宋体" w:hAnsi="宋体" w:cs="宋体"/>
                <w:color w:val="auto"/>
                <w:sz w:val="18"/>
                <w:szCs w:val="18"/>
                <w:highlight w:val="none"/>
              </w:rPr>
              <w:t>分；对存在的病害与缺陷未记录上报的一处扣</w:t>
            </w:r>
            <w:r>
              <w:rPr>
                <w:rFonts w:cs="Calibri"/>
                <w:color w:val="auto"/>
                <w:sz w:val="18"/>
                <w:szCs w:val="18"/>
                <w:highlight w:val="none"/>
              </w:rPr>
              <w:t>0. 2</w:t>
            </w:r>
            <w:r>
              <w:rPr>
                <w:rFonts w:hint="eastAsia" w:ascii="宋体" w:hAnsi="宋体" w:cs="宋体"/>
                <w:color w:val="auto"/>
                <w:sz w:val="18"/>
                <w:szCs w:val="18"/>
                <w:highlight w:val="none"/>
              </w:rPr>
              <w:t>分。</w:t>
            </w:r>
          </w:p>
        </w:tc>
      </w:tr>
      <w:tr w14:paraId="4823721B">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464"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2EB49084">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安全隐患处置</w:t>
            </w:r>
          </w:p>
        </w:tc>
        <w:tc>
          <w:tcPr>
            <w:tcW w:w="710" w:type="dxa"/>
            <w:tcBorders>
              <w:top w:val="nil"/>
              <w:left w:val="nil"/>
              <w:bottom w:val="single" w:color="auto" w:sz="4" w:space="0"/>
              <w:right w:val="single" w:color="auto" w:sz="4" w:space="0"/>
            </w:tcBorders>
            <w:vAlign w:val="center"/>
          </w:tcPr>
          <w:p w14:paraId="26451069">
            <w:pPr>
              <w:widowControl/>
              <w:jc w:val="center"/>
              <w:rPr>
                <w:rFonts w:cs="Calibri"/>
                <w:color w:val="auto"/>
                <w:sz w:val="18"/>
                <w:szCs w:val="18"/>
                <w:highlight w:val="none"/>
              </w:rPr>
            </w:pPr>
            <w:r>
              <w:rPr>
                <w:rFonts w:cs="Calibri"/>
                <w:color w:val="auto"/>
                <w:sz w:val="18"/>
                <w:szCs w:val="18"/>
                <w:highlight w:val="none"/>
              </w:rPr>
              <w:t>3</w:t>
            </w:r>
          </w:p>
        </w:tc>
        <w:tc>
          <w:tcPr>
            <w:tcW w:w="4191" w:type="dxa"/>
            <w:tcBorders>
              <w:top w:val="nil"/>
              <w:left w:val="nil"/>
              <w:bottom w:val="single" w:color="auto" w:sz="4" w:space="0"/>
              <w:right w:val="single" w:color="auto" w:sz="4" w:space="0"/>
            </w:tcBorders>
            <w:vAlign w:val="center"/>
          </w:tcPr>
          <w:p w14:paraId="3931CE7D">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 xml:space="preserve">明显影响车辆和行人安全的病害（道路异常沉陷、空洞、大于5cm的错台；井盖、篦子破损、缺失；桥梁栏杆缺失等），应第一时间告知业主，立即设置警示防护标志。 </w:t>
            </w:r>
          </w:p>
        </w:tc>
        <w:tc>
          <w:tcPr>
            <w:tcW w:w="3685" w:type="dxa"/>
            <w:tcBorders>
              <w:top w:val="nil"/>
              <w:left w:val="nil"/>
              <w:bottom w:val="single" w:color="auto" w:sz="4" w:space="0"/>
              <w:right w:val="single" w:color="auto" w:sz="4" w:space="0"/>
            </w:tcBorders>
            <w:vAlign w:val="center"/>
          </w:tcPr>
          <w:p w14:paraId="1F949A66">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路段存在明显影响车辆和行人安全的病害，未立即设置警示防护标志、未及时联系业主的每处扣2分。造成人身伤害或财产损失的，每发生一起另扣5分</w:t>
            </w:r>
          </w:p>
        </w:tc>
      </w:tr>
      <w:tr w14:paraId="21695CFA">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649"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570A495E">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平台案件处理</w:t>
            </w:r>
          </w:p>
        </w:tc>
        <w:tc>
          <w:tcPr>
            <w:tcW w:w="710" w:type="dxa"/>
            <w:tcBorders>
              <w:top w:val="nil"/>
              <w:left w:val="nil"/>
              <w:bottom w:val="single" w:color="auto" w:sz="4" w:space="0"/>
              <w:right w:val="single" w:color="auto" w:sz="4" w:space="0"/>
            </w:tcBorders>
            <w:vAlign w:val="center"/>
          </w:tcPr>
          <w:p w14:paraId="0D3F7043">
            <w:pPr>
              <w:widowControl/>
              <w:jc w:val="center"/>
              <w:rPr>
                <w:rFonts w:cs="Calibri"/>
                <w:color w:val="auto"/>
                <w:sz w:val="18"/>
                <w:szCs w:val="18"/>
                <w:highlight w:val="none"/>
              </w:rPr>
            </w:pPr>
            <w:r>
              <w:rPr>
                <w:rFonts w:cs="Calibri"/>
                <w:color w:val="auto"/>
                <w:sz w:val="18"/>
                <w:szCs w:val="18"/>
                <w:highlight w:val="none"/>
              </w:rPr>
              <w:t>4</w:t>
            </w:r>
          </w:p>
        </w:tc>
        <w:tc>
          <w:tcPr>
            <w:tcW w:w="4191" w:type="dxa"/>
            <w:tcBorders>
              <w:top w:val="nil"/>
              <w:left w:val="nil"/>
              <w:bottom w:val="single" w:color="auto" w:sz="4" w:space="0"/>
              <w:right w:val="single" w:color="auto" w:sz="4" w:space="0"/>
            </w:tcBorders>
            <w:vAlign w:val="center"/>
          </w:tcPr>
          <w:p w14:paraId="190F02E5">
            <w:pPr>
              <w:widowControl/>
              <w:rPr>
                <w:rFonts w:hint="eastAsia" w:ascii="宋体" w:hAnsi="宋体" w:cs="宋体"/>
                <w:color w:val="auto"/>
                <w:sz w:val="18"/>
                <w:szCs w:val="18"/>
                <w:highlight w:val="none"/>
              </w:rPr>
            </w:pPr>
            <w:r>
              <w:rPr>
                <w:rFonts w:cs="Calibri"/>
                <w:color w:val="auto"/>
                <w:sz w:val="18"/>
                <w:szCs w:val="18"/>
                <w:highlight w:val="none"/>
              </w:rPr>
              <w:t>12345</w:t>
            </w:r>
            <w:r>
              <w:rPr>
                <w:rFonts w:hint="eastAsia" w:ascii="宋体" w:hAnsi="宋体" w:cs="宋体"/>
                <w:color w:val="auto"/>
                <w:sz w:val="18"/>
                <w:szCs w:val="18"/>
                <w:highlight w:val="none"/>
              </w:rPr>
              <w:t>、数字化城管等平台案件应在规定时间内进行现场核实并回复。</w:t>
            </w:r>
          </w:p>
        </w:tc>
        <w:tc>
          <w:tcPr>
            <w:tcW w:w="3685" w:type="dxa"/>
            <w:tcBorders>
              <w:top w:val="nil"/>
              <w:left w:val="nil"/>
              <w:bottom w:val="single" w:color="auto" w:sz="4" w:space="0"/>
              <w:right w:val="single" w:color="auto" w:sz="4" w:space="0"/>
            </w:tcBorders>
            <w:vAlign w:val="center"/>
          </w:tcPr>
          <w:p w14:paraId="538AFBB6">
            <w:pPr>
              <w:widowControl/>
              <w:rPr>
                <w:rFonts w:hint="eastAsia" w:ascii="宋体" w:hAnsi="宋体" w:cs="宋体"/>
                <w:color w:val="auto"/>
                <w:sz w:val="18"/>
                <w:szCs w:val="18"/>
                <w:highlight w:val="none"/>
              </w:rPr>
            </w:pPr>
            <w:r>
              <w:rPr>
                <w:rFonts w:cs="Calibri"/>
                <w:color w:val="auto"/>
                <w:sz w:val="18"/>
                <w:szCs w:val="18"/>
                <w:highlight w:val="none"/>
              </w:rPr>
              <w:t>12345</w:t>
            </w:r>
            <w:r>
              <w:rPr>
                <w:rFonts w:hint="eastAsia" w:ascii="宋体" w:hAnsi="宋体" w:cs="宋体"/>
                <w:color w:val="auto"/>
                <w:sz w:val="18"/>
                <w:szCs w:val="18"/>
                <w:highlight w:val="none"/>
              </w:rPr>
              <w:t>、数字化城管等平台派遣问题未在规定时间内进行现场核实并回复的，每件扣</w:t>
            </w:r>
            <w:r>
              <w:rPr>
                <w:rFonts w:cs="Calibri"/>
                <w:color w:val="auto"/>
                <w:sz w:val="18"/>
                <w:szCs w:val="18"/>
                <w:highlight w:val="none"/>
              </w:rPr>
              <w:t>2</w:t>
            </w:r>
            <w:r>
              <w:rPr>
                <w:rFonts w:hint="eastAsia" w:ascii="宋体" w:hAnsi="宋体" w:cs="宋体"/>
                <w:color w:val="auto"/>
                <w:sz w:val="18"/>
                <w:szCs w:val="18"/>
                <w:highlight w:val="none"/>
              </w:rPr>
              <w:t>分；</w:t>
            </w:r>
          </w:p>
        </w:tc>
      </w:tr>
      <w:tr w14:paraId="635D4ADD">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268"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1A801200">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极端天气巡查</w:t>
            </w:r>
          </w:p>
        </w:tc>
        <w:tc>
          <w:tcPr>
            <w:tcW w:w="710" w:type="dxa"/>
            <w:tcBorders>
              <w:top w:val="single" w:color="auto" w:sz="4" w:space="0"/>
              <w:left w:val="nil"/>
              <w:bottom w:val="single" w:color="auto" w:sz="4" w:space="0"/>
              <w:right w:val="single" w:color="auto" w:sz="4" w:space="0"/>
            </w:tcBorders>
            <w:vAlign w:val="center"/>
          </w:tcPr>
          <w:p w14:paraId="77F9E91F">
            <w:pPr>
              <w:widowControl/>
              <w:jc w:val="center"/>
              <w:rPr>
                <w:rFonts w:cs="Calibri"/>
                <w:color w:val="auto"/>
                <w:sz w:val="18"/>
                <w:szCs w:val="18"/>
                <w:highlight w:val="none"/>
              </w:rPr>
            </w:pPr>
            <w:r>
              <w:rPr>
                <w:rFonts w:cs="Calibri"/>
                <w:color w:val="auto"/>
                <w:sz w:val="18"/>
                <w:szCs w:val="18"/>
                <w:highlight w:val="none"/>
              </w:rPr>
              <w:t>5</w:t>
            </w:r>
          </w:p>
        </w:tc>
        <w:tc>
          <w:tcPr>
            <w:tcW w:w="4191" w:type="dxa"/>
            <w:tcBorders>
              <w:top w:val="single" w:color="auto" w:sz="4" w:space="0"/>
              <w:left w:val="nil"/>
              <w:bottom w:val="single" w:color="auto" w:sz="4" w:space="0"/>
              <w:right w:val="single" w:color="auto" w:sz="4" w:space="0"/>
            </w:tcBorders>
            <w:vAlign w:val="center"/>
          </w:tcPr>
          <w:p w14:paraId="67F39823">
            <w:pPr>
              <w:widowControl/>
              <w:rPr>
                <w:rFonts w:hint="eastAsia" w:ascii="宋体" w:hAnsi="宋体" w:cs="宋体"/>
                <w:bCs/>
                <w:color w:val="auto"/>
                <w:sz w:val="18"/>
                <w:szCs w:val="18"/>
                <w:highlight w:val="none"/>
              </w:rPr>
            </w:pPr>
            <w:r>
              <w:rPr>
                <w:rFonts w:hint="eastAsia" w:ascii="宋体" w:hAnsi="宋体" w:cs="宋体"/>
                <w:bCs/>
                <w:color w:val="auto"/>
                <w:sz w:val="18"/>
                <w:szCs w:val="18"/>
                <w:highlight w:val="none"/>
              </w:rPr>
              <w:t>遇大雨、暴雨、台风、冬季降温、降雪等极端天气半小时后，应立即开展全面突击巡查（不得少于2组，每组2人一辆汽车）。</w:t>
            </w:r>
          </w:p>
          <w:p w14:paraId="2AC903B4">
            <w:pPr>
              <w:widowControl/>
              <w:rPr>
                <w:rFonts w:hint="eastAsia" w:ascii="宋体" w:hAnsi="宋体" w:cs="宋体"/>
                <w:bCs/>
                <w:color w:val="auto"/>
                <w:sz w:val="18"/>
                <w:szCs w:val="18"/>
                <w:highlight w:val="none"/>
              </w:rPr>
            </w:pPr>
            <w:r>
              <w:rPr>
                <w:rFonts w:hint="eastAsia" w:ascii="宋体" w:hAnsi="宋体" w:cs="宋体"/>
                <w:bCs/>
                <w:color w:val="auto"/>
                <w:sz w:val="18"/>
                <w:szCs w:val="18"/>
                <w:highlight w:val="none"/>
              </w:rPr>
              <w:t>发现积水路段及次生灾害等及时上报发包人应急领导小组，同时对次生灾害问题及时设置安全围挡；发现桥面积雪（结冰），安排人员扫雪除冰或者撒盐融雪，同时上报发包人并上传影像资料。</w:t>
            </w:r>
          </w:p>
        </w:tc>
        <w:tc>
          <w:tcPr>
            <w:tcW w:w="3685" w:type="dxa"/>
            <w:tcBorders>
              <w:top w:val="single" w:color="auto" w:sz="4" w:space="0"/>
              <w:left w:val="nil"/>
              <w:bottom w:val="single" w:color="auto" w:sz="4" w:space="0"/>
              <w:right w:val="single" w:color="auto" w:sz="4" w:space="0"/>
            </w:tcBorders>
            <w:vAlign w:val="center"/>
          </w:tcPr>
          <w:p w14:paraId="404D122C">
            <w:pPr>
              <w:widowControl/>
              <w:rPr>
                <w:rFonts w:hint="eastAsia" w:ascii="宋体" w:hAnsi="宋体" w:cs="宋体"/>
                <w:color w:val="auto"/>
                <w:sz w:val="18"/>
                <w:szCs w:val="18"/>
                <w:highlight w:val="none"/>
              </w:rPr>
            </w:pPr>
            <w:r>
              <w:rPr>
                <w:rFonts w:hint="eastAsia" w:ascii="宋体" w:hAnsi="宋体" w:cs="宋体"/>
                <w:bCs/>
                <w:color w:val="auto"/>
                <w:sz w:val="18"/>
                <w:szCs w:val="18"/>
                <w:highlight w:val="none"/>
              </w:rPr>
              <w:t>遇大雨、暴雨、台风、冬季降温、降雪等极端天气半小时后</w:t>
            </w:r>
            <w:r>
              <w:rPr>
                <w:rFonts w:hint="eastAsia" w:ascii="宋体" w:hAnsi="宋体" w:cs="宋体"/>
                <w:color w:val="auto"/>
                <w:sz w:val="18"/>
                <w:szCs w:val="18"/>
                <w:highlight w:val="none"/>
              </w:rPr>
              <w:t>立即上路，并在</w:t>
            </w:r>
            <w:r>
              <w:rPr>
                <w:rFonts w:ascii="宋体" w:hAnsi="宋体" w:cs="宋体"/>
                <w:color w:val="auto"/>
                <w:sz w:val="18"/>
                <w:szCs w:val="18"/>
                <w:highlight w:val="none"/>
              </w:rPr>
              <w:t>6</w:t>
            </w:r>
            <w:r>
              <w:rPr>
                <w:rFonts w:hint="eastAsia" w:ascii="宋体" w:hAnsi="宋体" w:cs="宋体"/>
                <w:color w:val="auto"/>
                <w:sz w:val="18"/>
                <w:szCs w:val="18"/>
                <w:highlight w:val="none"/>
              </w:rPr>
              <w:t>小时内完成片区道路巡查。未按时完成的按每少上传一条路段的影像资料扣0.1分。未按要求配备巡查人员及车辆的，每少一辆车扣2分。</w:t>
            </w:r>
          </w:p>
          <w:p w14:paraId="47C8FAB3">
            <w:pPr>
              <w:pStyle w:val="24"/>
              <w:ind w:left="0" w:leftChars="0" w:firstLine="0" w:firstLineChars="0"/>
              <w:rPr>
                <w:color w:val="auto"/>
                <w:highlight w:val="none"/>
              </w:rPr>
            </w:pPr>
            <w:r>
              <w:rPr>
                <w:rFonts w:hint="eastAsia" w:ascii="宋体" w:hAnsi="宋体" w:cs="宋体"/>
                <w:color w:val="auto"/>
                <w:sz w:val="18"/>
                <w:szCs w:val="18"/>
                <w:highlight w:val="none"/>
              </w:rPr>
              <w:t>发现问题不处理不上报的，每处扣2分。</w:t>
            </w:r>
          </w:p>
        </w:tc>
      </w:tr>
      <w:tr w14:paraId="2BD4B4C9">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960" w:hRule="atLeast"/>
          <w:jc w:val="center"/>
        </w:trPr>
        <w:tc>
          <w:tcPr>
            <w:tcW w:w="1087" w:type="dxa"/>
            <w:vMerge w:val="restart"/>
            <w:tcBorders>
              <w:top w:val="single" w:color="auto" w:sz="4" w:space="0"/>
              <w:left w:val="single" w:color="auto" w:sz="4" w:space="0"/>
              <w:right w:val="single" w:color="auto" w:sz="4" w:space="0"/>
            </w:tcBorders>
            <w:vAlign w:val="center"/>
          </w:tcPr>
          <w:p w14:paraId="54EA6939">
            <w:pPr>
              <w:widowControl/>
              <w:jc w:val="left"/>
              <w:rPr>
                <w:rFonts w:hint="eastAsia" w:ascii="宋体" w:hAnsi="宋体" w:cs="宋体"/>
                <w:color w:val="auto"/>
                <w:sz w:val="18"/>
                <w:szCs w:val="18"/>
                <w:highlight w:val="none"/>
              </w:rPr>
            </w:pPr>
            <w:r>
              <w:rPr>
                <w:rFonts w:hint="eastAsia" w:ascii="宋体" w:hAnsi="宋体" w:cs="宋体"/>
                <w:color w:val="auto"/>
                <w:sz w:val="18"/>
                <w:szCs w:val="18"/>
                <w:highlight w:val="none"/>
              </w:rPr>
              <w:t>道路占用、挖掘期相关工作</w:t>
            </w:r>
          </w:p>
        </w:tc>
        <w:tc>
          <w:tcPr>
            <w:tcW w:w="710" w:type="dxa"/>
            <w:tcBorders>
              <w:top w:val="single" w:color="auto" w:sz="4" w:space="0"/>
              <w:left w:val="nil"/>
              <w:bottom w:val="single" w:color="auto" w:sz="4" w:space="0"/>
              <w:right w:val="single" w:color="auto" w:sz="4" w:space="0"/>
            </w:tcBorders>
            <w:vAlign w:val="center"/>
          </w:tcPr>
          <w:p w14:paraId="41666FD7">
            <w:pPr>
              <w:widowControl/>
              <w:jc w:val="center"/>
              <w:rPr>
                <w:rFonts w:hint="eastAsia" w:cs="Calibri"/>
                <w:color w:val="auto"/>
                <w:sz w:val="18"/>
                <w:szCs w:val="18"/>
                <w:highlight w:val="none"/>
              </w:rPr>
            </w:pPr>
            <w:r>
              <w:rPr>
                <w:rFonts w:hint="eastAsia" w:cs="Calibri"/>
                <w:color w:val="auto"/>
                <w:sz w:val="18"/>
                <w:szCs w:val="18"/>
                <w:highlight w:val="none"/>
              </w:rPr>
              <w:t>6</w:t>
            </w:r>
          </w:p>
        </w:tc>
        <w:tc>
          <w:tcPr>
            <w:tcW w:w="4191" w:type="dxa"/>
            <w:tcBorders>
              <w:top w:val="single" w:color="auto" w:sz="4" w:space="0"/>
              <w:left w:val="nil"/>
              <w:bottom w:val="single" w:color="auto" w:sz="4" w:space="0"/>
              <w:right w:val="single" w:color="auto" w:sz="4" w:space="0"/>
            </w:tcBorders>
            <w:vAlign w:val="center"/>
          </w:tcPr>
          <w:p w14:paraId="5A7A2A96">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承包人应做好道路占用、挖掘期间的监管巡查工作（一天一次或按照业主要求）</w:t>
            </w:r>
          </w:p>
        </w:tc>
        <w:tc>
          <w:tcPr>
            <w:tcW w:w="3685" w:type="dxa"/>
            <w:tcBorders>
              <w:top w:val="single" w:color="auto" w:sz="4" w:space="0"/>
              <w:left w:val="nil"/>
              <w:bottom w:val="single" w:color="auto" w:sz="4" w:space="0"/>
              <w:right w:val="single" w:color="auto" w:sz="4" w:space="0"/>
            </w:tcBorders>
            <w:vAlign w:val="center"/>
          </w:tcPr>
          <w:p w14:paraId="0526E713">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承包人未认真履行道路占用、挖掘期间的监管巡查责任，每次扣2分。</w:t>
            </w:r>
          </w:p>
        </w:tc>
      </w:tr>
      <w:tr w14:paraId="78CA2C39">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596" w:hRule="atLeast"/>
          <w:jc w:val="center"/>
        </w:trPr>
        <w:tc>
          <w:tcPr>
            <w:tcW w:w="1087" w:type="dxa"/>
            <w:vMerge w:val="continue"/>
            <w:tcBorders>
              <w:top w:val="single" w:color="auto" w:sz="4" w:space="0"/>
              <w:left w:val="single" w:color="auto" w:sz="4" w:space="0"/>
              <w:bottom w:val="single" w:color="auto" w:sz="4" w:space="0"/>
              <w:right w:val="single" w:color="auto" w:sz="4" w:space="0"/>
            </w:tcBorders>
            <w:vAlign w:val="center"/>
          </w:tcPr>
          <w:p w14:paraId="0708E7BE">
            <w:pPr>
              <w:widowControl/>
              <w:jc w:val="left"/>
              <w:rPr>
                <w:rFonts w:hint="eastAsia" w:ascii="宋体" w:hAnsi="宋体" w:cs="宋体"/>
                <w:color w:val="auto"/>
                <w:sz w:val="18"/>
                <w:szCs w:val="18"/>
                <w:highlight w:val="none"/>
              </w:rPr>
            </w:pPr>
          </w:p>
        </w:tc>
        <w:tc>
          <w:tcPr>
            <w:tcW w:w="710" w:type="dxa"/>
            <w:tcBorders>
              <w:top w:val="nil"/>
              <w:left w:val="nil"/>
              <w:bottom w:val="single" w:color="auto" w:sz="4" w:space="0"/>
              <w:right w:val="single" w:color="auto" w:sz="4" w:space="0"/>
            </w:tcBorders>
            <w:vAlign w:val="center"/>
          </w:tcPr>
          <w:p w14:paraId="45921101">
            <w:pPr>
              <w:widowControl/>
              <w:jc w:val="center"/>
              <w:rPr>
                <w:rFonts w:hint="eastAsia" w:cs="Calibri"/>
                <w:color w:val="auto"/>
                <w:sz w:val="18"/>
                <w:szCs w:val="18"/>
                <w:highlight w:val="none"/>
              </w:rPr>
            </w:pPr>
            <w:r>
              <w:rPr>
                <w:rFonts w:hint="eastAsia" w:cs="Calibri"/>
                <w:color w:val="auto"/>
                <w:sz w:val="18"/>
                <w:szCs w:val="18"/>
                <w:highlight w:val="none"/>
              </w:rPr>
              <w:t>7</w:t>
            </w:r>
          </w:p>
        </w:tc>
        <w:tc>
          <w:tcPr>
            <w:tcW w:w="4191" w:type="dxa"/>
            <w:tcBorders>
              <w:top w:val="nil"/>
              <w:left w:val="nil"/>
              <w:bottom w:val="single" w:color="auto" w:sz="4" w:space="0"/>
              <w:right w:val="single" w:color="auto" w:sz="4" w:space="0"/>
            </w:tcBorders>
            <w:vAlign w:val="center"/>
          </w:tcPr>
          <w:p w14:paraId="2521DEF1">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承包人应主动劝阻未经审批违法挖掘、违章占用道路、私开道口等破坏市政设施的行为，同时督促对方依法办理审批手续。劝阻无效的应留好证据，及时向发包人汇报。</w:t>
            </w:r>
          </w:p>
        </w:tc>
        <w:tc>
          <w:tcPr>
            <w:tcW w:w="3685" w:type="dxa"/>
            <w:tcBorders>
              <w:top w:val="nil"/>
              <w:left w:val="nil"/>
              <w:bottom w:val="single" w:color="auto" w:sz="4" w:space="0"/>
              <w:right w:val="single" w:color="auto" w:sz="4" w:space="0"/>
            </w:tcBorders>
            <w:vAlign w:val="center"/>
          </w:tcPr>
          <w:p w14:paraId="2A4FA758">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承包人对违法挖掘、违章占用、私开道口等破坏市政设施行为未及时发现的，每起扣2分。</w:t>
            </w:r>
          </w:p>
          <w:p w14:paraId="65E06080">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承包人及时发现且有效劝阻的，每起加2分。</w:t>
            </w:r>
          </w:p>
          <w:p w14:paraId="2917FB78">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督促对方依法办理审批手续的，每成功一起另加2分（此项加分有效时限办证当月起4个月有效）。</w:t>
            </w:r>
          </w:p>
        </w:tc>
      </w:tr>
      <w:tr w14:paraId="4BD35358">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1176" w:hRule="atLeast"/>
          <w:jc w:val="center"/>
        </w:trPr>
        <w:tc>
          <w:tcPr>
            <w:tcW w:w="1087" w:type="dxa"/>
            <w:tcBorders>
              <w:top w:val="single" w:color="auto" w:sz="4" w:space="0"/>
              <w:left w:val="single" w:color="auto" w:sz="4" w:space="0"/>
              <w:bottom w:val="single" w:color="auto" w:sz="4" w:space="0"/>
              <w:right w:val="single" w:color="auto" w:sz="4" w:space="0"/>
            </w:tcBorders>
            <w:vAlign w:val="center"/>
          </w:tcPr>
          <w:p w14:paraId="62022061">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人行道表面青苔与缝间杂草清理</w:t>
            </w:r>
          </w:p>
        </w:tc>
        <w:tc>
          <w:tcPr>
            <w:tcW w:w="710" w:type="dxa"/>
            <w:tcBorders>
              <w:top w:val="nil"/>
              <w:left w:val="nil"/>
              <w:bottom w:val="single" w:color="auto" w:sz="4" w:space="0"/>
              <w:right w:val="single" w:color="auto" w:sz="4" w:space="0"/>
            </w:tcBorders>
            <w:vAlign w:val="center"/>
          </w:tcPr>
          <w:p w14:paraId="59602A86">
            <w:pPr>
              <w:widowControl/>
              <w:jc w:val="center"/>
              <w:rPr>
                <w:rFonts w:hint="eastAsia" w:cs="Calibri"/>
                <w:color w:val="auto"/>
                <w:sz w:val="18"/>
                <w:szCs w:val="18"/>
                <w:highlight w:val="none"/>
              </w:rPr>
            </w:pPr>
            <w:r>
              <w:rPr>
                <w:rFonts w:hint="eastAsia" w:cs="Calibri"/>
                <w:color w:val="auto"/>
                <w:sz w:val="18"/>
                <w:szCs w:val="18"/>
                <w:highlight w:val="none"/>
              </w:rPr>
              <w:t>8</w:t>
            </w:r>
          </w:p>
        </w:tc>
        <w:tc>
          <w:tcPr>
            <w:tcW w:w="4191" w:type="dxa"/>
            <w:tcBorders>
              <w:top w:val="nil"/>
              <w:left w:val="nil"/>
              <w:bottom w:val="single" w:color="auto" w:sz="4" w:space="0"/>
              <w:right w:val="single" w:color="auto" w:sz="4" w:space="0"/>
            </w:tcBorders>
            <w:vAlign w:val="center"/>
          </w:tcPr>
          <w:p w14:paraId="4F11A4A5">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承包人在日常巡查中，要及时清除人行道表面青苔以及道板、侧缘石缝间杂草。</w:t>
            </w:r>
          </w:p>
        </w:tc>
        <w:tc>
          <w:tcPr>
            <w:tcW w:w="3685" w:type="dxa"/>
            <w:tcBorders>
              <w:top w:val="nil"/>
              <w:left w:val="nil"/>
              <w:bottom w:val="single" w:color="auto" w:sz="4" w:space="0"/>
              <w:right w:val="single" w:color="auto" w:sz="4" w:space="0"/>
            </w:tcBorders>
            <w:vAlign w:val="center"/>
          </w:tcPr>
          <w:p w14:paraId="41C99202">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每发现一个路段存在人行道表面青苔或者道板、侧缘石缝间杂草未清除的，扣</w:t>
            </w:r>
            <w:r>
              <w:rPr>
                <w:rFonts w:ascii="宋体" w:hAnsi="宋体" w:cs="宋体"/>
                <w:color w:val="auto"/>
                <w:sz w:val="18"/>
                <w:szCs w:val="18"/>
                <w:highlight w:val="none"/>
              </w:rPr>
              <w:t>2</w:t>
            </w:r>
            <w:r>
              <w:rPr>
                <w:rFonts w:hint="eastAsia" w:ascii="宋体" w:hAnsi="宋体" w:cs="宋体"/>
                <w:color w:val="auto"/>
                <w:sz w:val="18"/>
                <w:szCs w:val="18"/>
                <w:highlight w:val="none"/>
              </w:rPr>
              <w:t>分。杂草连成一片超过</w:t>
            </w:r>
            <w:r>
              <w:rPr>
                <w:rFonts w:ascii="宋体" w:hAnsi="宋体" w:cs="宋体"/>
                <w:color w:val="auto"/>
                <w:sz w:val="18"/>
                <w:szCs w:val="18"/>
                <w:highlight w:val="none"/>
              </w:rPr>
              <w:t>3</w:t>
            </w:r>
            <w:r>
              <w:rPr>
                <w:rFonts w:hint="eastAsia" w:ascii="宋体" w:hAnsi="宋体" w:cs="宋体"/>
                <w:color w:val="auto"/>
                <w:sz w:val="18"/>
                <w:szCs w:val="18"/>
                <w:highlight w:val="none"/>
              </w:rPr>
              <w:t>平方的每处扣5分，未按期整改到位的加扣5分（计入本轮或下轮考核打分中）。</w:t>
            </w:r>
          </w:p>
        </w:tc>
      </w:tr>
      <w:tr w14:paraId="5302F7F9">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898" w:hRule="atLeast"/>
          <w:jc w:val="center"/>
        </w:trPr>
        <w:tc>
          <w:tcPr>
            <w:tcW w:w="1087" w:type="dxa"/>
            <w:tcBorders>
              <w:top w:val="single" w:color="auto" w:sz="4" w:space="0"/>
              <w:left w:val="single" w:color="auto" w:sz="4" w:space="0"/>
              <w:bottom w:val="single" w:color="auto" w:sz="4" w:space="0"/>
              <w:right w:val="single" w:color="000000" w:sz="4" w:space="0"/>
            </w:tcBorders>
            <w:vAlign w:val="center"/>
          </w:tcPr>
          <w:p w14:paraId="37183C96">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桥面泄水孔清掏</w:t>
            </w:r>
          </w:p>
        </w:tc>
        <w:tc>
          <w:tcPr>
            <w:tcW w:w="710" w:type="dxa"/>
            <w:tcBorders>
              <w:top w:val="nil"/>
              <w:left w:val="nil"/>
              <w:bottom w:val="single" w:color="auto" w:sz="4" w:space="0"/>
              <w:right w:val="single" w:color="auto" w:sz="4" w:space="0"/>
            </w:tcBorders>
            <w:vAlign w:val="center"/>
          </w:tcPr>
          <w:p w14:paraId="5DC30B4F">
            <w:pPr>
              <w:widowControl/>
              <w:jc w:val="center"/>
              <w:rPr>
                <w:rFonts w:hint="eastAsia" w:cs="Calibri"/>
                <w:color w:val="auto"/>
                <w:sz w:val="18"/>
                <w:szCs w:val="18"/>
                <w:highlight w:val="none"/>
              </w:rPr>
            </w:pPr>
            <w:r>
              <w:rPr>
                <w:rFonts w:hint="eastAsia" w:cs="Calibri"/>
                <w:color w:val="auto"/>
                <w:sz w:val="18"/>
                <w:szCs w:val="18"/>
                <w:highlight w:val="none"/>
              </w:rPr>
              <w:t>9</w:t>
            </w:r>
          </w:p>
        </w:tc>
        <w:tc>
          <w:tcPr>
            <w:tcW w:w="4191" w:type="dxa"/>
            <w:tcBorders>
              <w:top w:val="nil"/>
              <w:left w:val="nil"/>
              <w:bottom w:val="single" w:color="auto" w:sz="4" w:space="0"/>
              <w:right w:val="single" w:color="auto" w:sz="4" w:space="0"/>
            </w:tcBorders>
            <w:vAlign w:val="center"/>
          </w:tcPr>
          <w:p w14:paraId="1FAE7FA6">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养护单位在日常巡查中发现桥面泄水孔堵塞时，应及时清掏。</w:t>
            </w:r>
          </w:p>
        </w:tc>
        <w:tc>
          <w:tcPr>
            <w:tcW w:w="3685" w:type="dxa"/>
            <w:tcBorders>
              <w:top w:val="nil"/>
              <w:left w:val="nil"/>
              <w:bottom w:val="single" w:color="auto" w:sz="4" w:space="0"/>
              <w:right w:val="single" w:color="auto" w:sz="4" w:space="0"/>
            </w:tcBorders>
            <w:vAlign w:val="center"/>
          </w:tcPr>
          <w:p w14:paraId="5ADC5113">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发现桥面泄水孔有堵塞的，每座桥扣1分。</w:t>
            </w:r>
          </w:p>
        </w:tc>
      </w:tr>
      <w:tr w14:paraId="4B79309B">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898" w:hRule="atLeast"/>
          <w:jc w:val="center"/>
        </w:trPr>
        <w:tc>
          <w:tcPr>
            <w:tcW w:w="1087" w:type="dxa"/>
            <w:tcBorders>
              <w:top w:val="single" w:color="auto" w:sz="4" w:space="0"/>
              <w:left w:val="single" w:color="auto" w:sz="4" w:space="0"/>
              <w:bottom w:val="single" w:color="auto" w:sz="4" w:space="0"/>
              <w:right w:val="single" w:color="000000" w:sz="4" w:space="0"/>
            </w:tcBorders>
            <w:vAlign w:val="center"/>
          </w:tcPr>
          <w:p w14:paraId="54269C5D">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城市道路、桥梁巡查台账</w:t>
            </w:r>
          </w:p>
        </w:tc>
        <w:tc>
          <w:tcPr>
            <w:tcW w:w="710" w:type="dxa"/>
            <w:tcBorders>
              <w:top w:val="nil"/>
              <w:left w:val="nil"/>
              <w:bottom w:val="single" w:color="auto" w:sz="4" w:space="0"/>
              <w:right w:val="single" w:color="auto" w:sz="4" w:space="0"/>
            </w:tcBorders>
            <w:vAlign w:val="center"/>
          </w:tcPr>
          <w:p w14:paraId="23CAEEAA">
            <w:pPr>
              <w:widowControl/>
              <w:jc w:val="center"/>
              <w:rPr>
                <w:rFonts w:hint="eastAsia" w:cs="Calibri"/>
                <w:color w:val="auto"/>
                <w:sz w:val="18"/>
                <w:szCs w:val="18"/>
                <w:highlight w:val="none"/>
              </w:rPr>
            </w:pPr>
            <w:r>
              <w:rPr>
                <w:rFonts w:hint="eastAsia" w:cs="Calibri"/>
                <w:color w:val="auto"/>
                <w:sz w:val="18"/>
                <w:szCs w:val="18"/>
                <w:highlight w:val="none"/>
              </w:rPr>
              <w:t>10</w:t>
            </w:r>
          </w:p>
        </w:tc>
        <w:tc>
          <w:tcPr>
            <w:tcW w:w="4191" w:type="dxa"/>
            <w:tcBorders>
              <w:top w:val="nil"/>
              <w:left w:val="nil"/>
              <w:bottom w:val="single" w:color="auto" w:sz="4" w:space="0"/>
              <w:right w:val="single" w:color="auto" w:sz="4" w:space="0"/>
            </w:tcBorders>
            <w:vAlign w:val="center"/>
          </w:tcPr>
          <w:p w14:paraId="707E20EC">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承包人应按照《城镇道路养护技术规范》、《城市桥梁养护技术标准》或按发包方要求，填写道路、桥梁巡查记录表，并按“一路一档”“一桥一档”装订成册。</w:t>
            </w:r>
          </w:p>
        </w:tc>
        <w:tc>
          <w:tcPr>
            <w:tcW w:w="3685" w:type="dxa"/>
            <w:tcBorders>
              <w:top w:val="nil"/>
              <w:left w:val="nil"/>
              <w:bottom w:val="single" w:color="auto" w:sz="4" w:space="0"/>
              <w:right w:val="single" w:color="auto" w:sz="4" w:space="0"/>
            </w:tcBorders>
            <w:vAlign w:val="center"/>
          </w:tcPr>
          <w:p w14:paraId="5884DC8E">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台账记录与实际情况不符的每处扣0.5分；</w:t>
            </w:r>
          </w:p>
          <w:p w14:paraId="5626F1A0">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台账记录不全的每处扣0.5分</w:t>
            </w:r>
          </w:p>
        </w:tc>
      </w:tr>
      <w:tr w14:paraId="53AFB4DB">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108" w:type="dxa"/>
            <w:bottom w:w="0" w:type="dxa"/>
            <w:right w:w="108" w:type="dxa"/>
          </w:tblCellMar>
        </w:tblPrEx>
        <w:trPr>
          <w:trHeight w:val="898" w:hRule="atLeast"/>
          <w:jc w:val="center"/>
        </w:trPr>
        <w:tc>
          <w:tcPr>
            <w:tcW w:w="1087" w:type="dxa"/>
            <w:tcBorders>
              <w:top w:val="single" w:color="auto" w:sz="4" w:space="0"/>
              <w:left w:val="single" w:color="auto" w:sz="4" w:space="0"/>
              <w:bottom w:val="single" w:color="auto" w:sz="4" w:space="0"/>
              <w:right w:val="single" w:color="000000" w:sz="4" w:space="0"/>
            </w:tcBorders>
            <w:vAlign w:val="center"/>
          </w:tcPr>
          <w:p w14:paraId="3B54D9A9">
            <w:pPr>
              <w:widowControl/>
              <w:jc w:val="center"/>
              <w:rPr>
                <w:rFonts w:hint="eastAsia" w:ascii="宋体" w:hAnsi="宋体" w:cs="宋体"/>
                <w:color w:val="auto"/>
                <w:sz w:val="18"/>
                <w:szCs w:val="18"/>
                <w:highlight w:val="none"/>
              </w:rPr>
            </w:pPr>
            <w:r>
              <w:rPr>
                <w:rFonts w:hint="eastAsia" w:ascii="宋体" w:hAnsi="宋体" w:cs="宋体"/>
                <w:color w:val="auto"/>
                <w:sz w:val="18"/>
                <w:szCs w:val="18"/>
                <w:highlight w:val="none"/>
              </w:rPr>
              <w:t>服务质量</w:t>
            </w:r>
          </w:p>
        </w:tc>
        <w:tc>
          <w:tcPr>
            <w:tcW w:w="710" w:type="dxa"/>
            <w:tcBorders>
              <w:top w:val="nil"/>
              <w:left w:val="nil"/>
              <w:bottom w:val="single" w:color="auto" w:sz="4" w:space="0"/>
              <w:right w:val="single" w:color="auto" w:sz="4" w:space="0"/>
            </w:tcBorders>
            <w:vAlign w:val="center"/>
          </w:tcPr>
          <w:p w14:paraId="3D8A955E">
            <w:pPr>
              <w:widowControl/>
              <w:jc w:val="center"/>
              <w:rPr>
                <w:rFonts w:hint="eastAsia" w:cs="Calibri"/>
                <w:color w:val="auto"/>
                <w:sz w:val="18"/>
                <w:szCs w:val="18"/>
                <w:highlight w:val="none"/>
              </w:rPr>
            </w:pPr>
            <w:r>
              <w:rPr>
                <w:rFonts w:hint="eastAsia" w:cs="Calibri"/>
                <w:color w:val="auto"/>
                <w:sz w:val="18"/>
                <w:szCs w:val="18"/>
                <w:highlight w:val="none"/>
              </w:rPr>
              <w:t>11</w:t>
            </w:r>
          </w:p>
        </w:tc>
        <w:tc>
          <w:tcPr>
            <w:tcW w:w="4191" w:type="dxa"/>
            <w:tcBorders>
              <w:top w:val="nil"/>
              <w:left w:val="nil"/>
              <w:bottom w:val="single" w:color="auto" w:sz="4" w:space="0"/>
              <w:right w:val="single" w:color="auto" w:sz="4" w:space="0"/>
            </w:tcBorders>
            <w:vAlign w:val="center"/>
          </w:tcPr>
          <w:p w14:paraId="6D4CC596">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承包人应落实24小时值班制度，保持24小时通讯。承包人应及时参加发包人组织的会议。</w:t>
            </w:r>
          </w:p>
        </w:tc>
        <w:tc>
          <w:tcPr>
            <w:tcW w:w="3685" w:type="dxa"/>
            <w:tcBorders>
              <w:top w:val="nil"/>
              <w:left w:val="nil"/>
              <w:bottom w:val="single" w:color="auto" w:sz="4" w:space="0"/>
              <w:right w:val="single" w:color="auto" w:sz="4" w:space="0"/>
            </w:tcBorders>
            <w:vAlign w:val="center"/>
          </w:tcPr>
          <w:p w14:paraId="41B67B89">
            <w:pPr>
              <w:widowControl/>
              <w:rPr>
                <w:rFonts w:hint="eastAsia" w:ascii="宋体" w:hAnsi="宋体" w:cs="宋体"/>
                <w:color w:val="auto"/>
                <w:sz w:val="18"/>
                <w:szCs w:val="18"/>
                <w:highlight w:val="none"/>
              </w:rPr>
            </w:pPr>
            <w:r>
              <w:rPr>
                <w:rFonts w:hint="eastAsia" w:ascii="宋体" w:hAnsi="宋体" w:cs="宋体"/>
                <w:color w:val="auto"/>
                <w:sz w:val="18"/>
                <w:szCs w:val="18"/>
                <w:highlight w:val="none"/>
              </w:rPr>
              <w:t>未落实24小时值班制度，拒接发包人电话的，每次扣1分；未按时参加发包人组织的会议的，每次扣2分。</w:t>
            </w:r>
          </w:p>
        </w:tc>
      </w:tr>
    </w:tbl>
    <w:p w14:paraId="79797C47">
      <w:pPr>
        <w:tabs>
          <w:tab w:val="right" w:pos="9542"/>
        </w:tabs>
        <w:spacing w:line="360" w:lineRule="auto"/>
        <w:ind w:left="2" w:leftChars="1"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四、考核结果应用</w:t>
      </w:r>
    </w:p>
    <w:p w14:paraId="713AFF53">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1、2个月考核一次，考核得分</w:t>
      </w:r>
      <w:r>
        <w:rPr>
          <w:rFonts w:ascii="宋体" w:hAnsi="宋体" w:cs="Calibri"/>
          <w:color w:val="auto"/>
          <w:szCs w:val="21"/>
          <w:highlight w:val="none"/>
        </w:rPr>
        <w:t>≥</w:t>
      </w:r>
      <w:r>
        <w:rPr>
          <w:rFonts w:hint="eastAsia" w:ascii="宋体" w:hAnsi="宋体" w:cs="Calibri"/>
          <w:color w:val="auto"/>
          <w:szCs w:val="21"/>
          <w:highlight w:val="none"/>
        </w:rPr>
        <w:t>60分的，2个月的设施巡查费用=设施巡查全费用综合单价*2 *（1-合同下浮率）*（1+应调整里程/工程量清单描述的里程）*（考核得分/100）；</w:t>
      </w:r>
    </w:p>
    <w:p w14:paraId="2E888474">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2、考核得分＜60分的，判定考核结果不合格，2个月设施巡查费用全额扣除，且发包人有权提前解除合同，并扣除履约保证金。</w:t>
      </w:r>
    </w:p>
    <w:p w14:paraId="155C147B">
      <w:pPr>
        <w:spacing w:line="360" w:lineRule="auto"/>
        <w:ind w:left="2" w:leftChars="1"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五、其他</w:t>
      </w:r>
    </w:p>
    <w:p w14:paraId="6771C6BE">
      <w:pPr>
        <w:spacing w:line="360" w:lineRule="auto"/>
        <w:ind w:firstLine="420" w:firstLineChars="200"/>
        <w:rPr>
          <w:rFonts w:hint="eastAsia" w:hAnsi="宋体" w:cs="宋体" w:eastAsiaTheme="minorEastAsia"/>
          <w:color w:val="auto"/>
          <w:szCs w:val="21"/>
          <w:highlight w:val="none"/>
          <w:lang w:eastAsia="zh-CN"/>
        </w:rPr>
      </w:pPr>
      <w:r>
        <w:rPr>
          <w:rFonts w:hint="eastAsia" w:hAnsi="宋体" w:cs="宋体"/>
          <w:color w:val="auto"/>
          <w:szCs w:val="21"/>
          <w:highlight w:val="none"/>
        </w:rPr>
        <w:t>1、如出现市对区考核扣分等未列入评分细则的情况，但确实属于承包人原因造成的，由考核小组根据过错大小、影响轻重等情况予以扣分</w:t>
      </w:r>
      <w:r>
        <w:rPr>
          <w:rFonts w:hint="eastAsia" w:hAnsi="宋体" w:cs="宋体"/>
          <w:color w:val="auto"/>
          <w:szCs w:val="21"/>
          <w:highlight w:val="none"/>
          <w:lang w:eastAsia="zh-CN"/>
        </w:rPr>
        <w:t>。</w:t>
      </w:r>
    </w:p>
    <w:p w14:paraId="61620A74">
      <w:pPr>
        <w:keepNext/>
        <w:keepLines/>
        <w:spacing w:before="240" w:beforeLines="100" w:line="360" w:lineRule="auto"/>
        <w:outlineLvl w:val="2"/>
        <w:rPr>
          <w:rFonts w:hint="eastAsia" w:ascii="宋体" w:hAnsi="宋体" w:cs="Calibri"/>
          <w:b/>
          <w:color w:val="auto"/>
          <w:szCs w:val="21"/>
          <w:highlight w:val="none"/>
        </w:rPr>
      </w:pPr>
      <w:r>
        <w:rPr>
          <w:rFonts w:ascii="宋体" w:hAnsi="宋体" w:cs="宋体"/>
          <w:b/>
          <w:bCs/>
          <w:color w:val="auto"/>
          <w:sz w:val="36"/>
          <w:highlight w:val="none"/>
        </w:rPr>
        <w:br w:type="page"/>
      </w:r>
      <w:r>
        <w:rPr>
          <w:rFonts w:hint="eastAsia" w:ascii="宋体" w:hAnsi="宋体" w:cs="宋体"/>
          <w:b/>
          <w:bCs/>
          <w:color w:val="auto"/>
          <w:sz w:val="36"/>
          <w:highlight w:val="none"/>
        </w:rPr>
        <w:t>附件3：崇川区市政设施养护维修考核评价标准</w:t>
      </w:r>
    </w:p>
    <w:p w14:paraId="1D806793">
      <w:pPr>
        <w:spacing w:line="360" w:lineRule="auto"/>
        <w:ind w:firstLine="413" w:firstLineChars="196"/>
        <w:rPr>
          <w:rFonts w:hint="eastAsia" w:ascii="宋体" w:hAnsi="宋体" w:cs="Calibri"/>
          <w:b/>
          <w:color w:val="auto"/>
          <w:szCs w:val="21"/>
          <w:highlight w:val="none"/>
        </w:rPr>
      </w:pPr>
      <w:r>
        <w:rPr>
          <w:rFonts w:hint="eastAsia" w:ascii="宋体" w:hAnsi="宋体" w:cs="Calibri"/>
          <w:b/>
          <w:color w:val="auto"/>
          <w:szCs w:val="21"/>
          <w:highlight w:val="none"/>
        </w:rPr>
        <w:t>一、总则</w:t>
      </w:r>
    </w:p>
    <w:p w14:paraId="6F70E1CB">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为规范崇川区城市道路、桥梁及其附属设施养护维修工作，依据</w:t>
      </w:r>
      <w:r>
        <w:rPr>
          <w:rFonts w:ascii="宋体" w:hAnsi="宋体" w:cs="Calibri"/>
          <w:color w:val="auto"/>
          <w:szCs w:val="21"/>
          <w:highlight w:val="none"/>
        </w:rPr>
        <w:t>《城市道路管理条例》</w:t>
      </w:r>
      <w:r>
        <w:rPr>
          <w:rFonts w:hint="eastAsia" w:ascii="宋体" w:hAnsi="宋体" w:cs="Calibri"/>
          <w:color w:val="auto"/>
          <w:szCs w:val="21"/>
          <w:highlight w:val="none"/>
        </w:rPr>
        <w:t>、《城镇道路养护技术规范》CJJ36-2016、《城市桥梁养护技术标准》</w:t>
      </w:r>
      <w:r>
        <w:rPr>
          <w:rFonts w:ascii="宋体" w:hAnsi="宋体" w:cs="Calibri"/>
          <w:color w:val="auto"/>
          <w:szCs w:val="21"/>
          <w:highlight w:val="none"/>
        </w:rPr>
        <w:t>CJJ</w:t>
      </w:r>
      <w:r>
        <w:rPr>
          <w:rFonts w:hint="eastAsia" w:ascii="宋体" w:hAnsi="宋体" w:cs="Calibri"/>
          <w:color w:val="auto"/>
          <w:szCs w:val="21"/>
          <w:highlight w:val="none"/>
        </w:rPr>
        <w:t>99</w:t>
      </w:r>
      <w:r>
        <w:rPr>
          <w:rFonts w:ascii="宋体" w:hAnsi="宋体" w:cs="Calibri"/>
          <w:color w:val="auto"/>
          <w:szCs w:val="21"/>
          <w:highlight w:val="none"/>
        </w:rPr>
        <w:t>-201</w:t>
      </w:r>
      <w:r>
        <w:rPr>
          <w:rFonts w:hint="eastAsia" w:ascii="宋体" w:hAnsi="宋体" w:cs="Calibri"/>
          <w:color w:val="auto"/>
          <w:szCs w:val="21"/>
          <w:highlight w:val="none"/>
        </w:rPr>
        <w:t>7、《给水排水管道工程施工及验收规范》GB50268-2008等规定，结合崇川区实际，特制定本考核办法。本办法适用于崇川区市政设施养护维修工作的检查与考核。</w:t>
      </w:r>
    </w:p>
    <w:p w14:paraId="75B42CAC">
      <w:pPr>
        <w:spacing w:line="360" w:lineRule="auto"/>
        <w:ind w:left="-25" w:leftChars="-12" w:firstLine="422" w:firstLineChars="200"/>
        <w:rPr>
          <w:rFonts w:hint="eastAsia" w:ascii="宋体" w:hAnsi="宋体" w:cs="Calibri"/>
          <w:b/>
          <w:color w:val="auto"/>
          <w:szCs w:val="21"/>
          <w:highlight w:val="none"/>
        </w:rPr>
      </w:pPr>
      <w:r>
        <w:rPr>
          <w:rFonts w:hint="eastAsia" w:ascii="宋体" w:hAnsi="宋体" w:cs="Calibri"/>
          <w:b/>
          <w:color w:val="auto"/>
          <w:szCs w:val="21"/>
          <w:highlight w:val="none"/>
        </w:rPr>
        <w:t>二、考核工作组织</w:t>
      </w:r>
    </w:p>
    <w:p w14:paraId="035714A9">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1、考核工作由南通市崇川区城市工程建设管理中心（发包人）组织，各养护维修单位（承包人）均应接受考核。</w:t>
      </w:r>
    </w:p>
    <w:p w14:paraId="2EFC6F52">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2、考核小组由崇川区市政和绿化管理局、南通市崇川区城市工程建设管理中心及监理单位代表组成。</w:t>
      </w:r>
    </w:p>
    <w:p w14:paraId="740000CE">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3、按月开展考核，总分100分。</w:t>
      </w:r>
    </w:p>
    <w:p w14:paraId="19A9494A">
      <w:pPr>
        <w:spacing w:line="360" w:lineRule="auto"/>
        <w:ind w:left="-25" w:leftChars="-12" w:firstLine="420" w:firstLineChars="200"/>
        <w:rPr>
          <w:rFonts w:hint="eastAsia" w:ascii="宋体" w:hAnsi="宋体" w:cs="Calibri"/>
          <w:color w:val="auto"/>
          <w:szCs w:val="21"/>
          <w:highlight w:val="none"/>
        </w:rPr>
      </w:pPr>
      <w:r>
        <w:rPr>
          <w:rFonts w:hint="eastAsia" w:ascii="宋体" w:hAnsi="宋体" w:cs="Calibri"/>
          <w:color w:val="auto"/>
          <w:szCs w:val="21"/>
          <w:highlight w:val="none"/>
        </w:rPr>
        <w:t>4、考核方式包括：日常考核与集中考核两部分。日常考核以发包人日常检查为主，由发包人对照考核评价标准对各标段养护维修情况进行检查；集中考核由考核小组选取5个维修点位，按考核评价标准进场检查。</w:t>
      </w:r>
    </w:p>
    <w:p w14:paraId="30C04025">
      <w:pPr>
        <w:spacing w:line="360" w:lineRule="auto"/>
        <w:ind w:left="-25" w:leftChars="-12" w:firstLine="422" w:firstLineChars="200"/>
        <w:rPr>
          <w:rFonts w:hint="eastAsia" w:ascii="宋体" w:hAnsi="宋体" w:cs="Calibri"/>
          <w:color w:val="auto"/>
          <w:szCs w:val="21"/>
          <w:highlight w:val="none"/>
        </w:rPr>
      </w:pPr>
      <w:r>
        <w:rPr>
          <w:rFonts w:hint="eastAsia" w:ascii="宋体" w:hAnsi="宋体" w:cs="Calibri"/>
          <w:b/>
          <w:color w:val="auto"/>
          <w:szCs w:val="21"/>
          <w:highlight w:val="none"/>
        </w:rPr>
        <w:t>三、考核评价标准</w:t>
      </w:r>
    </w:p>
    <w:tbl>
      <w:tblPr>
        <w:tblStyle w:val="25"/>
        <w:tblpPr w:leftFromText="180" w:rightFromText="180" w:vertAnchor="text" w:horzAnchor="page" w:tblpX="1183" w:tblpY="855"/>
        <w:tblOverlap w:val="never"/>
        <w:tblW w:w="99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0"/>
        <w:gridCol w:w="1200"/>
        <w:gridCol w:w="670"/>
        <w:gridCol w:w="3667"/>
        <w:gridCol w:w="3793"/>
      </w:tblGrid>
      <w:tr w14:paraId="00A21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1860" w:type="dxa"/>
            <w:gridSpan w:val="2"/>
            <w:vAlign w:val="center"/>
          </w:tcPr>
          <w:p w14:paraId="5E892D0C">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分类</w:t>
            </w:r>
          </w:p>
        </w:tc>
        <w:tc>
          <w:tcPr>
            <w:tcW w:w="670" w:type="dxa"/>
            <w:vAlign w:val="center"/>
          </w:tcPr>
          <w:p w14:paraId="2F411161">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条目</w:t>
            </w:r>
          </w:p>
        </w:tc>
        <w:tc>
          <w:tcPr>
            <w:tcW w:w="3667" w:type="dxa"/>
            <w:vAlign w:val="center"/>
          </w:tcPr>
          <w:p w14:paraId="1C17C668">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考核内容及养护维修要求</w:t>
            </w:r>
          </w:p>
        </w:tc>
        <w:tc>
          <w:tcPr>
            <w:tcW w:w="3793" w:type="dxa"/>
            <w:vAlign w:val="center"/>
          </w:tcPr>
          <w:p w14:paraId="414EBBD4">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评分细则</w:t>
            </w:r>
          </w:p>
        </w:tc>
      </w:tr>
      <w:tr w14:paraId="5A4A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4" w:hRule="atLeast"/>
          <w:jc w:val="center"/>
        </w:trPr>
        <w:tc>
          <w:tcPr>
            <w:tcW w:w="660" w:type="dxa"/>
            <w:vMerge w:val="restart"/>
            <w:vAlign w:val="center"/>
          </w:tcPr>
          <w:p w14:paraId="59C5EFD2">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及</w:t>
            </w:r>
          </w:p>
          <w:p w14:paraId="1E0EA05B">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时</w:t>
            </w:r>
          </w:p>
          <w:p w14:paraId="7E9C2C63">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率</w:t>
            </w:r>
          </w:p>
          <w:p w14:paraId="3ADDBE1E">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w:t>
            </w:r>
          </w:p>
          <w:p w14:paraId="540D2A61">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核</w:t>
            </w:r>
          </w:p>
        </w:tc>
        <w:tc>
          <w:tcPr>
            <w:tcW w:w="1200" w:type="dxa"/>
            <w:vAlign w:val="center"/>
          </w:tcPr>
          <w:p w14:paraId="0774A1C5">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一类维修:</w:t>
            </w:r>
          </w:p>
        </w:tc>
        <w:tc>
          <w:tcPr>
            <w:tcW w:w="670" w:type="dxa"/>
            <w:vAlign w:val="center"/>
          </w:tcPr>
          <w:p w14:paraId="71ACEE12">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w:t>
            </w:r>
          </w:p>
        </w:tc>
        <w:tc>
          <w:tcPr>
            <w:tcW w:w="3667" w:type="dxa"/>
          </w:tcPr>
          <w:p w14:paraId="169CFBB6">
            <w:pPr>
              <w:pStyle w:val="95"/>
              <w:numPr>
                <w:ilvl w:val="0"/>
                <w:numId w:val="0"/>
              </w:numPr>
              <w:spacing w:after="12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零星的沥青路面坑塘、松散、沉陷、拥包、翻浆，零星的水泥砼路面坑塘、沉陷、破碎、露骨、错台，零星的人行道沉陷、缺失、松散、拱起、错台等，</w:t>
            </w:r>
          </w:p>
          <w:p w14:paraId="4C8F1050">
            <w:pPr>
              <w:pStyle w:val="95"/>
              <w:numPr>
                <w:ilvl w:val="0"/>
                <w:numId w:val="0"/>
              </w:numPr>
              <w:spacing w:after="12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井盖、边框更换、雨水口维修改造、井框高差调平、侧缘石、镶边石缺损等，</w:t>
            </w:r>
          </w:p>
          <w:p w14:paraId="69168BDD">
            <w:pPr>
              <w:pStyle w:val="95"/>
              <w:numPr>
                <w:ilvl w:val="0"/>
                <w:numId w:val="0"/>
              </w:numPr>
              <w:spacing w:after="12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3</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零星的掘路恢复</w:t>
            </w:r>
          </w:p>
          <w:p w14:paraId="6A00E4A8">
            <w:pPr>
              <w:pStyle w:val="95"/>
              <w:numPr>
                <w:ilvl w:val="0"/>
                <w:numId w:val="0"/>
              </w:numPr>
              <w:spacing w:after="120"/>
              <w:jc w:val="both"/>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4</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发包人指派的其他一般维修任务</w:t>
            </w:r>
          </w:p>
        </w:tc>
        <w:tc>
          <w:tcPr>
            <w:tcW w:w="3793" w:type="dxa"/>
            <w:vAlign w:val="center"/>
          </w:tcPr>
          <w:p w14:paraId="138CBC48">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未能在规定期限内修复的，按每件任务单每超期一天扣 1分。</w:t>
            </w:r>
          </w:p>
        </w:tc>
      </w:tr>
      <w:tr w14:paraId="42EEEA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60" w:type="dxa"/>
            <w:vMerge w:val="continue"/>
            <w:vAlign w:val="center"/>
          </w:tcPr>
          <w:p w14:paraId="63BBB317">
            <w:pPr>
              <w:widowControl/>
              <w:jc w:val="left"/>
              <w:rPr>
                <w:rFonts w:hint="eastAsia" w:ascii="宋体" w:hAnsi="宋体" w:eastAsia="宋体" w:cs="宋体"/>
                <w:color w:val="auto"/>
                <w:sz w:val="18"/>
                <w:szCs w:val="18"/>
                <w:highlight w:val="none"/>
              </w:rPr>
            </w:pPr>
          </w:p>
        </w:tc>
        <w:tc>
          <w:tcPr>
            <w:tcW w:w="1200" w:type="dxa"/>
            <w:vAlign w:val="center"/>
          </w:tcPr>
          <w:p w14:paraId="0906AF74">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二类维修:</w:t>
            </w:r>
          </w:p>
        </w:tc>
        <w:tc>
          <w:tcPr>
            <w:tcW w:w="670" w:type="dxa"/>
            <w:vAlign w:val="center"/>
          </w:tcPr>
          <w:p w14:paraId="0F45BE29">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2</w:t>
            </w:r>
          </w:p>
        </w:tc>
        <w:tc>
          <w:tcPr>
            <w:tcW w:w="3667" w:type="dxa"/>
            <w:vAlign w:val="center"/>
          </w:tcPr>
          <w:p w14:paraId="7E32A886">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啄木鸟案件、12345、数字化城管等平台案件应在规定时间内处置完毕并及时回复。</w:t>
            </w:r>
          </w:p>
        </w:tc>
        <w:tc>
          <w:tcPr>
            <w:tcW w:w="3793" w:type="dxa"/>
            <w:vAlign w:val="center"/>
          </w:tcPr>
          <w:p w14:paraId="08819097">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未在规定时间内处置完毕并及时回复的，每件扣2分。</w:t>
            </w:r>
          </w:p>
        </w:tc>
      </w:tr>
      <w:tr w14:paraId="6D0DC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60" w:type="dxa"/>
            <w:vMerge w:val="continue"/>
            <w:vAlign w:val="center"/>
          </w:tcPr>
          <w:p w14:paraId="464E6BFA">
            <w:pPr>
              <w:widowControl/>
              <w:jc w:val="left"/>
              <w:rPr>
                <w:rFonts w:hint="eastAsia" w:ascii="宋体" w:hAnsi="宋体" w:eastAsia="宋体" w:cs="宋体"/>
                <w:color w:val="auto"/>
                <w:sz w:val="18"/>
                <w:szCs w:val="18"/>
                <w:highlight w:val="none"/>
              </w:rPr>
            </w:pPr>
          </w:p>
        </w:tc>
        <w:tc>
          <w:tcPr>
            <w:tcW w:w="1200" w:type="dxa"/>
            <w:vAlign w:val="center"/>
          </w:tcPr>
          <w:p w14:paraId="0068873E">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三类维修:</w:t>
            </w:r>
          </w:p>
        </w:tc>
        <w:tc>
          <w:tcPr>
            <w:tcW w:w="670" w:type="dxa"/>
            <w:vAlign w:val="center"/>
          </w:tcPr>
          <w:p w14:paraId="18D7C6A2">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w:t>
            </w:r>
          </w:p>
        </w:tc>
        <w:tc>
          <w:tcPr>
            <w:tcW w:w="3667" w:type="dxa"/>
            <w:vAlign w:val="center"/>
          </w:tcPr>
          <w:p w14:paraId="78F930F2">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上级交办、应急、抢修等任务应在规定时间内处置完毕并做结案回复</w:t>
            </w:r>
          </w:p>
        </w:tc>
        <w:tc>
          <w:tcPr>
            <w:tcW w:w="3793" w:type="dxa"/>
            <w:vAlign w:val="center"/>
          </w:tcPr>
          <w:p w14:paraId="62E5C17F">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未在规定时间内处置完毕并做结案回复的，每件每延期一天扣5分。</w:t>
            </w:r>
          </w:p>
          <w:p w14:paraId="6B20AB6B">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按时完成的每件的加分规则按审计造价每10万元加1分（保留1位有效数字，不足1分按1分计，最多加5分）。</w:t>
            </w:r>
          </w:p>
          <w:p w14:paraId="6CE4390C">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加分须在审计报告日期以后的6 个月且在合同期内使用。</w:t>
            </w:r>
          </w:p>
        </w:tc>
      </w:tr>
      <w:tr w14:paraId="20275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660" w:type="dxa"/>
            <w:vMerge w:val="continue"/>
            <w:vAlign w:val="center"/>
          </w:tcPr>
          <w:p w14:paraId="13A22071">
            <w:pPr>
              <w:widowControl/>
              <w:jc w:val="left"/>
              <w:rPr>
                <w:rFonts w:hint="eastAsia" w:ascii="宋体" w:hAnsi="宋体" w:eastAsia="宋体" w:cs="宋体"/>
                <w:color w:val="auto"/>
                <w:sz w:val="18"/>
                <w:szCs w:val="18"/>
                <w:highlight w:val="none"/>
              </w:rPr>
            </w:pPr>
          </w:p>
        </w:tc>
        <w:tc>
          <w:tcPr>
            <w:tcW w:w="1200" w:type="dxa"/>
            <w:vAlign w:val="center"/>
          </w:tcPr>
          <w:p w14:paraId="41548466">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加分项</w:t>
            </w:r>
          </w:p>
        </w:tc>
        <w:tc>
          <w:tcPr>
            <w:tcW w:w="670" w:type="dxa"/>
            <w:vAlign w:val="center"/>
          </w:tcPr>
          <w:p w14:paraId="7FDB5BF4">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w:t>
            </w:r>
          </w:p>
        </w:tc>
        <w:tc>
          <w:tcPr>
            <w:tcW w:w="3667" w:type="dxa"/>
            <w:vAlign w:val="center"/>
          </w:tcPr>
          <w:p w14:paraId="4E5F87D4">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承包人在按时完成本片区维修任务的前提下，服从发包人指令，帮助效率低下、进度滞后的其他承包人完成维修任务的。</w:t>
            </w:r>
          </w:p>
        </w:tc>
        <w:tc>
          <w:tcPr>
            <w:tcW w:w="3793" w:type="dxa"/>
            <w:vAlign w:val="center"/>
          </w:tcPr>
          <w:p w14:paraId="0AFC5E21">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根据完成情况酌情每项任务加1-3分。</w:t>
            </w:r>
          </w:p>
          <w:p w14:paraId="39151114">
            <w:pPr>
              <w:ind w:left="420" w:leftChars="200" w:firstLine="360" w:firstLineChars="200"/>
              <w:rPr>
                <w:rFonts w:hint="eastAsia" w:ascii="宋体" w:hAnsi="宋体" w:eastAsia="宋体" w:cs="宋体"/>
                <w:color w:val="auto"/>
                <w:kern w:val="0"/>
                <w:sz w:val="18"/>
                <w:szCs w:val="18"/>
                <w:highlight w:val="none"/>
              </w:rPr>
            </w:pPr>
          </w:p>
        </w:tc>
      </w:tr>
      <w:tr w14:paraId="6087C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60" w:type="dxa"/>
            <w:vAlign w:val="center"/>
          </w:tcPr>
          <w:p w14:paraId="0A8D4952">
            <w:pPr>
              <w:widowControl/>
              <w:jc w:val="center"/>
              <w:rPr>
                <w:rFonts w:hint="eastAsia" w:ascii="宋体" w:hAnsi="宋体" w:eastAsia="宋体" w:cs="宋体"/>
                <w:color w:val="auto"/>
                <w:sz w:val="18"/>
                <w:szCs w:val="18"/>
                <w:highlight w:val="none"/>
              </w:rPr>
            </w:pPr>
          </w:p>
        </w:tc>
        <w:tc>
          <w:tcPr>
            <w:tcW w:w="1200" w:type="dxa"/>
            <w:vAlign w:val="center"/>
          </w:tcPr>
          <w:p w14:paraId="2E407FFA">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减分项</w:t>
            </w:r>
          </w:p>
        </w:tc>
        <w:tc>
          <w:tcPr>
            <w:tcW w:w="670" w:type="dxa"/>
            <w:vAlign w:val="center"/>
          </w:tcPr>
          <w:p w14:paraId="4E5E9029">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5</w:t>
            </w:r>
          </w:p>
        </w:tc>
        <w:tc>
          <w:tcPr>
            <w:tcW w:w="3667" w:type="dxa"/>
            <w:vAlign w:val="center"/>
          </w:tcPr>
          <w:p w14:paraId="7165B73E">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承包人在按时完成本片区维修任务的前提下，不服从发包人指令，帮助效率低下、进度滞后的其他承包人完成维修任务的。</w:t>
            </w:r>
          </w:p>
        </w:tc>
        <w:tc>
          <w:tcPr>
            <w:tcW w:w="3793" w:type="dxa"/>
            <w:vAlign w:val="center"/>
          </w:tcPr>
          <w:p w14:paraId="6BBB6735">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根据情况每项任务减3分。</w:t>
            </w:r>
          </w:p>
          <w:p w14:paraId="0F8FE186">
            <w:pPr>
              <w:widowControl/>
              <w:jc w:val="left"/>
              <w:rPr>
                <w:rFonts w:hint="eastAsia" w:ascii="宋体" w:hAnsi="宋体" w:eastAsia="宋体" w:cs="宋体"/>
                <w:color w:val="auto"/>
                <w:sz w:val="18"/>
                <w:szCs w:val="18"/>
                <w:highlight w:val="none"/>
              </w:rPr>
            </w:pPr>
          </w:p>
        </w:tc>
      </w:tr>
      <w:tr w14:paraId="0758A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5" w:hRule="atLeast"/>
          <w:jc w:val="center"/>
        </w:trPr>
        <w:tc>
          <w:tcPr>
            <w:tcW w:w="660" w:type="dxa"/>
            <w:vMerge w:val="restart"/>
            <w:vAlign w:val="center"/>
          </w:tcPr>
          <w:p w14:paraId="53339596">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质</w:t>
            </w:r>
          </w:p>
          <w:p w14:paraId="18844EE1">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量</w:t>
            </w:r>
          </w:p>
          <w:p w14:paraId="1A9371D6">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要</w:t>
            </w:r>
          </w:p>
          <w:p w14:paraId="38BD626E">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求</w:t>
            </w:r>
          </w:p>
        </w:tc>
        <w:tc>
          <w:tcPr>
            <w:tcW w:w="1200" w:type="dxa"/>
            <w:vAlign w:val="center"/>
          </w:tcPr>
          <w:p w14:paraId="5134499A">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施工组织设计、专项施工方案及预算</w:t>
            </w:r>
          </w:p>
        </w:tc>
        <w:tc>
          <w:tcPr>
            <w:tcW w:w="670" w:type="dxa"/>
            <w:vAlign w:val="center"/>
          </w:tcPr>
          <w:p w14:paraId="56BA8D6A">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6</w:t>
            </w:r>
          </w:p>
        </w:tc>
        <w:tc>
          <w:tcPr>
            <w:tcW w:w="3667" w:type="dxa"/>
            <w:vAlign w:val="center"/>
          </w:tcPr>
          <w:p w14:paraId="29445F04">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按发包人要求编制的专项施工方案（内容应包含预算、施工方案、质量保障措施与安全技术措施、扬尘管控、交通组织设计等）</w:t>
            </w:r>
          </w:p>
          <w:p w14:paraId="4A178D61">
            <w:pPr>
              <w:rPr>
                <w:rFonts w:hint="eastAsia" w:ascii="宋体" w:hAnsi="宋体" w:eastAsia="宋体" w:cs="宋体"/>
                <w:color w:val="auto"/>
                <w:kern w:val="0"/>
                <w:sz w:val="18"/>
                <w:szCs w:val="18"/>
                <w:highlight w:val="none"/>
              </w:rPr>
            </w:pPr>
          </w:p>
        </w:tc>
        <w:tc>
          <w:tcPr>
            <w:tcW w:w="3793" w:type="dxa"/>
            <w:vAlign w:val="center"/>
          </w:tcPr>
          <w:p w14:paraId="732274A9">
            <w:pPr>
              <w:widowControl/>
              <w:rPr>
                <w:rFonts w:hint="eastAsia" w:ascii="宋体" w:hAnsi="宋体" w:eastAsia="宋体" w:cs="宋体"/>
                <w:strike/>
                <w:color w:val="auto"/>
                <w:sz w:val="18"/>
                <w:szCs w:val="18"/>
                <w:highlight w:val="none"/>
              </w:rPr>
            </w:pPr>
            <w:r>
              <w:rPr>
                <w:rFonts w:hint="eastAsia" w:ascii="宋体" w:hAnsi="宋体" w:eastAsia="宋体" w:cs="宋体"/>
                <w:color w:val="auto"/>
                <w:sz w:val="18"/>
                <w:szCs w:val="18"/>
                <w:highlight w:val="none"/>
              </w:rPr>
              <w:t>未按发包人要求编制经监理单位审核确认的专项施工方案并及时上报的，每缺一项扣3分。</w:t>
            </w:r>
          </w:p>
        </w:tc>
      </w:tr>
      <w:tr w14:paraId="3B9AE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60" w:type="dxa"/>
            <w:vMerge w:val="continue"/>
            <w:vAlign w:val="center"/>
          </w:tcPr>
          <w:p w14:paraId="63BA2F7C">
            <w:pPr>
              <w:widowControl/>
              <w:jc w:val="left"/>
              <w:rPr>
                <w:rFonts w:hint="eastAsia" w:ascii="宋体" w:hAnsi="宋体" w:eastAsia="宋体" w:cs="宋体"/>
                <w:color w:val="auto"/>
                <w:sz w:val="18"/>
                <w:szCs w:val="18"/>
                <w:highlight w:val="none"/>
              </w:rPr>
            </w:pPr>
          </w:p>
        </w:tc>
        <w:tc>
          <w:tcPr>
            <w:tcW w:w="1200" w:type="dxa"/>
            <w:vAlign w:val="center"/>
          </w:tcPr>
          <w:p w14:paraId="30C7EDF2">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维修范围要求</w:t>
            </w:r>
          </w:p>
        </w:tc>
        <w:tc>
          <w:tcPr>
            <w:tcW w:w="670" w:type="dxa"/>
            <w:vAlign w:val="center"/>
          </w:tcPr>
          <w:p w14:paraId="7C7718E8">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7</w:t>
            </w:r>
          </w:p>
        </w:tc>
        <w:tc>
          <w:tcPr>
            <w:tcW w:w="3667" w:type="dxa"/>
            <w:vAlign w:val="center"/>
          </w:tcPr>
          <w:p w14:paraId="03AA00F4">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承包人应严格按照发包人确定的方案实施养护维修作业，未经发包人批准严禁擅自变更。</w:t>
            </w:r>
          </w:p>
          <w:p w14:paraId="4F53845F">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维修点附近的局部损坏的设施,必须及时上报并按发包人要求进行同步维修</w:t>
            </w:r>
          </w:p>
        </w:tc>
        <w:tc>
          <w:tcPr>
            <w:tcW w:w="3793" w:type="dxa"/>
            <w:vAlign w:val="center"/>
          </w:tcPr>
          <w:p w14:paraId="66105D40">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承包人未按照发包人确定的方案实施养护维修作业，未经批准擅自变更的，每发生一起扣5分。</w:t>
            </w:r>
          </w:p>
          <w:p w14:paraId="2EC7D121">
            <w:pPr>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维修点附近的局部损坏的设施,未及时上报且未同步维修的，每发现一处扣2分；未按期整改到位的再扣3分，拒不整改的再扣10分。</w:t>
            </w:r>
          </w:p>
        </w:tc>
      </w:tr>
      <w:tr w14:paraId="1508F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0" w:hRule="atLeast"/>
          <w:jc w:val="center"/>
        </w:trPr>
        <w:tc>
          <w:tcPr>
            <w:tcW w:w="660" w:type="dxa"/>
            <w:vMerge w:val="continue"/>
            <w:vAlign w:val="center"/>
          </w:tcPr>
          <w:p w14:paraId="59A63F75">
            <w:pPr>
              <w:widowControl/>
              <w:jc w:val="left"/>
              <w:rPr>
                <w:rFonts w:hint="eastAsia" w:ascii="宋体" w:hAnsi="宋体" w:eastAsia="宋体" w:cs="宋体"/>
                <w:color w:val="auto"/>
                <w:sz w:val="18"/>
                <w:szCs w:val="18"/>
                <w:highlight w:val="none"/>
              </w:rPr>
            </w:pPr>
          </w:p>
        </w:tc>
        <w:tc>
          <w:tcPr>
            <w:tcW w:w="1200" w:type="dxa"/>
            <w:noWrap/>
            <w:vAlign w:val="center"/>
          </w:tcPr>
          <w:p w14:paraId="2ADC8B80">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原材料</w:t>
            </w:r>
          </w:p>
        </w:tc>
        <w:tc>
          <w:tcPr>
            <w:tcW w:w="670" w:type="dxa"/>
            <w:vAlign w:val="center"/>
          </w:tcPr>
          <w:p w14:paraId="238A6DC9">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8</w:t>
            </w:r>
          </w:p>
        </w:tc>
        <w:tc>
          <w:tcPr>
            <w:tcW w:w="3667" w:type="dxa"/>
            <w:vAlign w:val="center"/>
          </w:tcPr>
          <w:p w14:paraId="42247728">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所有原材料应满足合同与相关标准、规范要求。</w:t>
            </w:r>
          </w:p>
        </w:tc>
        <w:tc>
          <w:tcPr>
            <w:tcW w:w="3793" w:type="dxa"/>
            <w:vAlign w:val="center"/>
          </w:tcPr>
          <w:p w14:paraId="3FC735F2">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第一次被发现原材料不满足合同与相关标准、规范要求且及时整改到位的扣5分；未及时整改到位的加扣5分。</w:t>
            </w:r>
          </w:p>
        </w:tc>
      </w:tr>
      <w:tr w14:paraId="13FD14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9" w:hRule="atLeast"/>
          <w:jc w:val="center"/>
        </w:trPr>
        <w:tc>
          <w:tcPr>
            <w:tcW w:w="660" w:type="dxa"/>
            <w:vMerge w:val="continue"/>
            <w:vAlign w:val="center"/>
          </w:tcPr>
          <w:p w14:paraId="136F1742">
            <w:pPr>
              <w:widowControl/>
              <w:jc w:val="left"/>
              <w:rPr>
                <w:rFonts w:hint="eastAsia" w:ascii="宋体" w:hAnsi="宋体" w:eastAsia="宋体" w:cs="宋体"/>
                <w:color w:val="auto"/>
                <w:sz w:val="18"/>
                <w:szCs w:val="18"/>
                <w:highlight w:val="none"/>
              </w:rPr>
            </w:pPr>
          </w:p>
        </w:tc>
        <w:tc>
          <w:tcPr>
            <w:tcW w:w="1200" w:type="dxa"/>
            <w:vAlign w:val="center"/>
          </w:tcPr>
          <w:p w14:paraId="2977A2C0">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道路维修质量控制</w:t>
            </w:r>
          </w:p>
        </w:tc>
        <w:tc>
          <w:tcPr>
            <w:tcW w:w="670" w:type="dxa"/>
            <w:vAlign w:val="center"/>
          </w:tcPr>
          <w:p w14:paraId="482BADB2">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9</w:t>
            </w:r>
          </w:p>
        </w:tc>
        <w:tc>
          <w:tcPr>
            <w:tcW w:w="3667" w:type="dxa"/>
            <w:vAlign w:val="center"/>
          </w:tcPr>
          <w:p w14:paraId="34986114">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下列各项均应满足设计与《城镇道路养护技术规范》的要求：</w:t>
            </w:r>
          </w:p>
          <w:p w14:paraId="3CD7F085">
            <w:pPr>
              <w:widowControl/>
              <w:numPr>
                <w:ilvl w:val="0"/>
                <w:numId w:val="5"/>
              </w:numPr>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沥青路面维修应加强凿边、铺筑、平整度、接茬、路框差、横坡的控制（2）水泥砼路面维修应加强切割、铺筑、平整度、相邻板差、伸缩缝、路框差、横坡的控制</w:t>
            </w:r>
          </w:p>
          <w:p w14:paraId="57FBA904">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（3）人行道维修应加强铺筑、强度、平整度、路框差、接茬、凿边滚边的控制</w:t>
            </w:r>
          </w:p>
          <w:p w14:paraId="2E34FFE1">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（4）应该满足规范要求其他事项</w:t>
            </w:r>
          </w:p>
        </w:tc>
        <w:tc>
          <w:tcPr>
            <w:tcW w:w="3793" w:type="dxa"/>
            <w:vAlign w:val="center"/>
          </w:tcPr>
          <w:p w14:paraId="43C5CD64">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有一处不满足《城镇道路养护技术规范》的扣2分；未按期整改到位的再扣3分，拒不整改的再扣5分。</w:t>
            </w:r>
          </w:p>
        </w:tc>
      </w:tr>
      <w:tr w14:paraId="25CC9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660" w:type="dxa"/>
            <w:vMerge w:val="continue"/>
            <w:vAlign w:val="center"/>
          </w:tcPr>
          <w:p w14:paraId="75017D8C">
            <w:pPr>
              <w:widowControl/>
              <w:jc w:val="left"/>
              <w:rPr>
                <w:rFonts w:hint="eastAsia" w:ascii="宋体" w:hAnsi="宋体" w:eastAsia="宋体" w:cs="宋体"/>
                <w:color w:val="auto"/>
                <w:sz w:val="18"/>
                <w:szCs w:val="18"/>
                <w:highlight w:val="none"/>
              </w:rPr>
            </w:pPr>
          </w:p>
        </w:tc>
        <w:tc>
          <w:tcPr>
            <w:tcW w:w="1200" w:type="dxa"/>
            <w:vAlign w:val="center"/>
          </w:tcPr>
          <w:p w14:paraId="6115FDCD">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排水维修质量控制</w:t>
            </w:r>
          </w:p>
        </w:tc>
        <w:tc>
          <w:tcPr>
            <w:tcW w:w="670" w:type="dxa"/>
            <w:vAlign w:val="center"/>
          </w:tcPr>
          <w:p w14:paraId="1AFA1992">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10</w:t>
            </w:r>
          </w:p>
        </w:tc>
        <w:tc>
          <w:tcPr>
            <w:tcW w:w="3667" w:type="dxa"/>
            <w:vAlign w:val="center"/>
          </w:tcPr>
          <w:p w14:paraId="2A62EB45">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下列各项均应满足设计与《给水排水管道工程施工及验收规范》的要求：</w:t>
            </w:r>
          </w:p>
          <w:p w14:paraId="35B3F38F">
            <w:pPr>
              <w:widowControl/>
              <w:numPr>
                <w:ilvl w:val="0"/>
                <w:numId w:val="6"/>
              </w:num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检查井、雨水口的规格、埋深、基层、基础、回填应砂浆饱满，内外双面抹灰且到位，砂浆配合比</w:t>
            </w:r>
          </w:p>
          <w:p w14:paraId="068FAE6F">
            <w:pPr>
              <w:widowControl/>
              <w:numPr>
                <w:ilvl w:val="0"/>
                <w:numId w:val="6"/>
              </w:num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排水管道的规格、材质、埋深、坡度、基层、基础、连接、沟槽回填</w:t>
            </w:r>
          </w:p>
          <w:p w14:paraId="00932707">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（3）严禁使用砂浆王等禁用添加剂。</w:t>
            </w:r>
          </w:p>
          <w:p w14:paraId="4125C247">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（4）应该满足规范要求其他事项</w:t>
            </w:r>
          </w:p>
        </w:tc>
        <w:tc>
          <w:tcPr>
            <w:tcW w:w="3793" w:type="dxa"/>
            <w:vAlign w:val="center"/>
          </w:tcPr>
          <w:p w14:paraId="0F8F05D3">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有一处不满足设计与《给水排水管道工程施工及验收规范》要求的扣2分；未按期整改到位的再扣3分，拒不整改的再扣5分。</w:t>
            </w:r>
          </w:p>
        </w:tc>
      </w:tr>
      <w:tr w14:paraId="3B7BC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4" w:hRule="atLeast"/>
          <w:jc w:val="center"/>
        </w:trPr>
        <w:tc>
          <w:tcPr>
            <w:tcW w:w="660" w:type="dxa"/>
            <w:vMerge w:val="continue"/>
            <w:vAlign w:val="center"/>
          </w:tcPr>
          <w:p w14:paraId="306CEC01">
            <w:pPr>
              <w:widowControl/>
              <w:jc w:val="left"/>
              <w:rPr>
                <w:rFonts w:hint="eastAsia" w:ascii="宋体" w:hAnsi="宋体" w:eastAsia="宋体" w:cs="宋体"/>
                <w:color w:val="auto"/>
                <w:sz w:val="18"/>
                <w:szCs w:val="18"/>
                <w:highlight w:val="none"/>
              </w:rPr>
            </w:pPr>
          </w:p>
        </w:tc>
        <w:tc>
          <w:tcPr>
            <w:tcW w:w="1200" w:type="dxa"/>
            <w:vAlign w:val="center"/>
          </w:tcPr>
          <w:p w14:paraId="08C983C6">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成品半成品保护</w:t>
            </w:r>
          </w:p>
        </w:tc>
        <w:tc>
          <w:tcPr>
            <w:tcW w:w="670" w:type="dxa"/>
            <w:vAlign w:val="center"/>
          </w:tcPr>
          <w:p w14:paraId="767DC33A">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11</w:t>
            </w:r>
          </w:p>
        </w:tc>
        <w:tc>
          <w:tcPr>
            <w:tcW w:w="3667" w:type="dxa"/>
            <w:vAlign w:val="center"/>
          </w:tcPr>
          <w:p w14:paraId="3B110158">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严禁直接在路面、人行道上拌制砂浆、混凝土等；严禁将建渣、杂物丢弃至作业路段、树穴、绿化带或排水井及管道；严禁金属履带的挖掘机在路面、人行道上行驶；工完料净；对新建的成品半成品必须保养到位。</w:t>
            </w:r>
          </w:p>
        </w:tc>
        <w:tc>
          <w:tcPr>
            <w:tcW w:w="3793" w:type="dxa"/>
            <w:vAlign w:val="center"/>
          </w:tcPr>
          <w:p w14:paraId="0586410D">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未按要求做的，每发现一起扣 2分；未按期整改到位的再扣3分，拒不整改的再扣10分。</w:t>
            </w:r>
          </w:p>
        </w:tc>
      </w:tr>
      <w:tr w14:paraId="14EC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 w:hRule="atLeast"/>
          <w:jc w:val="center"/>
        </w:trPr>
        <w:tc>
          <w:tcPr>
            <w:tcW w:w="660" w:type="dxa"/>
            <w:vMerge w:val="restart"/>
            <w:shd w:val="clear" w:color="auto" w:fill="auto"/>
            <w:vAlign w:val="center"/>
          </w:tcPr>
          <w:p w14:paraId="22F22553">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安</w:t>
            </w:r>
          </w:p>
          <w:p w14:paraId="463324A6">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全</w:t>
            </w:r>
          </w:p>
          <w:p w14:paraId="0A8E7827">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文</w:t>
            </w:r>
          </w:p>
          <w:p w14:paraId="769FC398">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明</w:t>
            </w:r>
          </w:p>
          <w:p w14:paraId="7E393EF8">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施</w:t>
            </w:r>
          </w:p>
          <w:p w14:paraId="63D79C89">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工</w:t>
            </w:r>
          </w:p>
          <w:p w14:paraId="2DB88EDC">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要</w:t>
            </w:r>
          </w:p>
          <w:p w14:paraId="7F747D47">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求</w:t>
            </w:r>
          </w:p>
        </w:tc>
        <w:tc>
          <w:tcPr>
            <w:tcW w:w="1200" w:type="dxa"/>
            <w:shd w:val="clear" w:color="000000" w:fill="FFFFFF"/>
            <w:vAlign w:val="center"/>
          </w:tcPr>
          <w:p w14:paraId="0804241A">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安全管理体系</w:t>
            </w:r>
          </w:p>
        </w:tc>
        <w:tc>
          <w:tcPr>
            <w:tcW w:w="670" w:type="dxa"/>
            <w:shd w:val="clear" w:color="auto" w:fill="auto"/>
            <w:vAlign w:val="center"/>
          </w:tcPr>
          <w:p w14:paraId="296F1DCD">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12</w:t>
            </w:r>
          </w:p>
        </w:tc>
        <w:tc>
          <w:tcPr>
            <w:tcW w:w="3667" w:type="dxa"/>
            <w:shd w:val="clear" w:color="000000" w:fill="FFFFFF"/>
            <w:vAlign w:val="center"/>
          </w:tcPr>
          <w:p w14:paraId="491A5493">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建立健全的安全管理体系，完善养护维修安全管理台账。</w:t>
            </w:r>
          </w:p>
        </w:tc>
        <w:tc>
          <w:tcPr>
            <w:tcW w:w="3793" w:type="dxa"/>
            <w:shd w:val="clear" w:color="000000" w:fill="FFFFFF"/>
            <w:vAlign w:val="center"/>
          </w:tcPr>
          <w:p w14:paraId="186A4C7B">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未建立安全管理体系的扣5分；安全管理台账未能体现每月安全生产活动的，台账不全的扣2分，缺失的扣5分。</w:t>
            </w:r>
          </w:p>
        </w:tc>
      </w:tr>
      <w:tr w14:paraId="72500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60" w:type="dxa"/>
            <w:vMerge w:val="continue"/>
            <w:vAlign w:val="center"/>
          </w:tcPr>
          <w:p w14:paraId="00E93CD3">
            <w:pPr>
              <w:widowControl/>
              <w:jc w:val="left"/>
              <w:rPr>
                <w:rFonts w:hint="eastAsia" w:ascii="宋体" w:hAnsi="宋体" w:eastAsia="宋体" w:cs="宋体"/>
                <w:color w:val="auto"/>
                <w:sz w:val="18"/>
                <w:szCs w:val="18"/>
                <w:highlight w:val="none"/>
              </w:rPr>
            </w:pPr>
          </w:p>
        </w:tc>
        <w:tc>
          <w:tcPr>
            <w:tcW w:w="1200" w:type="dxa"/>
            <w:vAlign w:val="center"/>
          </w:tcPr>
          <w:p w14:paraId="74D7DE8B">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标准化</w:t>
            </w:r>
          </w:p>
          <w:p w14:paraId="2A959011">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考核</w:t>
            </w:r>
          </w:p>
        </w:tc>
        <w:tc>
          <w:tcPr>
            <w:tcW w:w="670" w:type="dxa"/>
            <w:vAlign w:val="center"/>
          </w:tcPr>
          <w:p w14:paraId="28DA6D8E">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13</w:t>
            </w:r>
          </w:p>
        </w:tc>
        <w:tc>
          <w:tcPr>
            <w:tcW w:w="3667" w:type="dxa"/>
            <w:vAlign w:val="center"/>
          </w:tcPr>
          <w:p w14:paraId="6F5DF508">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养护维修现场应按附件4《城市道路养护维修作业安全防护设施技术规程》要求设置告示牌、施工围挡、绕行提示、警示标志等，做好维修作业区安全防护管理。</w:t>
            </w:r>
          </w:p>
        </w:tc>
        <w:tc>
          <w:tcPr>
            <w:tcW w:w="3793" w:type="dxa"/>
            <w:vAlign w:val="center"/>
          </w:tcPr>
          <w:p w14:paraId="7244E241">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作业人员及管理人员未穿反光背心，未戴安全帽的，按每人每次扣</w:t>
            </w:r>
          </w:p>
          <w:p w14:paraId="1C91403F">
            <w:pPr>
              <w:widowControl/>
              <w:rPr>
                <w:rFonts w:hint="eastAsia" w:ascii="宋体" w:hAnsi="宋体" w:eastAsia="宋体" w:cs="宋体"/>
                <w:color w:val="auto"/>
                <w:sz w:val="18"/>
                <w:szCs w:val="18"/>
                <w:highlight w:val="none"/>
              </w:rPr>
            </w:pPr>
          </w:p>
          <w:p w14:paraId="0FE7C632">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0.5分；养护维修现场未按要求设置告示牌、施工围挡、绕行提示、警示标志、警示灯等，每发现一起扣1分，拒不整改的，扣3分；造成人身伤害或财产损失的，每发生一起扣10分，承包人应自行承担一切经济责任和法律责任。</w:t>
            </w:r>
          </w:p>
        </w:tc>
      </w:tr>
      <w:tr w14:paraId="7FE3BA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1" w:hRule="atLeast"/>
          <w:jc w:val="center"/>
        </w:trPr>
        <w:tc>
          <w:tcPr>
            <w:tcW w:w="660" w:type="dxa"/>
            <w:vMerge w:val="continue"/>
            <w:vAlign w:val="center"/>
          </w:tcPr>
          <w:p w14:paraId="53497DAF">
            <w:pPr>
              <w:widowControl/>
              <w:jc w:val="left"/>
              <w:rPr>
                <w:rFonts w:hint="eastAsia" w:ascii="宋体" w:hAnsi="宋体" w:eastAsia="宋体" w:cs="宋体"/>
                <w:color w:val="auto"/>
                <w:sz w:val="18"/>
                <w:szCs w:val="18"/>
                <w:highlight w:val="none"/>
              </w:rPr>
            </w:pPr>
          </w:p>
        </w:tc>
        <w:tc>
          <w:tcPr>
            <w:tcW w:w="1200" w:type="dxa"/>
            <w:vAlign w:val="center"/>
          </w:tcPr>
          <w:p w14:paraId="588BE04E">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突发事件应急处理</w:t>
            </w:r>
          </w:p>
        </w:tc>
        <w:tc>
          <w:tcPr>
            <w:tcW w:w="670" w:type="dxa"/>
            <w:vAlign w:val="center"/>
          </w:tcPr>
          <w:p w14:paraId="453FF5B5">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14</w:t>
            </w:r>
          </w:p>
        </w:tc>
        <w:tc>
          <w:tcPr>
            <w:tcW w:w="3667" w:type="dxa"/>
            <w:noWrap/>
            <w:vAlign w:val="center"/>
          </w:tcPr>
          <w:p w14:paraId="30E85B9D">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建立城市道路突发事件应急预案，加强重点区域安全保障措施，及时处理各类突发事件。</w:t>
            </w:r>
          </w:p>
        </w:tc>
        <w:tc>
          <w:tcPr>
            <w:tcW w:w="3793" w:type="dxa"/>
            <w:vAlign w:val="center"/>
          </w:tcPr>
          <w:p w14:paraId="7DDC02D9">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未建立应急预案的，扣5分。自发包人发出突发应急事件响应指令之时起，未能在1小时内赶赴现场，并设置安全警戒措施的，每次扣2分；拒不按发包人下达的处置方案实施应急抢修、抢险的，每次扣10分。</w:t>
            </w:r>
          </w:p>
        </w:tc>
      </w:tr>
      <w:tr w14:paraId="669D4F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5" w:hRule="atLeast"/>
          <w:jc w:val="center"/>
        </w:trPr>
        <w:tc>
          <w:tcPr>
            <w:tcW w:w="660" w:type="dxa"/>
            <w:vMerge w:val="continue"/>
            <w:vAlign w:val="center"/>
          </w:tcPr>
          <w:p w14:paraId="2E2770E1">
            <w:pPr>
              <w:widowControl/>
              <w:jc w:val="left"/>
              <w:rPr>
                <w:rFonts w:hint="eastAsia" w:ascii="宋体" w:hAnsi="宋体" w:eastAsia="宋体" w:cs="宋体"/>
                <w:color w:val="auto"/>
                <w:sz w:val="18"/>
                <w:szCs w:val="18"/>
                <w:highlight w:val="none"/>
              </w:rPr>
            </w:pPr>
          </w:p>
        </w:tc>
        <w:tc>
          <w:tcPr>
            <w:tcW w:w="1200" w:type="dxa"/>
            <w:vAlign w:val="center"/>
          </w:tcPr>
          <w:p w14:paraId="5AC6E2E4">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沟槽开挖与支护</w:t>
            </w:r>
          </w:p>
        </w:tc>
        <w:tc>
          <w:tcPr>
            <w:tcW w:w="670" w:type="dxa"/>
            <w:vAlign w:val="center"/>
          </w:tcPr>
          <w:p w14:paraId="58861F58">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15</w:t>
            </w:r>
          </w:p>
        </w:tc>
        <w:tc>
          <w:tcPr>
            <w:tcW w:w="3667" w:type="dxa"/>
            <w:noWrap/>
            <w:vAlign w:val="center"/>
          </w:tcPr>
          <w:p w14:paraId="2E6C25EB">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应根据工程特点与现场环境合理选择沟槽开挖方法、支护形式与降排水方案。严格遵守《危险性较大的分部分项工程安全管理办法》，深度3米以上的沟槽开挖应有专项施工方案，属超过一定规模的危险性较大的分部分项工程的专项施工方案应先通过专家论证。</w:t>
            </w:r>
          </w:p>
        </w:tc>
        <w:tc>
          <w:tcPr>
            <w:tcW w:w="3793" w:type="dxa"/>
            <w:vAlign w:val="center"/>
          </w:tcPr>
          <w:p w14:paraId="715B603A">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沟槽开挖方法、支护形式与降排水方案明显不合理，存在安全隐患的扣2分，拒不执行《危险性较大的分部分项工程安全管理办法》的扣10分。</w:t>
            </w:r>
          </w:p>
        </w:tc>
      </w:tr>
      <w:tr w14:paraId="5A8D2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6" w:hRule="atLeast"/>
          <w:jc w:val="center"/>
        </w:trPr>
        <w:tc>
          <w:tcPr>
            <w:tcW w:w="660" w:type="dxa"/>
            <w:vMerge w:val="continue"/>
            <w:vAlign w:val="center"/>
          </w:tcPr>
          <w:p w14:paraId="20C8469A">
            <w:pPr>
              <w:widowControl/>
              <w:jc w:val="left"/>
              <w:rPr>
                <w:rFonts w:hint="eastAsia" w:ascii="宋体" w:hAnsi="宋体" w:eastAsia="宋体" w:cs="宋体"/>
                <w:color w:val="auto"/>
                <w:sz w:val="18"/>
                <w:szCs w:val="18"/>
                <w:highlight w:val="none"/>
              </w:rPr>
            </w:pPr>
          </w:p>
        </w:tc>
        <w:tc>
          <w:tcPr>
            <w:tcW w:w="1200" w:type="dxa"/>
            <w:vAlign w:val="center"/>
          </w:tcPr>
          <w:p w14:paraId="0734F4B4">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管线保护</w:t>
            </w:r>
          </w:p>
        </w:tc>
        <w:tc>
          <w:tcPr>
            <w:tcW w:w="670" w:type="dxa"/>
            <w:vAlign w:val="center"/>
          </w:tcPr>
          <w:p w14:paraId="0FBB5F9A">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16</w:t>
            </w:r>
          </w:p>
        </w:tc>
        <w:tc>
          <w:tcPr>
            <w:tcW w:w="3667" w:type="dxa"/>
            <w:noWrap/>
            <w:vAlign w:val="center"/>
          </w:tcPr>
          <w:p w14:paraId="3C018A37">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承包人应按发包人要求及时参加管线交底，并按管线交底要求做好现场既有管线的保护工作。</w:t>
            </w:r>
          </w:p>
        </w:tc>
        <w:tc>
          <w:tcPr>
            <w:tcW w:w="3793" w:type="dxa"/>
            <w:vAlign w:val="center"/>
          </w:tcPr>
          <w:p w14:paraId="4ED3B257">
            <w:pPr>
              <w:widowControl/>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承包人拒不参加管线交底的，每次扣2分；因承包人原因导致管线损坏，造成停水、停电、网络中段、燃气泄漏等事故的，每发生一起扣2分；造成较大经济损失或安全事故的，每起扣10分，承包人应承担由此造成的一切法律及经济责任。</w:t>
            </w:r>
          </w:p>
        </w:tc>
      </w:tr>
      <w:tr w14:paraId="79C00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7" w:hRule="atLeast"/>
          <w:jc w:val="center"/>
        </w:trPr>
        <w:tc>
          <w:tcPr>
            <w:tcW w:w="660" w:type="dxa"/>
            <w:vMerge w:val="continue"/>
            <w:vAlign w:val="center"/>
          </w:tcPr>
          <w:p w14:paraId="22B6D66C">
            <w:pPr>
              <w:widowControl/>
              <w:jc w:val="left"/>
              <w:rPr>
                <w:rFonts w:hint="eastAsia" w:ascii="宋体" w:hAnsi="宋体" w:eastAsia="宋体" w:cs="宋体"/>
                <w:color w:val="auto"/>
                <w:sz w:val="18"/>
                <w:szCs w:val="18"/>
                <w:highlight w:val="none"/>
              </w:rPr>
            </w:pPr>
          </w:p>
        </w:tc>
        <w:tc>
          <w:tcPr>
            <w:tcW w:w="1200" w:type="dxa"/>
            <w:noWrap/>
            <w:vAlign w:val="center"/>
          </w:tcPr>
          <w:p w14:paraId="62BF9BCB">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扬尘管控</w:t>
            </w:r>
          </w:p>
        </w:tc>
        <w:tc>
          <w:tcPr>
            <w:tcW w:w="670" w:type="dxa"/>
            <w:vAlign w:val="center"/>
          </w:tcPr>
          <w:p w14:paraId="754170B7">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17</w:t>
            </w:r>
          </w:p>
        </w:tc>
        <w:tc>
          <w:tcPr>
            <w:tcW w:w="3667" w:type="dxa"/>
            <w:vAlign w:val="center"/>
          </w:tcPr>
          <w:p w14:paraId="19F30883">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养护维修作业现场及渣土清运必须符合关于印发《南通市扬尘整治百日行动方案》的通知（市扬尘整治“654”专项行动领导小组办公室，2022年9月9日）的要求。</w:t>
            </w:r>
          </w:p>
          <w:p w14:paraId="411FC12E">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配备移动水表、洒水车、移动切割棚、防尘网等。</w:t>
            </w:r>
          </w:p>
        </w:tc>
        <w:tc>
          <w:tcPr>
            <w:tcW w:w="3793" w:type="dxa"/>
            <w:vAlign w:val="center"/>
          </w:tcPr>
          <w:p w14:paraId="7B45F4EF">
            <w:pPr>
              <w:widowControl/>
              <w:jc w:val="left"/>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有一处不符合关于印发《南通市扬尘整治百日行动方案》的通知（市扬尘整治“654”专项行动领导小组办公室，2022年9月9日）要求的扣2分；未按期整改到位的再扣3分，拒不整改的再扣5分。有一起被行业主管部门或市民巡访团曝光的，扣10分。</w:t>
            </w:r>
          </w:p>
        </w:tc>
      </w:tr>
      <w:tr w14:paraId="04074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660" w:type="dxa"/>
            <w:vAlign w:val="center"/>
          </w:tcPr>
          <w:p w14:paraId="746AC3ED">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其他</w:t>
            </w:r>
          </w:p>
        </w:tc>
        <w:tc>
          <w:tcPr>
            <w:tcW w:w="1200" w:type="dxa"/>
            <w:vAlign w:val="center"/>
          </w:tcPr>
          <w:p w14:paraId="06C286F7">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媒体舆论</w:t>
            </w:r>
          </w:p>
        </w:tc>
        <w:tc>
          <w:tcPr>
            <w:tcW w:w="670" w:type="dxa"/>
            <w:vAlign w:val="center"/>
          </w:tcPr>
          <w:p w14:paraId="6BC6B4BF">
            <w:pPr>
              <w:widowControl/>
              <w:jc w:val="cente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18</w:t>
            </w:r>
          </w:p>
        </w:tc>
        <w:tc>
          <w:tcPr>
            <w:tcW w:w="3667" w:type="dxa"/>
            <w:vAlign w:val="center"/>
          </w:tcPr>
          <w:p w14:paraId="05532533">
            <w:pPr>
              <w:widowControl/>
              <w:numPr>
                <w:ilvl w:val="0"/>
                <w:numId w:val="7"/>
              </w:num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积极主动配合做好宣传报道</w:t>
            </w:r>
          </w:p>
          <w:p w14:paraId="1B83EEF4">
            <w:pPr>
              <w:widowControl/>
              <w:numPr>
                <w:ilvl w:val="0"/>
                <w:numId w:val="7"/>
              </w:numPr>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rPr>
              <w:t>不发生有责媒体报道事件，不发生重大负面新闻曝光。</w:t>
            </w:r>
          </w:p>
        </w:tc>
        <w:tc>
          <w:tcPr>
            <w:tcW w:w="3793" w:type="dxa"/>
            <w:vAlign w:val="center"/>
          </w:tcPr>
          <w:p w14:paraId="74986DE5">
            <w:pPr>
              <w:pStyle w:val="95"/>
              <w:numPr>
                <w:ilvl w:val="0"/>
                <w:numId w:val="0"/>
              </w:numPr>
              <w:spacing w:after="120"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1</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区级媒体正面报道加1分；市级媒体正面报道加2分；省级及以上媒体正面报道加3分（加分须在报道日期以后的6个月且在合同期内使用。）</w:t>
            </w:r>
          </w:p>
          <w:p w14:paraId="41B24FD6">
            <w:pPr>
              <w:pStyle w:val="95"/>
              <w:numPr>
                <w:ilvl w:val="0"/>
                <w:numId w:val="0"/>
              </w:numPr>
              <w:spacing w:after="120" w:line="240" w:lineRule="auto"/>
              <w:rPr>
                <w:rFonts w:hint="eastAsia" w:ascii="宋体" w:hAnsi="宋体" w:eastAsia="宋体" w:cs="宋体"/>
                <w:color w:val="auto"/>
                <w:sz w:val="18"/>
                <w:szCs w:val="18"/>
                <w:highlight w:val="none"/>
              </w:rPr>
            </w:pP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lang w:val="en-US" w:eastAsia="zh-CN"/>
              </w:rPr>
              <w:t>2</w:t>
            </w:r>
            <w:r>
              <w:rPr>
                <w:rFonts w:hint="eastAsia" w:ascii="宋体" w:hAnsi="宋体" w:eastAsia="宋体" w:cs="宋体"/>
                <w:color w:val="auto"/>
                <w:sz w:val="18"/>
                <w:szCs w:val="18"/>
                <w:highlight w:val="none"/>
                <w:lang w:eastAsia="zh-CN"/>
              </w:rPr>
              <w:t>）</w:t>
            </w:r>
            <w:r>
              <w:rPr>
                <w:rFonts w:hint="eastAsia" w:ascii="宋体" w:hAnsi="宋体" w:eastAsia="宋体" w:cs="宋体"/>
                <w:color w:val="auto"/>
                <w:sz w:val="18"/>
                <w:szCs w:val="18"/>
                <w:highlight w:val="none"/>
              </w:rPr>
              <w:t>发生有责媒体报道事件，每件扣2分；发生重大负面新闻曝光事件每件扣10分。</w:t>
            </w:r>
          </w:p>
        </w:tc>
      </w:tr>
    </w:tbl>
    <w:p w14:paraId="4476D2CA">
      <w:pPr>
        <w:keepNext w:val="0"/>
        <w:keepLines w:val="0"/>
        <w:pageBreakBefore w:val="0"/>
        <w:widowControl w:val="0"/>
        <w:tabs>
          <w:tab w:val="right" w:pos="9542"/>
        </w:tabs>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cs="Calibri"/>
          <w:b/>
          <w:color w:val="auto"/>
          <w:szCs w:val="21"/>
          <w:highlight w:val="none"/>
        </w:rPr>
      </w:pPr>
      <w:r>
        <w:rPr>
          <w:rFonts w:hint="eastAsia" w:ascii="宋体" w:hAnsi="宋体" w:cs="Calibri"/>
          <w:b/>
          <w:color w:val="auto"/>
          <w:szCs w:val="21"/>
          <w:highlight w:val="none"/>
        </w:rPr>
        <w:t>四、考核结果应用</w:t>
      </w:r>
    </w:p>
    <w:p w14:paraId="37AFFCAD">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Calibri"/>
          <w:color w:val="auto"/>
          <w:szCs w:val="21"/>
          <w:highlight w:val="none"/>
        </w:rPr>
      </w:pPr>
      <w:r>
        <w:rPr>
          <w:rFonts w:hint="eastAsia" w:ascii="宋体" w:hAnsi="宋体" w:cs="Calibri"/>
          <w:color w:val="auto"/>
          <w:szCs w:val="21"/>
          <w:highlight w:val="none"/>
        </w:rPr>
        <w:t>1、月度考核得分≥90分的</w:t>
      </w:r>
      <w:r>
        <w:rPr>
          <w:rFonts w:ascii="宋体" w:hAnsi="宋体" w:cs="Calibri"/>
          <w:color w:val="auto"/>
          <w:szCs w:val="21"/>
          <w:highlight w:val="none"/>
        </w:rPr>
        <w:t>，</w:t>
      </w:r>
      <w:r>
        <w:rPr>
          <w:rFonts w:hint="eastAsia" w:ascii="宋体" w:hAnsi="宋体" w:cs="Calibri"/>
          <w:color w:val="auto"/>
          <w:szCs w:val="21"/>
          <w:highlight w:val="none"/>
        </w:rPr>
        <w:t>月度养护维修经费按审计结果全额拨付。</w:t>
      </w:r>
    </w:p>
    <w:p w14:paraId="1BDC3C6C">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Calibri"/>
          <w:color w:val="auto"/>
          <w:szCs w:val="21"/>
          <w:highlight w:val="none"/>
        </w:rPr>
      </w:pPr>
      <w:r>
        <w:rPr>
          <w:rFonts w:hint="eastAsia" w:ascii="宋体" w:hAnsi="宋体" w:cs="Calibri"/>
          <w:color w:val="auto"/>
          <w:szCs w:val="21"/>
          <w:highlight w:val="none"/>
        </w:rPr>
        <w:t>2、90分&gt;月度考核得分</w:t>
      </w:r>
      <w:r>
        <w:rPr>
          <w:rFonts w:ascii="宋体" w:hAnsi="宋体" w:cs="Calibri"/>
          <w:color w:val="auto"/>
          <w:szCs w:val="21"/>
          <w:highlight w:val="none"/>
        </w:rPr>
        <w:t>≥</w:t>
      </w:r>
      <w:r>
        <w:rPr>
          <w:rFonts w:hint="eastAsia" w:ascii="宋体" w:hAnsi="宋体" w:cs="Calibri"/>
          <w:color w:val="auto"/>
          <w:szCs w:val="21"/>
          <w:highlight w:val="none"/>
        </w:rPr>
        <w:t>80分的，按（90-月度考核得分）×500元从月度养护维修经费内扣除相应金额；</w:t>
      </w:r>
    </w:p>
    <w:p w14:paraId="42191EA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Calibri"/>
          <w:color w:val="auto"/>
          <w:szCs w:val="21"/>
          <w:highlight w:val="none"/>
        </w:rPr>
      </w:pPr>
      <w:r>
        <w:rPr>
          <w:rFonts w:hint="eastAsia" w:ascii="宋体" w:hAnsi="宋体" w:cs="Calibri"/>
          <w:color w:val="auto"/>
          <w:szCs w:val="21"/>
          <w:highlight w:val="none"/>
        </w:rPr>
        <w:t>3、80分&gt;月度考核得分</w:t>
      </w:r>
      <w:r>
        <w:rPr>
          <w:rFonts w:ascii="宋体" w:hAnsi="宋体" w:cs="Calibri"/>
          <w:color w:val="auto"/>
          <w:szCs w:val="21"/>
          <w:highlight w:val="none"/>
        </w:rPr>
        <w:t>≥</w:t>
      </w:r>
      <w:r>
        <w:rPr>
          <w:rFonts w:hint="eastAsia" w:ascii="宋体" w:hAnsi="宋体" w:cs="Calibri"/>
          <w:color w:val="auto"/>
          <w:szCs w:val="21"/>
          <w:highlight w:val="none"/>
        </w:rPr>
        <w:t>70分的，按（90-月度考核得分）×1000元从月度养护维修经费内扣除相应金额；</w:t>
      </w:r>
    </w:p>
    <w:p w14:paraId="196AB745">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Calibri"/>
          <w:color w:val="auto"/>
          <w:szCs w:val="21"/>
          <w:highlight w:val="none"/>
        </w:rPr>
      </w:pPr>
      <w:r>
        <w:rPr>
          <w:rFonts w:hint="eastAsia" w:ascii="宋体" w:hAnsi="宋体" w:cs="Calibri"/>
          <w:color w:val="auto"/>
          <w:szCs w:val="21"/>
          <w:highlight w:val="none"/>
        </w:rPr>
        <w:t>4、70分&gt;月度考核得分</w:t>
      </w:r>
      <w:r>
        <w:rPr>
          <w:rFonts w:ascii="宋体" w:hAnsi="宋体" w:cs="Calibri"/>
          <w:color w:val="auto"/>
          <w:szCs w:val="21"/>
          <w:highlight w:val="none"/>
        </w:rPr>
        <w:t>≥</w:t>
      </w:r>
      <w:r>
        <w:rPr>
          <w:rFonts w:hint="eastAsia" w:ascii="宋体" w:hAnsi="宋体" w:cs="Calibri"/>
          <w:color w:val="auto"/>
          <w:szCs w:val="21"/>
          <w:highlight w:val="none"/>
        </w:rPr>
        <w:t>60分的</w:t>
      </w:r>
      <w:r>
        <w:rPr>
          <w:rFonts w:ascii="宋体" w:hAnsi="宋体" w:cs="Calibri"/>
          <w:color w:val="auto"/>
          <w:szCs w:val="21"/>
          <w:highlight w:val="none"/>
        </w:rPr>
        <w:t>，</w:t>
      </w:r>
      <w:r>
        <w:rPr>
          <w:rFonts w:hint="eastAsia" w:ascii="宋体" w:hAnsi="宋体" w:cs="Calibri"/>
          <w:color w:val="auto"/>
          <w:szCs w:val="21"/>
          <w:highlight w:val="none"/>
        </w:rPr>
        <w:t>按（90-月度考核得分）×2000元从月度养护维修经费内扣除相应金额；</w:t>
      </w:r>
    </w:p>
    <w:p w14:paraId="666F9434">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ascii="宋体" w:hAnsi="宋体" w:cs="Calibri"/>
          <w:color w:val="auto"/>
          <w:szCs w:val="21"/>
          <w:highlight w:val="none"/>
        </w:rPr>
      </w:pPr>
      <w:r>
        <w:rPr>
          <w:rFonts w:hint="eastAsia" w:ascii="宋体" w:hAnsi="宋体" w:cs="Calibri"/>
          <w:color w:val="auto"/>
          <w:szCs w:val="21"/>
          <w:highlight w:val="none"/>
        </w:rPr>
        <w:t>5、月度考核得分＜60分的，发包人有权提前解除合同，未结算的养护维修项目中的合格部分按60%结算审计，并扣除履约保证金。</w:t>
      </w:r>
    </w:p>
    <w:p w14:paraId="3D1FE66A">
      <w:pPr>
        <w:keepNext w:val="0"/>
        <w:keepLines w:val="0"/>
        <w:pageBreakBefore w:val="0"/>
        <w:widowControl w:val="0"/>
        <w:kinsoku/>
        <w:wordWrap/>
        <w:overflowPunct/>
        <w:topLinePunct w:val="0"/>
        <w:autoSpaceDE/>
        <w:autoSpaceDN/>
        <w:bidi w:val="0"/>
        <w:adjustRightInd/>
        <w:snapToGrid/>
        <w:spacing w:line="360" w:lineRule="auto"/>
        <w:ind w:left="0" w:leftChars="0" w:firstLine="422" w:firstLineChars="200"/>
        <w:textAlignment w:val="auto"/>
        <w:rPr>
          <w:rFonts w:hint="eastAsia" w:ascii="宋体" w:hAnsi="宋体" w:cs="Calibri"/>
          <w:b/>
          <w:color w:val="auto"/>
          <w:szCs w:val="21"/>
          <w:highlight w:val="none"/>
        </w:rPr>
      </w:pPr>
      <w:r>
        <w:rPr>
          <w:rFonts w:hint="eastAsia" w:ascii="宋体" w:hAnsi="宋体" w:cs="Calibri"/>
          <w:b/>
          <w:color w:val="auto"/>
          <w:szCs w:val="21"/>
          <w:highlight w:val="none"/>
        </w:rPr>
        <w:t>五、其他</w:t>
      </w:r>
    </w:p>
    <w:p w14:paraId="2ADF35D7">
      <w:pPr>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eastAsia" w:hAnsi="宋体" w:cs="宋体"/>
          <w:color w:val="auto"/>
          <w:szCs w:val="21"/>
          <w:highlight w:val="none"/>
        </w:rPr>
      </w:pPr>
      <w:r>
        <w:rPr>
          <w:rFonts w:hint="eastAsia" w:ascii="宋体" w:hAnsi="宋体" w:cs="Calibri"/>
          <w:color w:val="auto"/>
          <w:szCs w:val="21"/>
          <w:highlight w:val="none"/>
        </w:rPr>
        <w:t>1、如出现市对区考核扣分等未列入评分细则的情况，但确实属于承包人原因造成的，由考核小组根据过错大小、影响轻重等情况予以扣分。</w:t>
      </w:r>
    </w:p>
    <w:p w14:paraId="3C3682E9">
      <w:pPr>
        <w:keepNext/>
        <w:keepLines/>
        <w:spacing w:after="120" w:afterLines="50" w:line="360" w:lineRule="auto"/>
        <w:outlineLvl w:val="2"/>
        <w:rPr>
          <w:rFonts w:hint="eastAsia" w:ascii="宋体" w:hAnsi="宋体" w:cs="宋体"/>
          <w:b/>
          <w:bCs/>
          <w:color w:val="auto"/>
          <w:sz w:val="36"/>
          <w:highlight w:val="none"/>
        </w:rPr>
      </w:pPr>
      <w:r>
        <w:rPr>
          <w:rFonts w:hint="eastAsia" w:ascii="宋体" w:hAnsi="宋体" w:cs="宋体"/>
          <w:b/>
          <w:bCs/>
          <w:color w:val="auto"/>
          <w:sz w:val="36"/>
          <w:highlight w:val="none"/>
        </w:rPr>
        <w:br w:type="page"/>
      </w:r>
      <w:r>
        <w:rPr>
          <w:rFonts w:hint="eastAsia" w:ascii="宋体" w:hAnsi="宋体" w:cs="宋体"/>
          <w:b/>
          <w:bCs/>
          <w:color w:val="auto"/>
          <w:sz w:val="36"/>
          <w:highlight w:val="none"/>
        </w:rPr>
        <w:t>附件</w:t>
      </w:r>
      <w:r>
        <w:rPr>
          <w:rFonts w:ascii="宋体" w:hAnsi="宋体" w:cs="宋体"/>
          <w:b/>
          <w:bCs/>
          <w:color w:val="auto"/>
          <w:sz w:val="36"/>
          <w:highlight w:val="none"/>
        </w:rPr>
        <w:t>4</w:t>
      </w:r>
      <w:r>
        <w:rPr>
          <w:rFonts w:hint="eastAsia" w:ascii="宋体" w:hAnsi="宋体" w:cs="宋体"/>
          <w:b/>
          <w:bCs/>
          <w:color w:val="auto"/>
          <w:sz w:val="36"/>
          <w:highlight w:val="none"/>
        </w:rPr>
        <w:t>：</w:t>
      </w:r>
      <w:r>
        <w:rPr>
          <w:rFonts w:ascii="宋体" w:hAnsi="宋体" w:cs="宋体"/>
          <w:b/>
          <w:bCs/>
          <w:color w:val="auto"/>
          <w:sz w:val="36"/>
          <w:highlight w:val="none"/>
        </w:rPr>
        <w:t>城市道路养护维修作业安全</w:t>
      </w:r>
      <w:r>
        <w:rPr>
          <w:rFonts w:hint="eastAsia" w:ascii="宋体" w:hAnsi="宋体" w:cs="宋体"/>
          <w:b/>
          <w:bCs/>
          <w:color w:val="auto"/>
          <w:sz w:val="36"/>
          <w:highlight w:val="none"/>
        </w:rPr>
        <w:t>防护</w:t>
      </w:r>
      <w:r>
        <w:rPr>
          <w:rFonts w:ascii="宋体" w:hAnsi="宋体" w:cs="宋体"/>
          <w:b/>
          <w:bCs/>
          <w:color w:val="auto"/>
          <w:sz w:val="36"/>
          <w:highlight w:val="none"/>
        </w:rPr>
        <w:t>设施技术规程</w:t>
      </w:r>
    </w:p>
    <w:p w14:paraId="5958CF8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为保障城市道路养护维修作业人员、设备、周边车辆以及行人的安全，规范养护维修工程的安全管理，提高养护维修作业的安全性，特制定本规程。</w:t>
      </w:r>
    </w:p>
    <w:p w14:paraId="41D494EB">
      <w:pPr>
        <w:spacing w:line="360" w:lineRule="auto"/>
        <w:ind w:firstLine="422" w:firstLineChars="200"/>
        <w:rPr>
          <w:rFonts w:hint="eastAsia" w:hAnsi="宋体" w:cs="宋体"/>
          <w:b/>
          <w:color w:val="auto"/>
          <w:szCs w:val="21"/>
          <w:highlight w:val="none"/>
        </w:rPr>
      </w:pPr>
      <w:r>
        <w:rPr>
          <w:rFonts w:hint="eastAsia" w:hAnsi="宋体" w:cs="宋体"/>
          <w:b/>
          <w:color w:val="auto"/>
          <w:szCs w:val="21"/>
          <w:highlight w:val="none"/>
        </w:rPr>
        <w:t>（一）总则</w:t>
      </w:r>
    </w:p>
    <w:p w14:paraId="3F9B561C">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1、在进行道路养护维修作业前，应根据道路类型、施工周期及沿线交通等实际情况，结合施工组织设计，制定安全保障方案。同时，应根据道路养护维修状况，制定总体安全应急预案。</w:t>
      </w:r>
    </w:p>
    <w:p w14:paraId="772DFE33">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在养护维修作业过程中，应随时注意各项安全设施的完整性，若有移位、倾倒、歪斜、损坏的情况，应及时复位、修补或补充，未经允许任何人不得随意撤除或改变安全设施的位置、扩大或缩小养护维修作业控制区范围。</w:t>
      </w:r>
    </w:p>
    <w:p w14:paraId="1A960BE2">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3、养护维修作业单位应按国家和南通市的规定建立安全管理部门，配备专职安全管理人员，实施对养护维修作业人员的安全培训、教育、检查和监督。</w:t>
      </w:r>
    </w:p>
    <w:p w14:paraId="33AA1354">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4、养护维修作业人员必须接受安全技术教育，严格遵守各项安全技术操作规程。在养护维修作业现场，应配备安全员进行现场监督。管理单位应加强养护维修作业的安全管理。</w:t>
      </w:r>
    </w:p>
    <w:p w14:paraId="35F2F8EF">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5、进行养护维修作业的人员必须穿戴带有反光标志的工作套装和安全帽，管理人员必须穿戴反光背心和安全帽。</w:t>
      </w:r>
    </w:p>
    <w:p w14:paraId="2E12006D">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6、在养护维修作业时，必须按作业控制区交通控制标准设置相关的渠化装置和标志，需指派专人负责维持交通。</w:t>
      </w:r>
    </w:p>
    <w:p w14:paraId="279B7277">
      <w:pPr>
        <w:spacing w:line="360" w:lineRule="auto"/>
        <w:ind w:firstLine="420" w:firstLineChars="200"/>
        <w:rPr>
          <w:rFonts w:hint="eastAsia" w:hAnsi="宋体" w:cs="宋体"/>
          <w:color w:val="auto"/>
          <w:szCs w:val="21"/>
          <w:highlight w:val="none"/>
        </w:rPr>
      </w:pPr>
      <w:r>
        <w:rPr>
          <w:rFonts w:hAnsi="宋体" w:cs="宋体"/>
          <w:color w:val="auto"/>
          <w:szCs w:val="21"/>
          <w:highlight w:val="none"/>
        </w:rPr>
        <w:t>7</w:t>
      </w:r>
      <w:r>
        <w:rPr>
          <w:rFonts w:hint="eastAsia" w:hAnsi="宋体" w:cs="宋体"/>
          <w:color w:val="auto"/>
          <w:szCs w:val="21"/>
          <w:highlight w:val="none"/>
        </w:rPr>
        <w:t>、为确保交通安全，道路交叉口养护维修作业控制区宜采用通透性材料进行围护，保证交叉口视距三角形范围内区域的通透和整洁。</w:t>
      </w:r>
    </w:p>
    <w:p w14:paraId="639A854A">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8、工作区域与非工作区域必须设置分隔设施。中心城区、商业中心、交通枢纽等区域长期养护维修作业必须设置连续、密闭的围栏，采用全封闭分隔设施。</w:t>
      </w:r>
    </w:p>
    <w:p w14:paraId="613F9E71">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9、养护维修作业车辆应漆黄色，车门两侧喷制养护维修作业单位的简称和车类。尾部必须设置箭头灯和具有一定防撞功能的装置。</w:t>
      </w:r>
    </w:p>
    <w:p w14:paraId="58BF862B">
      <w:pPr>
        <w:spacing w:line="360" w:lineRule="auto"/>
        <w:ind w:firstLine="422" w:firstLineChars="200"/>
        <w:rPr>
          <w:rFonts w:hint="eastAsia" w:hAnsi="宋体" w:cs="宋体"/>
          <w:b/>
          <w:color w:val="auto"/>
          <w:szCs w:val="21"/>
          <w:highlight w:val="none"/>
        </w:rPr>
      </w:pPr>
      <w:r>
        <w:rPr>
          <w:rFonts w:hint="eastAsia" w:hAnsi="宋体" w:cs="宋体"/>
          <w:b/>
          <w:color w:val="auto"/>
          <w:szCs w:val="21"/>
          <w:highlight w:val="none"/>
        </w:rPr>
        <w:t>（二）养护维修</w:t>
      </w:r>
      <w:r>
        <w:rPr>
          <w:rFonts w:hAnsi="宋体" w:cs="宋体"/>
          <w:b/>
          <w:color w:val="auto"/>
          <w:szCs w:val="21"/>
          <w:highlight w:val="none"/>
        </w:rPr>
        <w:t>安全</w:t>
      </w:r>
      <w:r>
        <w:rPr>
          <w:rFonts w:hint="eastAsia" w:hAnsi="宋体" w:cs="宋体"/>
          <w:b/>
          <w:color w:val="auto"/>
          <w:szCs w:val="21"/>
          <w:highlight w:val="none"/>
        </w:rPr>
        <w:t>防护</w:t>
      </w:r>
      <w:r>
        <w:rPr>
          <w:rFonts w:hAnsi="宋体" w:cs="宋体"/>
          <w:b/>
          <w:color w:val="auto"/>
          <w:szCs w:val="21"/>
          <w:highlight w:val="none"/>
        </w:rPr>
        <w:t>设施</w:t>
      </w:r>
    </w:p>
    <w:p w14:paraId="48F48B9E">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1、养护维修作业期间的常用道路交通标志有施工标志、限速标志、车道封闭标志、车道数减少标志、改道标志、绕行标志规格如下：</w:t>
      </w:r>
    </w:p>
    <w:p w14:paraId="48EE52CD">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1438275" cy="1275715"/>
            <wp:effectExtent l="0" t="0" r="9525" b="698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pic:cNvPicPr>
                  </pic:nvPicPr>
                  <pic:blipFill>
                    <a:blip r:embed="rId23"/>
                    <a:stretch>
                      <a:fillRect/>
                    </a:stretch>
                  </pic:blipFill>
                  <pic:spPr>
                    <a:xfrm>
                      <a:off x="0" y="0"/>
                      <a:ext cx="1438275" cy="1275715"/>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t xml:space="preserve">          </w:t>
      </w: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1439545" cy="1439545"/>
            <wp:effectExtent l="0" t="0" r="8255" b="825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4"/>
                    <a:stretch>
                      <a:fillRect/>
                    </a:stretch>
                  </pic:blipFill>
                  <pic:spPr>
                    <a:xfrm>
                      <a:off x="0" y="0"/>
                      <a:ext cx="1439545" cy="1439545"/>
                    </a:xfrm>
                    <a:prstGeom prst="rect">
                      <a:avLst/>
                    </a:prstGeom>
                    <a:noFill/>
                    <a:ln>
                      <a:noFill/>
                    </a:ln>
                  </pic:spPr>
                </pic:pic>
              </a:graphicData>
            </a:graphic>
          </wp:inline>
        </w:drawing>
      </w:r>
    </w:p>
    <w:p w14:paraId="3C8C8B98">
      <w:pPr>
        <w:ind w:firstLine="2520" w:firstLineChars="1200"/>
        <w:rPr>
          <w:rFonts w:hint="eastAsia" w:hAnsi="宋体" w:cs="宋体"/>
          <w:color w:val="auto"/>
          <w:szCs w:val="21"/>
          <w:highlight w:val="none"/>
        </w:rPr>
      </w:pPr>
      <w:r>
        <w:rPr>
          <w:rFonts w:hint="eastAsia" w:hAnsi="宋体" w:cs="宋体"/>
          <w:color w:val="auto"/>
          <w:szCs w:val="21"/>
          <w:highlight w:val="none"/>
        </w:rPr>
        <w:t xml:space="preserve">施工标志   </w:t>
      </w:r>
      <w:r>
        <w:rPr>
          <w:rFonts w:hAnsi="宋体" w:cs="宋体"/>
          <w:color w:val="auto"/>
          <w:szCs w:val="21"/>
          <w:highlight w:val="none"/>
        </w:rPr>
        <w:t xml:space="preserve">                        </w:t>
      </w:r>
      <w:r>
        <w:rPr>
          <w:rFonts w:hint="eastAsia" w:hAnsi="宋体" w:cs="宋体"/>
          <w:color w:val="auto"/>
          <w:szCs w:val="21"/>
          <w:highlight w:val="none"/>
        </w:rPr>
        <w:t>限速标志</w:t>
      </w:r>
    </w:p>
    <w:p w14:paraId="5603030D">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1439545" cy="1271905"/>
            <wp:effectExtent l="0" t="0" r="8255" b="10795"/>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5"/>
                    <a:stretch>
                      <a:fillRect/>
                    </a:stretch>
                  </pic:blipFill>
                  <pic:spPr>
                    <a:xfrm>
                      <a:off x="0" y="0"/>
                      <a:ext cx="1439545" cy="1271905"/>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t xml:space="preserve">           </w:t>
      </w:r>
      <w:r>
        <w:rPr>
          <w:rFonts w:hAnsi="宋体" w:cs="宋体"/>
          <w:color w:val="auto"/>
          <w:szCs w:val="21"/>
          <w:highlight w:val="none"/>
        </w:rPr>
        <w:drawing>
          <wp:inline distT="0" distB="0" distL="114300" distR="114300">
            <wp:extent cx="1079500" cy="1329055"/>
            <wp:effectExtent l="0" t="0" r="0" b="4445"/>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26"/>
                    <a:stretch>
                      <a:fillRect/>
                    </a:stretch>
                  </pic:blipFill>
                  <pic:spPr>
                    <a:xfrm>
                      <a:off x="0" y="0"/>
                      <a:ext cx="1079500" cy="1329055"/>
                    </a:xfrm>
                    <a:prstGeom prst="rect">
                      <a:avLst/>
                    </a:prstGeom>
                    <a:noFill/>
                    <a:ln>
                      <a:noFill/>
                    </a:ln>
                  </pic:spPr>
                </pic:pic>
              </a:graphicData>
            </a:graphic>
          </wp:inline>
        </w:drawing>
      </w:r>
    </w:p>
    <w:p w14:paraId="6C46959F">
      <w:pPr>
        <w:ind w:firstLine="2520" w:firstLineChars="1200"/>
        <w:rPr>
          <w:rFonts w:hint="eastAsia" w:hAnsi="宋体" w:cs="宋体"/>
          <w:color w:val="auto"/>
          <w:szCs w:val="21"/>
          <w:highlight w:val="none"/>
        </w:rPr>
      </w:pPr>
      <w:r>
        <w:rPr>
          <w:rFonts w:hint="eastAsia" w:hAnsi="宋体" w:cs="宋体"/>
          <w:color w:val="auto"/>
          <w:szCs w:val="21"/>
          <w:highlight w:val="none"/>
        </w:rPr>
        <w:t xml:space="preserve">车道封闭标志   </w:t>
      </w:r>
      <w:r>
        <w:rPr>
          <w:rFonts w:hAnsi="宋体" w:cs="宋体"/>
          <w:color w:val="auto"/>
          <w:szCs w:val="21"/>
          <w:highlight w:val="none"/>
        </w:rPr>
        <w:t xml:space="preserve">                  </w:t>
      </w:r>
      <w:r>
        <w:rPr>
          <w:rFonts w:hint="eastAsia" w:hAnsi="宋体" w:cs="宋体"/>
          <w:color w:val="auto"/>
          <w:szCs w:val="21"/>
          <w:highlight w:val="none"/>
        </w:rPr>
        <w:t>车道数减少标志</w:t>
      </w:r>
    </w:p>
    <w:p w14:paraId="442DE6C7">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1439545" cy="1285875"/>
            <wp:effectExtent l="0" t="0" r="8255" b="952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27"/>
                    <a:stretch>
                      <a:fillRect/>
                    </a:stretch>
                  </pic:blipFill>
                  <pic:spPr>
                    <a:xfrm>
                      <a:off x="0" y="0"/>
                      <a:ext cx="1439545" cy="1285875"/>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t xml:space="preserve">       </w:t>
      </w: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1799590" cy="1352550"/>
            <wp:effectExtent l="0" t="0" r="3810" b="6350"/>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28"/>
                    <a:stretch>
                      <a:fillRect/>
                    </a:stretch>
                  </pic:blipFill>
                  <pic:spPr>
                    <a:xfrm>
                      <a:off x="0" y="0"/>
                      <a:ext cx="1799590" cy="1352550"/>
                    </a:xfrm>
                    <a:prstGeom prst="rect">
                      <a:avLst/>
                    </a:prstGeom>
                    <a:noFill/>
                    <a:ln>
                      <a:noFill/>
                    </a:ln>
                  </pic:spPr>
                </pic:pic>
              </a:graphicData>
            </a:graphic>
          </wp:inline>
        </w:drawing>
      </w:r>
    </w:p>
    <w:p w14:paraId="2C8601BA">
      <w:pPr>
        <w:ind w:firstLine="2205" w:firstLineChars="1050"/>
        <w:rPr>
          <w:rFonts w:hint="eastAsia" w:hAnsi="宋体" w:cs="宋体"/>
          <w:color w:val="auto"/>
          <w:szCs w:val="21"/>
          <w:highlight w:val="none"/>
        </w:rPr>
      </w:pPr>
      <w:r>
        <w:rPr>
          <w:rFonts w:hint="eastAsia" w:hAnsi="宋体" w:cs="宋体"/>
          <w:color w:val="auto"/>
          <w:szCs w:val="21"/>
          <w:highlight w:val="none"/>
        </w:rPr>
        <w:t xml:space="preserve">改 道 标 志                      </w:t>
      </w:r>
      <w:r>
        <w:rPr>
          <w:rFonts w:hAnsi="宋体" w:cs="宋体"/>
          <w:color w:val="auto"/>
          <w:szCs w:val="21"/>
          <w:highlight w:val="none"/>
        </w:rPr>
        <w:t xml:space="preserve">   </w:t>
      </w:r>
      <w:r>
        <w:rPr>
          <w:rFonts w:hint="eastAsia" w:hAnsi="宋体" w:cs="宋体"/>
          <w:color w:val="auto"/>
          <w:szCs w:val="21"/>
          <w:highlight w:val="none"/>
        </w:rPr>
        <w:t>绕 行 标 志</w:t>
      </w:r>
    </w:p>
    <w:p w14:paraId="255F041F">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2、在养护维修作业中，可用作渠化交通的安全设施有交通锥、交通柱、路栏、施工隔离墩和防撞墙等。</w:t>
      </w:r>
    </w:p>
    <w:p w14:paraId="3980F1F7">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交通锥，宜由橡胶等柔性材料制成，底部应有一定的摩阻性能，其颜色、反光性能、尺寸和形状应符合《交通锥GB24720》的规定。在上游过渡区段内设置最大间距宜为1m，其他区段内的最大间距可为3m。用于夜间作业时应有反光功能，并安装作业警示灯。</w:t>
      </w:r>
    </w:p>
    <w:p w14:paraId="346168AF">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3599180" cy="2734945"/>
            <wp:effectExtent l="0" t="0" r="7620" b="825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9"/>
                    <a:stretch>
                      <a:fillRect/>
                    </a:stretch>
                  </pic:blipFill>
                  <pic:spPr>
                    <a:xfrm>
                      <a:off x="0" y="0"/>
                      <a:ext cx="3599180" cy="2734945"/>
                    </a:xfrm>
                    <a:prstGeom prst="rect">
                      <a:avLst/>
                    </a:prstGeom>
                    <a:noFill/>
                    <a:ln>
                      <a:noFill/>
                    </a:ln>
                  </pic:spPr>
                </pic:pic>
              </a:graphicData>
            </a:graphic>
          </wp:inline>
        </w:drawing>
      </w:r>
    </w:p>
    <w:p w14:paraId="5D75D28B">
      <w:pPr>
        <w:jc w:val="center"/>
        <w:rPr>
          <w:rFonts w:hint="eastAsia" w:hAnsi="宋体" w:cs="宋体"/>
          <w:color w:val="auto"/>
          <w:szCs w:val="21"/>
          <w:highlight w:val="none"/>
        </w:rPr>
      </w:pPr>
      <w:r>
        <w:rPr>
          <w:rFonts w:hint="eastAsia" w:hAnsi="宋体" w:cs="宋体"/>
          <w:color w:val="auto"/>
          <w:szCs w:val="21"/>
          <w:highlight w:val="none"/>
        </w:rPr>
        <w:t>交通锥</w:t>
      </w:r>
    </w:p>
    <w:p w14:paraId="34B26E26">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（2）交通柱，宜由弹性材料制成，其颜色、反光性能、尺寸和形状应符合《弹性交通柱GB24972》的规定。交通柱适用于渠化设施设置空间受限、作业控制区隔离对向行驶车道，或划定临时改道车道的边线等地方。</w:t>
      </w:r>
    </w:p>
    <w:p w14:paraId="6CBC2B32">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720090" cy="1766570"/>
            <wp:effectExtent l="0" t="0" r="3810" b="1143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30"/>
                    <a:stretch>
                      <a:fillRect/>
                    </a:stretch>
                  </pic:blipFill>
                  <pic:spPr>
                    <a:xfrm>
                      <a:off x="0" y="0"/>
                      <a:ext cx="720090" cy="1766570"/>
                    </a:xfrm>
                    <a:prstGeom prst="rect">
                      <a:avLst/>
                    </a:prstGeom>
                    <a:noFill/>
                    <a:ln>
                      <a:noFill/>
                    </a:ln>
                  </pic:spPr>
                </pic:pic>
              </a:graphicData>
            </a:graphic>
          </wp:inline>
        </w:drawing>
      </w:r>
    </w:p>
    <w:p w14:paraId="7C044B3B">
      <w:pPr>
        <w:spacing w:line="360" w:lineRule="auto"/>
        <w:jc w:val="center"/>
        <w:rPr>
          <w:rFonts w:hint="eastAsia" w:hAnsi="宋体" w:cs="宋体"/>
          <w:color w:val="auto"/>
          <w:szCs w:val="21"/>
          <w:highlight w:val="none"/>
        </w:rPr>
      </w:pPr>
      <w:r>
        <w:rPr>
          <w:rFonts w:hint="eastAsia" w:hAnsi="宋体" w:cs="宋体"/>
          <w:color w:val="auto"/>
          <w:szCs w:val="21"/>
          <w:highlight w:val="none"/>
        </w:rPr>
        <w:t>交通柱</w:t>
      </w:r>
    </w:p>
    <w:p w14:paraId="4BE4F64C">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（3）路栏，宜由刚性材料制成，用于夜间作业时应有反光功能，可安装作业警示灯。有固定型和活动型两类。</w:t>
      </w:r>
    </w:p>
    <w:p w14:paraId="11FD3B01">
      <w:pPr>
        <w:ind w:firstLine="420" w:firstLineChars="200"/>
        <w:rPr>
          <w:rFonts w:hint="eastAsia" w:hAnsi="宋体" w:cs="宋体"/>
          <w:color w:val="auto"/>
          <w:szCs w:val="21"/>
          <w:highlight w:val="none"/>
        </w:rPr>
      </w:pPr>
      <w:r>
        <w:rPr>
          <w:rFonts w:hAnsi="宋体" w:cs="宋体"/>
          <w:color w:val="auto"/>
          <w:szCs w:val="21"/>
          <w:highlight w:val="none"/>
        </w:rPr>
        <w:drawing>
          <wp:inline distT="0" distB="0" distL="114300" distR="114300">
            <wp:extent cx="2699385" cy="1609090"/>
            <wp:effectExtent l="0" t="0" r="5715" b="3810"/>
            <wp:docPr id="1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pic:cNvPicPr>
                      <a:picLocks noChangeAspect="1"/>
                    </pic:cNvPicPr>
                  </pic:nvPicPr>
                  <pic:blipFill>
                    <a:blip r:embed="rId31"/>
                    <a:stretch>
                      <a:fillRect/>
                    </a:stretch>
                  </pic:blipFill>
                  <pic:spPr>
                    <a:xfrm>
                      <a:off x="0" y="0"/>
                      <a:ext cx="2699385" cy="1609090"/>
                    </a:xfrm>
                    <a:prstGeom prst="rect">
                      <a:avLst/>
                    </a:prstGeom>
                    <a:noFill/>
                    <a:ln>
                      <a:noFill/>
                    </a:ln>
                  </pic:spPr>
                </pic:pic>
              </a:graphicData>
            </a:graphic>
          </wp:inline>
        </w:drawing>
      </w:r>
      <w:r>
        <w:rPr>
          <w:rFonts w:hAnsi="宋体" w:cs="宋体"/>
          <w:color w:val="auto"/>
          <w:szCs w:val="21"/>
          <w:highlight w:val="none"/>
        </w:rPr>
        <w:t xml:space="preserve">   </w:t>
      </w:r>
      <w:r>
        <w:rPr>
          <w:rFonts w:hAnsi="宋体" w:cs="宋体"/>
          <w:color w:val="auto"/>
          <w:szCs w:val="21"/>
          <w:highlight w:val="none"/>
        </w:rPr>
        <w:drawing>
          <wp:inline distT="0" distB="0" distL="114300" distR="114300">
            <wp:extent cx="2877820" cy="1494790"/>
            <wp:effectExtent l="0" t="0" r="5080" b="3810"/>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32"/>
                    <a:stretch>
                      <a:fillRect/>
                    </a:stretch>
                  </pic:blipFill>
                  <pic:spPr>
                    <a:xfrm>
                      <a:off x="0" y="0"/>
                      <a:ext cx="2877820" cy="1494790"/>
                    </a:xfrm>
                    <a:prstGeom prst="rect">
                      <a:avLst/>
                    </a:prstGeom>
                    <a:noFill/>
                    <a:ln>
                      <a:noFill/>
                    </a:ln>
                  </pic:spPr>
                </pic:pic>
              </a:graphicData>
            </a:graphic>
          </wp:inline>
        </w:drawing>
      </w:r>
    </w:p>
    <w:p w14:paraId="59BD9819">
      <w:pPr>
        <w:spacing w:line="360" w:lineRule="auto"/>
        <w:ind w:firstLine="2100" w:firstLineChars="1000"/>
        <w:rPr>
          <w:rFonts w:hint="eastAsia" w:hAnsi="宋体" w:cs="宋体"/>
          <w:color w:val="auto"/>
          <w:szCs w:val="21"/>
          <w:highlight w:val="none"/>
        </w:rPr>
      </w:pPr>
      <w:r>
        <w:rPr>
          <w:rFonts w:hint="eastAsia" w:hAnsi="宋体" w:cs="宋体"/>
          <w:color w:val="auto"/>
          <w:szCs w:val="21"/>
          <w:highlight w:val="none"/>
        </w:rPr>
        <w:t xml:space="preserve">固 定 型 路 栏              </w:t>
      </w:r>
      <w:r>
        <w:rPr>
          <w:rFonts w:hAnsi="宋体" w:cs="宋体"/>
          <w:color w:val="auto"/>
          <w:szCs w:val="21"/>
          <w:highlight w:val="none"/>
        </w:rPr>
        <w:t xml:space="preserve">  </w:t>
      </w:r>
      <w:r>
        <w:rPr>
          <w:rFonts w:hint="eastAsia" w:hAnsi="宋体" w:cs="宋体"/>
          <w:color w:val="auto"/>
          <w:szCs w:val="21"/>
          <w:highlight w:val="none"/>
        </w:rPr>
        <w:t xml:space="preserve">      </w:t>
      </w:r>
      <w:r>
        <w:rPr>
          <w:rFonts w:hAnsi="宋体" w:cs="宋体"/>
          <w:color w:val="auto"/>
          <w:szCs w:val="21"/>
          <w:highlight w:val="none"/>
        </w:rPr>
        <w:t xml:space="preserve">     </w:t>
      </w:r>
      <w:r>
        <w:rPr>
          <w:rFonts w:hint="eastAsia" w:hAnsi="宋体" w:cs="宋体"/>
          <w:color w:val="auto"/>
          <w:szCs w:val="21"/>
          <w:highlight w:val="none"/>
        </w:rPr>
        <w:t>活 动 型 路 栏</w:t>
      </w:r>
    </w:p>
    <w:p w14:paraId="10B00AE6">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（4）施工隔离墩，宜由半刚性材料制成，其内为空心，表面有反光器，顶部可安装作业警示灯，使用时内部应放置水袋或灌水至其内部容积的90%。</w:t>
      </w:r>
    </w:p>
    <w:p w14:paraId="122E3867">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4321810" cy="1585595"/>
            <wp:effectExtent l="0" t="0" r="8890" b="1905"/>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33"/>
                    <a:stretch>
                      <a:fillRect/>
                    </a:stretch>
                  </pic:blipFill>
                  <pic:spPr>
                    <a:xfrm>
                      <a:off x="0" y="0"/>
                      <a:ext cx="4321810" cy="1585595"/>
                    </a:xfrm>
                    <a:prstGeom prst="rect">
                      <a:avLst/>
                    </a:prstGeom>
                    <a:noFill/>
                    <a:ln>
                      <a:noFill/>
                    </a:ln>
                  </pic:spPr>
                </pic:pic>
              </a:graphicData>
            </a:graphic>
          </wp:inline>
        </w:drawing>
      </w:r>
    </w:p>
    <w:p w14:paraId="64DB38BA">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 xml:space="preserve">              </w:t>
      </w:r>
      <w:r>
        <w:rPr>
          <w:rFonts w:hAnsi="宋体" w:cs="宋体"/>
          <w:color w:val="auto"/>
          <w:szCs w:val="21"/>
          <w:highlight w:val="none"/>
        </w:rPr>
        <w:t xml:space="preserve">                  </w:t>
      </w:r>
      <w:r>
        <w:rPr>
          <w:rFonts w:hint="eastAsia" w:hAnsi="宋体" w:cs="宋体"/>
          <w:color w:val="auto"/>
          <w:szCs w:val="21"/>
          <w:highlight w:val="none"/>
        </w:rPr>
        <w:t xml:space="preserve">  施工隔离墩</w:t>
      </w:r>
    </w:p>
    <w:p w14:paraId="17930013">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3、作业警示灯。有施工警告灯、频闪灯、回转风扇灯、串行警示灯等。能连续发出闪烁或旋转的灯光，宜与其他安全设施组合使用。</w:t>
      </w:r>
    </w:p>
    <w:p w14:paraId="21119A9D">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闪烁箭头灯。设置于过渡区内，配合施工标志使用。</w:t>
      </w:r>
    </w:p>
    <w:p w14:paraId="4A5FCDA7">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夜间照明设施。夜间进行养护维修作业时，应设置照明设施。照明必须满足作业要求，并覆盖整个工作区域。灯光照射半径不小于30m，为防止对驾驶人产生眩光，应对光源进行适当的遮蔽。</w:t>
      </w:r>
    </w:p>
    <w:p w14:paraId="5D5D3857">
      <w:pPr>
        <w:rPr>
          <w:rFonts w:hint="eastAsia" w:hAnsi="宋体" w:cs="宋体"/>
          <w:color w:val="auto"/>
          <w:szCs w:val="21"/>
          <w:highlight w:val="none"/>
        </w:rPr>
      </w:pPr>
      <w:r>
        <w:rPr>
          <w:rFonts w:hAnsi="宋体" w:cs="宋体"/>
          <w:color w:val="auto"/>
          <w:szCs w:val="21"/>
          <w:highlight w:val="none"/>
        </w:rPr>
        <w:drawing>
          <wp:inline distT="0" distB="0" distL="114300" distR="114300">
            <wp:extent cx="2700020" cy="1842135"/>
            <wp:effectExtent l="0" t="0" r="5080" b="12065"/>
            <wp:docPr id="1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2"/>
                    <pic:cNvPicPr>
                      <a:picLocks noChangeAspect="1"/>
                    </pic:cNvPicPr>
                  </pic:nvPicPr>
                  <pic:blipFill>
                    <a:blip r:embed="rId34"/>
                    <a:stretch>
                      <a:fillRect/>
                    </a:stretch>
                  </pic:blipFill>
                  <pic:spPr>
                    <a:xfrm>
                      <a:off x="0" y="0"/>
                      <a:ext cx="2700020" cy="1842135"/>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1619885" cy="1431925"/>
            <wp:effectExtent l="0" t="0" r="5715" b="3175"/>
            <wp:docPr id="2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3"/>
                    <pic:cNvPicPr>
                      <a:picLocks noChangeAspect="1"/>
                    </pic:cNvPicPr>
                  </pic:nvPicPr>
                  <pic:blipFill>
                    <a:blip r:embed="rId35"/>
                    <a:stretch>
                      <a:fillRect/>
                    </a:stretch>
                  </pic:blipFill>
                  <pic:spPr>
                    <a:xfrm>
                      <a:off x="0" y="0"/>
                      <a:ext cx="1619885" cy="1431925"/>
                    </a:xfrm>
                    <a:prstGeom prst="rect">
                      <a:avLst/>
                    </a:prstGeom>
                    <a:noFill/>
                    <a:ln>
                      <a:noFill/>
                    </a:ln>
                  </pic:spPr>
                </pic:pic>
              </a:graphicData>
            </a:graphic>
          </wp:inline>
        </w:drawing>
      </w:r>
      <w:r>
        <w:rPr>
          <w:rFonts w:hAnsi="宋体" w:cs="宋体"/>
          <w:color w:val="auto"/>
          <w:szCs w:val="21"/>
          <w:highlight w:val="none"/>
        </w:rPr>
        <w:t xml:space="preserve"> </w:t>
      </w:r>
      <w:r>
        <w:rPr>
          <w:rFonts w:hAnsi="宋体" w:cs="宋体"/>
          <w:color w:val="auto"/>
          <w:szCs w:val="21"/>
          <w:highlight w:val="none"/>
        </w:rPr>
        <w:drawing>
          <wp:inline distT="0" distB="0" distL="114300" distR="114300">
            <wp:extent cx="1080135" cy="2653030"/>
            <wp:effectExtent l="0" t="0" r="12065" b="1270"/>
            <wp:docPr id="2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4"/>
                    <pic:cNvPicPr>
                      <a:picLocks noChangeAspect="1"/>
                    </pic:cNvPicPr>
                  </pic:nvPicPr>
                  <pic:blipFill>
                    <a:blip r:embed="rId36"/>
                    <a:stretch>
                      <a:fillRect/>
                    </a:stretch>
                  </pic:blipFill>
                  <pic:spPr>
                    <a:xfrm>
                      <a:off x="0" y="0"/>
                      <a:ext cx="1080135" cy="2653030"/>
                    </a:xfrm>
                    <a:prstGeom prst="rect">
                      <a:avLst/>
                    </a:prstGeom>
                    <a:noFill/>
                    <a:ln>
                      <a:noFill/>
                    </a:ln>
                  </pic:spPr>
                </pic:pic>
              </a:graphicData>
            </a:graphic>
          </wp:inline>
        </w:drawing>
      </w:r>
    </w:p>
    <w:p w14:paraId="60D9B439">
      <w:pPr>
        <w:spacing w:line="360" w:lineRule="auto"/>
        <w:ind w:firstLine="2100" w:firstLineChars="1000"/>
        <w:jc w:val="left"/>
        <w:rPr>
          <w:rFonts w:hint="eastAsia" w:hAnsi="宋体" w:cs="宋体"/>
          <w:color w:val="auto"/>
          <w:szCs w:val="21"/>
          <w:highlight w:val="none"/>
        </w:rPr>
      </w:pPr>
      <w:r>
        <w:rPr>
          <w:rFonts w:hint="eastAsia" w:hAnsi="宋体" w:cs="宋体"/>
          <w:color w:val="auto"/>
          <w:szCs w:val="21"/>
          <w:highlight w:val="none"/>
        </w:rPr>
        <w:t xml:space="preserve">作业警示灯          </w:t>
      </w:r>
      <w:r>
        <w:rPr>
          <w:rFonts w:hAnsi="宋体" w:cs="宋体"/>
          <w:color w:val="auto"/>
          <w:szCs w:val="21"/>
          <w:highlight w:val="none"/>
        </w:rPr>
        <w:t xml:space="preserve">        </w:t>
      </w:r>
      <w:r>
        <w:rPr>
          <w:rFonts w:hint="eastAsia" w:hAnsi="宋体" w:cs="宋体"/>
          <w:color w:val="auto"/>
          <w:szCs w:val="21"/>
          <w:highlight w:val="none"/>
        </w:rPr>
        <w:t xml:space="preserve">  闪烁箭头灯         </w:t>
      </w:r>
      <w:r>
        <w:rPr>
          <w:rFonts w:hAnsi="宋体" w:cs="宋体"/>
          <w:color w:val="auto"/>
          <w:szCs w:val="21"/>
          <w:highlight w:val="none"/>
        </w:rPr>
        <w:t xml:space="preserve">  </w:t>
      </w:r>
      <w:r>
        <w:rPr>
          <w:rFonts w:hint="eastAsia" w:hAnsi="宋体" w:cs="宋体"/>
          <w:color w:val="auto"/>
          <w:szCs w:val="21"/>
          <w:highlight w:val="none"/>
        </w:rPr>
        <w:t>夜间照明设施</w:t>
      </w:r>
    </w:p>
    <w:p w14:paraId="4FC0E5F5">
      <w:pPr>
        <w:spacing w:line="360" w:lineRule="auto"/>
        <w:ind w:firstLine="420" w:firstLineChars="200"/>
        <w:rPr>
          <w:rFonts w:hint="eastAsia" w:hAnsi="宋体" w:cs="宋体"/>
          <w:color w:val="auto"/>
          <w:szCs w:val="21"/>
          <w:highlight w:val="none"/>
        </w:rPr>
      </w:pPr>
      <w:r>
        <w:rPr>
          <w:rFonts w:hAnsi="宋体" w:cs="宋体"/>
          <w:color w:val="auto"/>
          <w:szCs w:val="21"/>
          <w:highlight w:val="none"/>
        </w:rPr>
        <w:t>4</w:t>
      </w:r>
      <w:r>
        <w:rPr>
          <w:rFonts w:hint="eastAsia" w:hAnsi="宋体" w:cs="宋体"/>
          <w:color w:val="auto"/>
          <w:szCs w:val="21"/>
          <w:highlight w:val="none"/>
        </w:rPr>
        <w:t>、应按移动养护作业要求设置养护安全设施，同时应派旗手。道路封道作业，必须由专业（或固定）人员操作。采用封道车封闭车道时，应开启闪烁箭头灯，停至准备封闭的车道上游。应顺着交通流方向设置交通锥，并设置闪烁警示灯。</w:t>
      </w:r>
    </w:p>
    <w:p w14:paraId="3E65643F">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交通锥设置完成后，在作业控制区内依次设置作业警示灯、路栏等安全设施。封道完毕后，养护维修作业人员方可进入作业控制区作业。</w:t>
      </w:r>
    </w:p>
    <w:p w14:paraId="7DCF4AF9">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养护维修作业人员不得随意变更或扩大作业控制区，不得走出作业控制区，不得将任何施工机具和材料置放于作业控制区之外。</w:t>
      </w:r>
    </w:p>
    <w:p w14:paraId="378DCE3A">
      <w:pPr>
        <w:spacing w:line="360" w:lineRule="auto"/>
        <w:ind w:firstLine="422" w:firstLineChars="200"/>
        <w:rPr>
          <w:rFonts w:hint="eastAsia" w:hAnsi="宋体" w:cs="宋体"/>
          <w:b/>
          <w:color w:val="auto"/>
          <w:szCs w:val="21"/>
          <w:highlight w:val="none"/>
        </w:rPr>
      </w:pPr>
      <w:r>
        <w:rPr>
          <w:rFonts w:hint="eastAsia" w:hAnsi="宋体" w:cs="宋体"/>
          <w:b/>
          <w:color w:val="auto"/>
          <w:szCs w:val="21"/>
          <w:highlight w:val="none"/>
        </w:rPr>
        <w:t>（三）养护维修作业控制区</w:t>
      </w:r>
    </w:p>
    <w:p w14:paraId="6D7CA715">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1、一般</w:t>
      </w:r>
      <w:r>
        <w:rPr>
          <w:rFonts w:hAnsi="宋体" w:cs="宋体"/>
          <w:color w:val="auto"/>
          <w:szCs w:val="21"/>
          <w:highlight w:val="none"/>
        </w:rPr>
        <w:t>要求</w:t>
      </w:r>
    </w:p>
    <w:p w14:paraId="19969C6C">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（1）养护维修作业控制区布置应考虑养护维修作业的内容与要求、时间和周期、交通环境等因素，作业控制区内交通标志的设置必须合理、前后协调，起到引导车流平稳过渡的作用。</w:t>
      </w:r>
    </w:p>
    <w:p w14:paraId="7A964FAF">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（2）作业控制区上游因道路线形造成视距不良时，应增设施工标志等安全设施。</w:t>
      </w:r>
    </w:p>
    <w:p w14:paraId="120637FD">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（3）工作区应设置工程车辆专门的进口和出口，出人口应设在顺行车方向的下游过渡区内，并应有专门人员对进出的车辆进行指挥。</w:t>
      </w:r>
    </w:p>
    <w:p w14:paraId="4C0E3608">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（4）警告区内应设置施工标志、限速标志等，可设置减速带。上游过渡区内应设置闪烁箭头灯、作业警示灯等。缓冲区内应设置路栏等。</w:t>
      </w:r>
    </w:p>
    <w:p w14:paraId="55463B8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（5）机动车道进行养护时，机动车不宜占用非机动车道或人行道通行。</w:t>
      </w:r>
    </w:p>
    <w:p w14:paraId="3A863324">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（6）在有医院、公安和消防等相关部门出入口的道路上进行养 护维修作业时，必须考虑进出车辆的通畅和安全。在附近有学校出入口的道路上进行养护维修作业时，必须加强安全防护措施。</w:t>
      </w:r>
    </w:p>
    <w:p w14:paraId="2EB5591E">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2、机动车道维修作业控制区布置</w:t>
      </w:r>
    </w:p>
    <w:p w14:paraId="146D3B65">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养护维修作业的警告区为上游交叉口停止线位置至上游过渡区的路段。在警告区内应设置施工标志、限速为20km/h的限制速度标志或车道封闭标志等，在上游过渡区起点至下游过渡区终点之间应放置交通锥或路栏，在缓冲区与工作区交界处应布设路栏。</w:t>
      </w:r>
    </w:p>
    <w:p w14:paraId="4BA3603A">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（2）当需要封闭车道时，必须设置上游过渡区。快速路上或其他道路上工作区不在交叉口范围的上游过渡区最小长度应按下表选取：</w:t>
      </w:r>
    </w:p>
    <w:tbl>
      <w:tblPr>
        <w:tblStyle w:val="25"/>
        <w:tblW w:w="0" w:type="auto"/>
        <w:jc w:val="center"/>
        <w:tblBorders>
          <w:top w:val="none" w:color="auto" w:sz="2" w:space="0"/>
          <w:left w:val="none" w:color="auto" w:sz="2" w:space="0"/>
          <w:bottom w:val="none" w:color="auto" w:sz="2" w:space="0"/>
          <w:right w:val="none" w:color="auto" w:sz="2" w:space="0"/>
          <w:insideH w:val="none" w:color="auto" w:sz="2" w:space="0"/>
          <w:insideV w:val="none" w:color="auto" w:sz="2" w:space="0"/>
        </w:tblBorders>
        <w:tblLayout w:type="fixed"/>
        <w:tblCellMar>
          <w:top w:w="0" w:type="dxa"/>
          <w:left w:w="0" w:type="dxa"/>
          <w:bottom w:w="0" w:type="dxa"/>
          <w:right w:w="0" w:type="dxa"/>
        </w:tblCellMar>
      </w:tblPr>
      <w:tblGrid>
        <w:gridCol w:w="3514"/>
        <w:gridCol w:w="703"/>
        <w:gridCol w:w="796"/>
        <w:gridCol w:w="796"/>
      </w:tblGrid>
      <w:tr w14:paraId="34CF2BC5">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602" w:hRule="exact"/>
          <w:jc w:val="center"/>
        </w:trPr>
        <w:tc>
          <w:tcPr>
            <w:tcW w:w="3514" w:type="dxa"/>
            <w:tcBorders>
              <w:top w:val="single" w:color="auto" w:sz="4" w:space="0"/>
              <w:left w:val="single" w:color="auto" w:sz="4" w:space="0"/>
              <w:bottom w:val="single" w:color="auto" w:sz="4" w:space="0"/>
              <w:right w:val="single" w:color="auto" w:sz="4" w:space="0"/>
              <w:tl2br w:val="single" w:color="auto" w:sz="4" w:space="0"/>
            </w:tcBorders>
            <w:vAlign w:val="center"/>
          </w:tcPr>
          <w:p w14:paraId="499818B1">
            <w:pPr>
              <w:jc w:val="center"/>
              <w:rPr>
                <w:rFonts w:hint="eastAsia" w:hAnsi="宋体" w:cs="宋体"/>
                <w:color w:val="auto"/>
                <w:szCs w:val="21"/>
                <w:highlight w:val="none"/>
              </w:rPr>
            </w:pPr>
            <w:r>
              <w:rPr>
                <w:rFonts w:hint="eastAsia" w:hAnsi="宋体" w:cs="宋体"/>
                <w:color w:val="auto"/>
                <w:szCs w:val="21"/>
                <w:highlight w:val="none"/>
              </w:rPr>
              <w:t xml:space="preserve">            </w:t>
            </w:r>
            <w:r>
              <w:rPr>
                <w:rFonts w:hAnsi="宋体" w:cs="宋体"/>
                <w:color w:val="auto"/>
                <w:szCs w:val="21"/>
                <w:highlight w:val="none"/>
              </w:rPr>
              <w:t>封闭车道宽度 (m)</w:t>
            </w:r>
          </w:p>
          <w:p w14:paraId="395F42B7">
            <w:pPr>
              <w:ind w:leftChars="-547" w:hanging="1148" w:hangingChars="547"/>
              <w:jc w:val="center"/>
              <w:rPr>
                <w:rFonts w:hint="eastAsia" w:hAnsi="宋体" w:cs="宋体"/>
                <w:color w:val="auto"/>
                <w:szCs w:val="21"/>
                <w:highlight w:val="none"/>
              </w:rPr>
            </w:pPr>
            <w:r>
              <w:rPr>
                <w:rFonts w:hAnsi="宋体" w:cs="宋体"/>
                <w:color w:val="auto"/>
                <w:szCs w:val="21"/>
                <w:highlight w:val="none"/>
              </w:rPr>
              <w:t>限制车速 (km/h)</w:t>
            </w:r>
          </w:p>
        </w:tc>
        <w:tc>
          <w:tcPr>
            <w:tcW w:w="703" w:type="dxa"/>
            <w:tcBorders>
              <w:top w:val="single" w:color="auto" w:sz="4" w:space="0"/>
              <w:left w:val="single" w:color="auto" w:sz="4" w:space="0"/>
              <w:bottom w:val="single" w:color="auto" w:sz="4" w:space="0"/>
              <w:right w:val="single" w:color="auto" w:sz="4" w:space="0"/>
            </w:tcBorders>
            <w:vAlign w:val="center"/>
          </w:tcPr>
          <w:p w14:paraId="21A4BB74">
            <w:pPr>
              <w:jc w:val="center"/>
              <w:rPr>
                <w:rFonts w:hint="eastAsia" w:hAnsi="宋体" w:cs="宋体"/>
                <w:color w:val="auto"/>
                <w:szCs w:val="21"/>
                <w:highlight w:val="none"/>
              </w:rPr>
            </w:pPr>
            <w:r>
              <w:rPr>
                <w:rFonts w:hAnsi="宋体" w:cs="宋体"/>
                <w:color w:val="auto"/>
                <w:szCs w:val="21"/>
                <w:highlight w:val="none"/>
              </w:rPr>
              <w:t>3.0</w:t>
            </w:r>
          </w:p>
        </w:tc>
        <w:tc>
          <w:tcPr>
            <w:tcW w:w="796" w:type="dxa"/>
            <w:tcBorders>
              <w:top w:val="single" w:color="auto" w:sz="4" w:space="0"/>
              <w:left w:val="single" w:color="auto" w:sz="4" w:space="0"/>
              <w:bottom w:val="single" w:color="auto" w:sz="4" w:space="0"/>
              <w:right w:val="single" w:color="auto" w:sz="4" w:space="0"/>
            </w:tcBorders>
            <w:vAlign w:val="center"/>
          </w:tcPr>
          <w:p w14:paraId="5CA7EB89">
            <w:pPr>
              <w:ind w:firstLine="21" w:firstLineChars="10"/>
              <w:jc w:val="center"/>
              <w:rPr>
                <w:rFonts w:hint="eastAsia" w:hAnsi="宋体" w:cs="宋体"/>
                <w:color w:val="auto"/>
                <w:szCs w:val="21"/>
                <w:highlight w:val="none"/>
              </w:rPr>
            </w:pPr>
            <w:r>
              <w:rPr>
                <w:rFonts w:hAnsi="宋体" w:cs="宋体"/>
                <w:color w:val="auto"/>
                <w:szCs w:val="21"/>
                <w:highlight w:val="none"/>
              </w:rPr>
              <w:t>3.5</w:t>
            </w:r>
          </w:p>
        </w:tc>
        <w:tc>
          <w:tcPr>
            <w:tcW w:w="796" w:type="dxa"/>
            <w:tcBorders>
              <w:top w:val="single" w:color="auto" w:sz="4" w:space="0"/>
              <w:left w:val="single" w:color="auto" w:sz="4" w:space="0"/>
              <w:bottom w:val="single" w:color="auto" w:sz="4" w:space="0"/>
              <w:right w:val="single" w:color="auto" w:sz="4" w:space="0"/>
            </w:tcBorders>
            <w:vAlign w:val="center"/>
          </w:tcPr>
          <w:p w14:paraId="73F60947">
            <w:pPr>
              <w:jc w:val="center"/>
              <w:rPr>
                <w:rFonts w:hint="eastAsia" w:hAnsi="宋体" w:cs="宋体"/>
                <w:color w:val="auto"/>
                <w:szCs w:val="21"/>
                <w:highlight w:val="none"/>
              </w:rPr>
            </w:pPr>
            <w:r>
              <w:rPr>
                <w:rFonts w:hAnsi="宋体" w:cs="宋体"/>
                <w:color w:val="auto"/>
                <w:szCs w:val="21"/>
                <w:highlight w:val="none"/>
              </w:rPr>
              <w:t>3.75</w:t>
            </w:r>
          </w:p>
        </w:tc>
      </w:tr>
      <w:tr w14:paraId="73B8F8CB">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318" w:hRule="exact"/>
          <w:jc w:val="center"/>
        </w:trPr>
        <w:tc>
          <w:tcPr>
            <w:tcW w:w="3514" w:type="dxa"/>
            <w:tcBorders>
              <w:top w:val="single" w:color="auto" w:sz="4" w:space="0"/>
              <w:left w:val="single" w:color="auto" w:sz="4" w:space="0"/>
              <w:bottom w:val="single" w:color="auto" w:sz="4" w:space="0"/>
              <w:right w:val="single" w:color="auto" w:sz="4" w:space="0"/>
            </w:tcBorders>
            <w:vAlign w:val="center"/>
          </w:tcPr>
          <w:p w14:paraId="6C723C49">
            <w:pPr>
              <w:jc w:val="center"/>
              <w:rPr>
                <w:rFonts w:hint="eastAsia" w:hAnsi="宋体" w:cs="宋体"/>
                <w:color w:val="auto"/>
                <w:szCs w:val="21"/>
                <w:highlight w:val="none"/>
              </w:rPr>
            </w:pPr>
            <w:r>
              <w:rPr>
                <w:rFonts w:hAnsi="宋体" w:cs="宋体"/>
                <w:color w:val="auto"/>
                <w:szCs w:val="21"/>
                <w:highlight w:val="none"/>
              </w:rPr>
              <w:t>60</w:t>
            </w:r>
          </w:p>
        </w:tc>
        <w:tc>
          <w:tcPr>
            <w:tcW w:w="703" w:type="dxa"/>
            <w:tcBorders>
              <w:top w:val="single" w:color="auto" w:sz="4" w:space="0"/>
              <w:left w:val="single" w:color="auto" w:sz="4" w:space="0"/>
              <w:bottom w:val="single" w:color="auto" w:sz="4" w:space="0"/>
              <w:right w:val="single" w:color="auto" w:sz="4" w:space="0"/>
            </w:tcBorders>
            <w:vAlign w:val="center"/>
          </w:tcPr>
          <w:p w14:paraId="2D441978">
            <w:pPr>
              <w:jc w:val="center"/>
              <w:rPr>
                <w:rFonts w:hint="eastAsia" w:hAnsi="宋体" w:cs="宋体"/>
                <w:color w:val="auto"/>
                <w:szCs w:val="21"/>
                <w:highlight w:val="none"/>
              </w:rPr>
            </w:pPr>
            <w:r>
              <w:rPr>
                <w:rFonts w:hAnsi="宋体" w:cs="宋体"/>
                <w:color w:val="auto"/>
                <w:szCs w:val="21"/>
                <w:highlight w:val="none"/>
              </w:rPr>
              <w:t>70</w:t>
            </w:r>
          </w:p>
        </w:tc>
        <w:tc>
          <w:tcPr>
            <w:tcW w:w="796" w:type="dxa"/>
            <w:tcBorders>
              <w:top w:val="single" w:color="auto" w:sz="4" w:space="0"/>
              <w:left w:val="single" w:color="auto" w:sz="4" w:space="0"/>
              <w:bottom w:val="single" w:color="auto" w:sz="4" w:space="0"/>
              <w:right w:val="single" w:color="auto" w:sz="4" w:space="0"/>
            </w:tcBorders>
            <w:vAlign w:val="center"/>
          </w:tcPr>
          <w:p w14:paraId="108983E2">
            <w:pPr>
              <w:ind w:firstLine="21" w:firstLineChars="10"/>
              <w:jc w:val="center"/>
              <w:rPr>
                <w:rFonts w:hint="eastAsia" w:hAnsi="宋体" w:cs="宋体"/>
                <w:color w:val="auto"/>
                <w:szCs w:val="21"/>
                <w:highlight w:val="none"/>
              </w:rPr>
            </w:pPr>
            <w:r>
              <w:rPr>
                <w:rFonts w:hAnsi="宋体" w:cs="宋体"/>
                <w:color w:val="auto"/>
                <w:szCs w:val="21"/>
                <w:highlight w:val="none"/>
              </w:rPr>
              <w:t>90</w:t>
            </w:r>
          </w:p>
        </w:tc>
        <w:tc>
          <w:tcPr>
            <w:tcW w:w="796" w:type="dxa"/>
            <w:tcBorders>
              <w:top w:val="single" w:color="auto" w:sz="4" w:space="0"/>
              <w:left w:val="single" w:color="auto" w:sz="4" w:space="0"/>
              <w:bottom w:val="single" w:color="auto" w:sz="4" w:space="0"/>
              <w:right w:val="single" w:color="auto" w:sz="4" w:space="0"/>
            </w:tcBorders>
            <w:vAlign w:val="center"/>
          </w:tcPr>
          <w:p w14:paraId="360B77DC">
            <w:pPr>
              <w:ind w:firstLine="21" w:firstLineChars="10"/>
              <w:jc w:val="center"/>
              <w:rPr>
                <w:rFonts w:hint="eastAsia" w:hAnsi="宋体" w:cs="宋体"/>
                <w:color w:val="auto"/>
                <w:szCs w:val="21"/>
                <w:highlight w:val="none"/>
              </w:rPr>
            </w:pPr>
            <w:r>
              <w:rPr>
                <w:rFonts w:hAnsi="宋体" w:cs="宋体"/>
                <w:color w:val="auto"/>
                <w:szCs w:val="21"/>
                <w:highlight w:val="none"/>
              </w:rPr>
              <w:t>90</w:t>
            </w:r>
          </w:p>
        </w:tc>
      </w:tr>
      <w:tr w14:paraId="751C875C">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318" w:hRule="exact"/>
          <w:jc w:val="center"/>
        </w:trPr>
        <w:tc>
          <w:tcPr>
            <w:tcW w:w="3514" w:type="dxa"/>
            <w:tcBorders>
              <w:top w:val="single" w:color="auto" w:sz="4" w:space="0"/>
              <w:left w:val="single" w:color="auto" w:sz="4" w:space="0"/>
              <w:bottom w:val="single" w:color="auto" w:sz="4" w:space="0"/>
              <w:right w:val="single" w:color="auto" w:sz="4" w:space="0"/>
            </w:tcBorders>
            <w:vAlign w:val="center"/>
          </w:tcPr>
          <w:p w14:paraId="03673163">
            <w:pPr>
              <w:jc w:val="center"/>
              <w:rPr>
                <w:rFonts w:hint="eastAsia" w:hAnsi="宋体" w:cs="宋体"/>
                <w:color w:val="auto"/>
                <w:szCs w:val="21"/>
                <w:highlight w:val="none"/>
              </w:rPr>
            </w:pPr>
            <w:r>
              <w:rPr>
                <w:rFonts w:hAnsi="宋体" w:cs="宋体"/>
                <w:color w:val="auto"/>
                <w:szCs w:val="21"/>
                <w:highlight w:val="none"/>
              </w:rPr>
              <w:t>40</w:t>
            </w:r>
          </w:p>
        </w:tc>
        <w:tc>
          <w:tcPr>
            <w:tcW w:w="703" w:type="dxa"/>
            <w:tcBorders>
              <w:top w:val="single" w:color="auto" w:sz="4" w:space="0"/>
              <w:left w:val="single" w:color="auto" w:sz="4" w:space="0"/>
              <w:bottom w:val="single" w:color="auto" w:sz="4" w:space="0"/>
              <w:right w:val="single" w:color="auto" w:sz="4" w:space="0"/>
            </w:tcBorders>
            <w:vAlign w:val="center"/>
          </w:tcPr>
          <w:p w14:paraId="6629E409">
            <w:pPr>
              <w:jc w:val="center"/>
              <w:rPr>
                <w:rFonts w:hint="eastAsia" w:hAnsi="宋体" w:cs="宋体"/>
                <w:color w:val="auto"/>
                <w:szCs w:val="21"/>
                <w:highlight w:val="none"/>
              </w:rPr>
            </w:pPr>
            <w:r>
              <w:rPr>
                <w:rFonts w:hAnsi="宋体" w:cs="宋体"/>
                <w:color w:val="auto"/>
                <w:szCs w:val="21"/>
                <w:highlight w:val="none"/>
              </w:rPr>
              <w:t>30</w:t>
            </w:r>
          </w:p>
        </w:tc>
        <w:tc>
          <w:tcPr>
            <w:tcW w:w="796" w:type="dxa"/>
            <w:tcBorders>
              <w:top w:val="single" w:color="auto" w:sz="4" w:space="0"/>
              <w:left w:val="single" w:color="auto" w:sz="4" w:space="0"/>
              <w:bottom w:val="single" w:color="auto" w:sz="4" w:space="0"/>
              <w:right w:val="single" w:color="auto" w:sz="4" w:space="0"/>
            </w:tcBorders>
            <w:vAlign w:val="center"/>
          </w:tcPr>
          <w:p w14:paraId="4DE63877">
            <w:pPr>
              <w:ind w:firstLine="21" w:firstLineChars="10"/>
              <w:jc w:val="center"/>
              <w:rPr>
                <w:rFonts w:hint="eastAsia" w:hAnsi="宋体" w:cs="宋体"/>
                <w:color w:val="auto"/>
                <w:szCs w:val="21"/>
                <w:highlight w:val="none"/>
              </w:rPr>
            </w:pPr>
            <w:r>
              <w:rPr>
                <w:rFonts w:hAnsi="宋体" w:cs="宋体"/>
                <w:color w:val="auto"/>
                <w:szCs w:val="21"/>
                <w:highlight w:val="none"/>
              </w:rPr>
              <w:t>40</w:t>
            </w:r>
          </w:p>
        </w:tc>
        <w:tc>
          <w:tcPr>
            <w:tcW w:w="796" w:type="dxa"/>
            <w:tcBorders>
              <w:top w:val="single" w:color="auto" w:sz="4" w:space="0"/>
              <w:left w:val="single" w:color="auto" w:sz="4" w:space="0"/>
              <w:bottom w:val="single" w:color="auto" w:sz="4" w:space="0"/>
              <w:right w:val="single" w:color="auto" w:sz="4" w:space="0"/>
            </w:tcBorders>
            <w:vAlign w:val="center"/>
          </w:tcPr>
          <w:p w14:paraId="48BE735A">
            <w:pPr>
              <w:jc w:val="center"/>
              <w:rPr>
                <w:rFonts w:hint="eastAsia" w:hAnsi="宋体" w:cs="宋体"/>
                <w:color w:val="auto"/>
                <w:szCs w:val="21"/>
                <w:highlight w:val="none"/>
              </w:rPr>
            </w:pPr>
            <w:r>
              <w:rPr>
                <w:rFonts w:hAnsi="宋体" w:cs="宋体"/>
                <w:color w:val="auto"/>
                <w:szCs w:val="21"/>
                <w:highlight w:val="none"/>
              </w:rPr>
              <w:t>40</w:t>
            </w:r>
          </w:p>
        </w:tc>
      </w:tr>
      <w:tr w14:paraId="220EF106">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318" w:hRule="exact"/>
          <w:jc w:val="center"/>
        </w:trPr>
        <w:tc>
          <w:tcPr>
            <w:tcW w:w="3514" w:type="dxa"/>
            <w:tcBorders>
              <w:top w:val="single" w:color="auto" w:sz="4" w:space="0"/>
              <w:left w:val="single" w:color="auto" w:sz="4" w:space="0"/>
              <w:bottom w:val="single" w:color="auto" w:sz="4" w:space="0"/>
              <w:right w:val="single" w:color="auto" w:sz="4" w:space="0"/>
            </w:tcBorders>
            <w:vAlign w:val="center"/>
          </w:tcPr>
          <w:p w14:paraId="489D056D">
            <w:pPr>
              <w:jc w:val="center"/>
              <w:rPr>
                <w:rFonts w:hint="eastAsia" w:hAnsi="宋体" w:cs="宋体"/>
                <w:color w:val="auto"/>
                <w:szCs w:val="21"/>
                <w:highlight w:val="none"/>
              </w:rPr>
            </w:pPr>
            <w:r>
              <w:rPr>
                <w:rFonts w:hAnsi="宋体" w:cs="宋体"/>
                <w:color w:val="auto"/>
                <w:szCs w:val="21"/>
                <w:highlight w:val="none"/>
              </w:rPr>
              <w:t>30</w:t>
            </w:r>
          </w:p>
        </w:tc>
        <w:tc>
          <w:tcPr>
            <w:tcW w:w="2295" w:type="dxa"/>
            <w:gridSpan w:val="3"/>
            <w:tcBorders>
              <w:top w:val="single" w:color="auto" w:sz="4" w:space="0"/>
              <w:left w:val="single" w:color="auto" w:sz="4" w:space="0"/>
              <w:bottom w:val="single" w:color="auto" w:sz="4" w:space="0"/>
              <w:right w:val="single" w:color="auto" w:sz="4" w:space="0"/>
            </w:tcBorders>
            <w:vAlign w:val="center"/>
          </w:tcPr>
          <w:p w14:paraId="31246EE0">
            <w:pPr>
              <w:jc w:val="center"/>
              <w:rPr>
                <w:rFonts w:hint="eastAsia" w:hAnsi="宋体" w:cs="宋体"/>
                <w:color w:val="auto"/>
                <w:szCs w:val="21"/>
                <w:highlight w:val="none"/>
              </w:rPr>
            </w:pPr>
            <w:r>
              <w:rPr>
                <w:rFonts w:hAnsi="宋体" w:cs="宋体"/>
                <w:color w:val="auto"/>
                <w:szCs w:val="21"/>
                <w:highlight w:val="none"/>
              </w:rPr>
              <w:t>20</w:t>
            </w:r>
          </w:p>
        </w:tc>
      </w:tr>
      <w:tr w14:paraId="16B94A79">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318" w:hRule="exact"/>
          <w:jc w:val="center"/>
        </w:trPr>
        <w:tc>
          <w:tcPr>
            <w:tcW w:w="3514" w:type="dxa"/>
            <w:tcBorders>
              <w:top w:val="single" w:color="auto" w:sz="4" w:space="0"/>
              <w:left w:val="single" w:color="auto" w:sz="4" w:space="0"/>
              <w:bottom w:val="single" w:color="auto" w:sz="4" w:space="0"/>
              <w:right w:val="single" w:color="auto" w:sz="4" w:space="0"/>
            </w:tcBorders>
            <w:vAlign w:val="center"/>
          </w:tcPr>
          <w:p w14:paraId="455F47B9">
            <w:pPr>
              <w:jc w:val="center"/>
              <w:rPr>
                <w:rFonts w:hint="eastAsia" w:hAnsi="宋体" w:cs="宋体"/>
                <w:color w:val="auto"/>
                <w:szCs w:val="21"/>
                <w:highlight w:val="none"/>
              </w:rPr>
            </w:pPr>
            <w:r>
              <w:rPr>
                <w:rFonts w:hAnsi="宋体" w:cs="宋体"/>
                <w:color w:val="auto"/>
                <w:szCs w:val="21"/>
                <w:highlight w:val="none"/>
              </w:rPr>
              <w:t>20</w:t>
            </w:r>
          </w:p>
        </w:tc>
        <w:tc>
          <w:tcPr>
            <w:tcW w:w="2295" w:type="dxa"/>
            <w:gridSpan w:val="3"/>
            <w:tcBorders>
              <w:top w:val="single" w:color="auto" w:sz="4" w:space="0"/>
              <w:left w:val="single" w:color="auto" w:sz="4" w:space="0"/>
              <w:bottom w:val="single" w:color="auto" w:sz="4" w:space="0"/>
              <w:right w:val="single" w:color="auto" w:sz="4" w:space="0"/>
            </w:tcBorders>
            <w:vAlign w:val="center"/>
          </w:tcPr>
          <w:p w14:paraId="36359DA5">
            <w:pPr>
              <w:jc w:val="center"/>
              <w:rPr>
                <w:rFonts w:hint="eastAsia" w:hAnsi="宋体" w:cs="宋体"/>
                <w:color w:val="auto"/>
                <w:szCs w:val="21"/>
                <w:highlight w:val="none"/>
              </w:rPr>
            </w:pPr>
            <w:r>
              <w:rPr>
                <w:rFonts w:hAnsi="宋体" w:cs="宋体"/>
                <w:color w:val="auto"/>
                <w:szCs w:val="21"/>
                <w:highlight w:val="none"/>
              </w:rPr>
              <w:t>10</w:t>
            </w:r>
          </w:p>
        </w:tc>
      </w:tr>
    </w:tbl>
    <w:p w14:paraId="680A3DEA">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（3）缓冲区设置，除下列情况外，缓冲区的最小长度宜按下表选取：</w:t>
      </w:r>
    </w:p>
    <w:tbl>
      <w:tblPr>
        <w:tblStyle w:val="25"/>
        <w:tblW w:w="0" w:type="auto"/>
        <w:jc w:val="center"/>
        <w:tblBorders>
          <w:top w:val="none" w:color="auto" w:sz="2" w:space="0"/>
          <w:left w:val="none" w:color="auto" w:sz="2" w:space="0"/>
          <w:bottom w:val="none" w:color="auto" w:sz="2" w:space="0"/>
          <w:right w:val="none" w:color="auto" w:sz="2" w:space="0"/>
          <w:insideH w:val="none" w:color="auto" w:sz="2" w:space="0"/>
          <w:insideV w:val="none" w:color="auto" w:sz="2" w:space="0"/>
        </w:tblBorders>
        <w:tblLayout w:type="fixed"/>
        <w:tblCellMar>
          <w:top w:w="0" w:type="dxa"/>
          <w:left w:w="0" w:type="dxa"/>
          <w:bottom w:w="0" w:type="dxa"/>
          <w:right w:w="0" w:type="dxa"/>
        </w:tblCellMar>
      </w:tblPr>
      <w:tblGrid>
        <w:gridCol w:w="1989"/>
        <w:gridCol w:w="955"/>
        <w:gridCol w:w="955"/>
        <w:gridCol w:w="955"/>
        <w:gridCol w:w="955"/>
      </w:tblGrid>
      <w:tr w14:paraId="04EFF7AB">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318" w:hRule="exact"/>
          <w:jc w:val="center"/>
        </w:trPr>
        <w:tc>
          <w:tcPr>
            <w:tcW w:w="1989" w:type="dxa"/>
            <w:tcBorders>
              <w:top w:val="single" w:color="000000" w:sz="6" w:space="0"/>
              <w:left w:val="single" w:color="000000" w:sz="6" w:space="0"/>
              <w:bottom w:val="single" w:color="000000" w:sz="2" w:space="0"/>
              <w:right w:val="single" w:color="000000" w:sz="2" w:space="0"/>
            </w:tcBorders>
            <w:vAlign w:val="center"/>
          </w:tcPr>
          <w:p w14:paraId="52D49502">
            <w:pPr>
              <w:jc w:val="center"/>
              <w:rPr>
                <w:rFonts w:hint="eastAsia" w:hAnsi="宋体" w:cs="宋体"/>
                <w:color w:val="auto"/>
                <w:szCs w:val="21"/>
                <w:highlight w:val="none"/>
              </w:rPr>
            </w:pPr>
            <w:r>
              <w:rPr>
                <w:rFonts w:hAnsi="宋体" w:cs="宋体"/>
                <w:color w:val="auto"/>
                <w:szCs w:val="21"/>
                <w:highlight w:val="none"/>
              </w:rPr>
              <w:t>限 制 车 速 (km/h)</w:t>
            </w:r>
          </w:p>
        </w:tc>
        <w:tc>
          <w:tcPr>
            <w:tcW w:w="955" w:type="dxa"/>
            <w:tcBorders>
              <w:top w:val="single" w:color="000000" w:sz="6" w:space="0"/>
              <w:left w:val="single" w:color="000000" w:sz="2" w:space="0"/>
              <w:bottom w:val="single" w:color="000000" w:sz="2" w:space="0"/>
              <w:right w:val="single" w:color="000000" w:sz="2" w:space="0"/>
            </w:tcBorders>
            <w:vAlign w:val="center"/>
          </w:tcPr>
          <w:p w14:paraId="41985A13">
            <w:pPr>
              <w:ind w:left="-19" w:leftChars="-9"/>
              <w:jc w:val="center"/>
              <w:rPr>
                <w:rFonts w:hint="eastAsia" w:hAnsi="宋体" w:cs="宋体"/>
                <w:color w:val="auto"/>
                <w:szCs w:val="21"/>
                <w:highlight w:val="none"/>
              </w:rPr>
            </w:pPr>
            <w:r>
              <w:rPr>
                <w:rFonts w:hAnsi="宋体" w:cs="宋体"/>
                <w:color w:val="auto"/>
                <w:szCs w:val="21"/>
                <w:highlight w:val="none"/>
              </w:rPr>
              <w:t>20</w:t>
            </w:r>
          </w:p>
        </w:tc>
        <w:tc>
          <w:tcPr>
            <w:tcW w:w="955" w:type="dxa"/>
            <w:tcBorders>
              <w:top w:val="single" w:color="000000" w:sz="6" w:space="0"/>
              <w:left w:val="single" w:color="000000" w:sz="2" w:space="0"/>
              <w:bottom w:val="single" w:color="000000" w:sz="2" w:space="0"/>
              <w:right w:val="single" w:color="000000" w:sz="2" w:space="0"/>
            </w:tcBorders>
            <w:vAlign w:val="center"/>
          </w:tcPr>
          <w:p w14:paraId="02C4476A">
            <w:pPr>
              <w:ind w:firstLine="16" w:firstLineChars="8"/>
              <w:jc w:val="center"/>
              <w:rPr>
                <w:rFonts w:hint="eastAsia" w:hAnsi="宋体" w:cs="宋体"/>
                <w:color w:val="auto"/>
                <w:szCs w:val="21"/>
                <w:highlight w:val="none"/>
              </w:rPr>
            </w:pPr>
            <w:r>
              <w:rPr>
                <w:rFonts w:hAnsi="宋体" w:cs="宋体"/>
                <w:color w:val="auto"/>
                <w:szCs w:val="21"/>
                <w:highlight w:val="none"/>
              </w:rPr>
              <w:t>30</w:t>
            </w:r>
          </w:p>
        </w:tc>
        <w:tc>
          <w:tcPr>
            <w:tcW w:w="955" w:type="dxa"/>
            <w:tcBorders>
              <w:top w:val="single" w:color="000000" w:sz="6" w:space="0"/>
              <w:left w:val="single" w:color="000000" w:sz="2" w:space="0"/>
              <w:bottom w:val="single" w:color="000000" w:sz="2" w:space="0"/>
              <w:right w:val="single" w:color="000000" w:sz="2" w:space="0"/>
            </w:tcBorders>
            <w:vAlign w:val="center"/>
          </w:tcPr>
          <w:p w14:paraId="199907EF">
            <w:pPr>
              <w:ind w:firstLine="16" w:firstLineChars="8"/>
              <w:jc w:val="center"/>
              <w:rPr>
                <w:rFonts w:hint="eastAsia" w:hAnsi="宋体" w:cs="宋体"/>
                <w:color w:val="auto"/>
                <w:szCs w:val="21"/>
                <w:highlight w:val="none"/>
              </w:rPr>
            </w:pPr>
            <w:r>
              <w:rPr>
                <w:rFonts w:hAnsi="宋体" w:cs="宋体"/>
                <w:color w:val="auto"/>
                <w:szCs w:val="21"/>
                <w:highlight w:val="none"/>
              </w:rPr>
              <w:t>40</w:t>
            </w:r>
          </w:p>
        </w:tc>
        <w:tc>
          <w:tcPr>
            <w:tcW w:w="955" w:type="dxa"/>
            <w:tcBorders>
              <w:top w:val="single" w:color="000000" w:sz="6" w:space="0"/>
              <w:left w:val="single" w:color="000000" w:sz="2" w:space="0"/>
              <w:bottom w:val="single" w:color="000000" w:sz="2" w:space="0"/>
              <w:right w:val="single" w:color="000000" w:sz="6" w:space="0"/>
            </w:tcBorders>
            <w:vAlign w:val="center"/>
          </w:tcPr>
          <w:p w14:paraId="5EAAAA80">
            <w:pPr>
              <w:ind w:firstLine="16" w:firstLineChars="8"/>
              <w:jc w:val="center"/>
              <w:rPr>
                <w:rFonts w:hint="eastAsia" w:hAnsi="宋体" w:cs="宋体"/>
                <w:color w:val="auto"/>
                <w:szCs w:val="21"/>
                <w:highlight w:val="none"/>
              </w:rPr>
            </w:pPr>
            <w:r>
              <w:rPr>
                <w:rFonts w:hAnsi="宋体" w:cs="宋体"/>
                <w:color w:val="auto"/>
                <w:szCs w:val="21"/>
                <w:highlight w:val="none"/>
              </w:rPr>
              <w:t>60</w:t>
            </w:r>
          </w:p>
        </w:tc>
      </w:tr>
      <w:tr w14:paraId="1CC1AFB3">
        <w:tblPrEx>
          <w:tblBorders>
            <w:top w:val="none" w:color="auto" w:sz="2" w:space="0"/>
            <w:left w:val="none" w:color="auto" w:sz="2" w:space="0"/>
            <w:bottom w:val="none" w:color="auto" w:sz="2" w:space="0"/>
            <w:right w:val="none" w:color="auto" w:sz="2" w:space="0"/>
            <w:insideH w:val="none" w:color="auto" w:sz="2" w:space="0"/>
            <w:insideV w:val="none" w:color="auto" w:sz="2" w:space="0"/>
          </w:tblBorders>
          <w:tblCellMar>
            <w:top w:w="0" w:type="dxa"/>
            <w:left w:w="0" w:type="dxa"/>
            <w:bottom w:w="0" w:type="dxa"/>
            <w:right w:w="0" w:type="dxa"/>
          </w:tblCellMar>
        </w:tblPrEx>
        <w:trPr>
          <w:trHeight w:val="318" w:hRule="exact"/>
          <w:jc w:val="center"/>
        </w:trPr>
        <w:tc>
          <w:tcPr>
            <w:tcW w:w="1989" w:type="dxa"/>
            <w:tcBorders>
              <w:top w:val="single" w:color="000000" w:sz="2" w:space="0"/>
              <w:left w:val="single" w:color="000000" w:sz="6" w:space="0"/>
              <w:bottom w:val="single" w:color="000000" w:sz="6" w:space="0"/>
              <w:right w:val="single" w:color="000000" w:sz="2" w:space="0"/>
            </w:tcBorders>
            <w:vAlign w:val="center"/>
          </w:tcPr>
          <w:p w14:paraId="7F8F7C48">
            <w:pPr>
              <w:jc w:val="center"/>
              <w:rPr>
                <w:rFonts w:hint="eastAsia" w:hAnsi="宋体" w:cs="宋体"/>
                <w:color w:val="auto"/>
                <w:szCs w:val="21"/>
                <w:highlight w:val="none"/>
              </w:rPr>
            </w:pPr>
            <w:r>
              <w:rPr>
                <w:rFonts w:hAnsi="宋体" w:cs="宋体"/>
                <w:color w:val="auto"/>
                <w:szCs w:val="21"/>
                <w:highlight w:val="none"/>
              </w:rPr>
              <w:t>H</w:t>
            </w:r>
          </w:p>
        </w:tc>
        <w:tc>
          <w:tcPr>
            <w:tcW w:w="955" w:type="dxa"/>
            <w:tcBorders>
              <w:top w:val="single" w:color="000000" w:sz="2" w:space="0"/>
              <w:left w:val="single" w:color="000000" w:sz="2" w:space="0"/>
              <w:bottom w:val="single" w:color="000000" w:sz="6" w:space="0"/>
              <w:right w:val="single" w:color="000000" w:sz="2" w:space="0"/>
            </w:tcBorders>
            <w:vAlign w:val="center"/>
          </w:tcPr>
          <w:p w14:paraId="746A6BF8">
            <w:pPr>
              <w:ind w:left="-19" w:leftChars="-9"/>
              <w:jc w:val="center"/>
              <w:rPr>
                <w:rFonts w:hint="eastAsia" w:hAnsi="宋体" w:cs="宋体"/>
                <w:color w:val="auto"/>
                <w:szCs w:val="21"/>
                <w:highlight w:val="none"/>
              </w:rPr>
            </w:pPr>
            <w:r>
              <w:rPr>
                <w:rFonts w:hAnsi="宋体" w:cs="宋体"/>
                <w:color w:val="auto"/>
                <w:szCs w:val="21"/>
                <w:highlight w:val="none"/>
              </w:rPr>
              <w:t>10</w:t>
            </w:r>
          </w:p>
        </w:tc>
        <w:tc>
          <w:tcPr>
            <w:tcW w:w="955" w:type="dxa"/>
            <w:tcBorders>
              <w:top w:val="single" w:color="000000" w:sz="2" w:space="0"/>
              <w:left w:val="single" w:color="000000" w:sz="2" w:space="0"/>
              <w:bottom w:val="single" w:color="000000" w:sz="6" w:space="0"/>
              <w:right w:val="single" w:color="000000" w:sz="2" w:space="0"/>
            </w:tcBorders>
            <w:vAlign w:val="center"/>
          </w:tcPr>
          <w:p w14:paraId="1291A4BF">
            <w:pPr>
              <w:jc w:val="center"/>
              <w:rPr>
                <w:rFonts w:hint="eastAsia" w:hAnsi="宋体" w:cs="宋体"/>
                <w:color w:val="auto"/>
                <w:szCs w:val="21"/>
                <w:highlight w:val="none"/>
              </w:rPr>
            </w:pPr>
            <w:r>
              <w:rPr>
                <w:rFonts w:hAnsi="宋体" w:cs="宋体"/>
                <w:color w:val="auto"/>
                <w:szCs w:val="21"/>
                <w:highlight w:val="none"/>
              </w:rPr>
              <w:t>20</w:t>
            </w:r>
          </w:p>
        </w:tc>
        <w:tc>
          <w:tcPr>
            <w:tcW w:w="955" w:type="dxa"/>
            <w:tcBorders>
              <w:top w:val="single" w:color="000000" w:sz="2" w:space="0"/>
              <w:left w:val="single" w:color="000000" w:sz="2" w:space="0"/>
              <w:bottom w:val="single" w:color="000000" w:sz="6" w:space="0"/>
              <w:right w:val="single" w:color="000000" w:sz="2" w:space="0"/>
            </w:tcBorders>
            <w:vAlign w:val="center"/>
          </w:tcPr>
          <w:p w14:paraId="5DF2EAF9">
            <w:pPr>
              <w:jc w:val="center"/>
              <w:rPr>
                <w:rFonts w:hint="eastAsia" w:hAnsi="宋体" w:cs="宋体"/>
                <w:color w:val="auto"/>
                <w:szCs w:val="21"/>
                <w:highlight w:val="none"/>
              </w:rPr>
            </w:pPr>
            <w:r>
              <w:rPr>
                <w:rFonts w:hAnsi="宋体" w:cs="宋体"/>
                <w:color w:val="auto"/>
                <w:szCs w:val="21"/>
                <w:highlight w:val="none"/>
              </w:rPr>
              <w:t>50</w:t>
            </w:r>
          </w:p>
        </w:tc>
        <w:tc>
          <w:tcPr>
            <w:tcW w:w="955" w:type="dxa"/>
            <w:tcBorders>
              <w:top w:val="single" w:color="000000" w:sz="2" w:space="0"/>
              <w:left w:val="single" w:color="000000" w:sz="2" w:space="0"/>
              <w:bottom w:val="single" w:color="000000" w:sz="6" w:space="0"/>
              <w:right w:val="single" w:color="000000" w:sz="6" w:space="0"/>
            </w:tcBorders>
            <w:vAlign w:val="center"/>
          </w:tcPr>
          <w:p w14:paraId="06B9B3F2">
            <w:pPr>
              <w:jc w:val="center"/>
              <w:rPr>
                <w:rFonts w:hint="eastAsia" w:hAnsi="宋体" w:cs="宋体"/>
                <w:color w:val="auto"/>
                <w:szCs w:val="21"/>
                <w:highlight w:val="none"/>
              </w:rPr>
            </w:pPr>
            <w:r>
              <w:rPr>
                <w:rFonts w:hAnsi="宋体" w:cs="宋体"/>
                <w:color w:val="auto"/>
                <w:szCs w:val="21"/>
                <w:highlight w:val="none"/>
              </w:rPr>
              <w:t>85</w:t>
            </w:r>
          </w:p>
        </w:tc>
      </w:tr>
    </w:tbl>
    <w:p w14:paraId="2C73027B">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（4）工作区设置。工作区区域应根据养护维修作业的实际需要确定。</w:t>
      </w:r>
    </w:p>
    <w:p w14:paraId="36831121">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5</w:t>
      </w:r>
      <w:r>
        <w:rPr>
          <w:rFonts w:hint="eastAsia" w:hAnsi="宋体" w:cs="宋体"/>
          <w:color w:val="auto"/>
          <w:szCs w:val="21"/>
          <w:highlight w:val="none"/>
        </w:rPr>
        <w:t>）机动车道养护维修作业控制区在不设置分隔带的道路上，须设置安装有作业警示灯的施工隔离墩或路栏等，将养护维修工作区同非机动车及机动车相隔离。</w:t>
      </w:r>
    </w:p>
    <w:p w14:paraId="2C43FB09">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2697480" cy="4170680"/>
            <wp:effectExtent l="0" t="0" r="7620" b="7620"/>
            <wp:docPr id="22"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5"/>
                    <pic:cNvPicPr>
                      <a:picLocks noChangeAspect="1"/>
                    </pic:cNvPicPr>
                  </pic:nvPicPr>
                  <pic:blipFill>
                    <a:blip r:embed="rId37"/>
                    <a:stretch>
                      <a:fillRect/>
                    </a:stretch>
                  </pic:blipFill>
                  <pic:spPr>
                    <a:xfrm>
                      <a:off x="0" y="0"/>
                      <a:ext cx="2697480" cy="4170680"/>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2702560" cy="4146550"/>
            <wp:effectExtent l="0" t="0" r="2540" b="6350"/>
            <wp:docPr id="2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6"/>
                    <pic:cNvPicPr>
                      <a:picLocks noChangeAspect="1"/>
                    </pic:cNvPicPr>
                  </pic:nvPicPr>
                  <pic:blipFill>
                    <a:blip r:embed="rId38"/>
                    <a:stretch>
                      <a:fillRect/>
                    </a:stretch>
                  </pic:blipFill>
                  <pic:spPr>
                    <a:xfrm>
                      <a:off x="0" y="0"/>
                      <a:ext cx="2702560" cy="4146550"/>
                    </a:xfrm>
                    <a:prstGeom prst="rect">
                      <a:avLst/>
                    </a:prstGeom>
                    <a:noFill/>
                    <a:ln>
                      <a:noFill/>
                    </a:ln>
                  </pic:spPr>
                </pic:pic>
              </a:graphicData>
            </a:graphic>
          </wp:inline>
        </w:drawing>
      </w:r>
    </w:p>
    <w:p w14:paraId="582FED79">
      <w:pPr>
        <w:spacing w:line="360" w:lineRule="auto"/>
        <w:jc w:val="center"/>
        <w:rPr>
          <w:rFonts w:hint="eastAsia" w:hAnsi="宋体" w:cs="宋体"/>
          <w:color w:val="auto"/>
          <w:szCs w:val="21"/>
          <w:highlight w:val="none"/>
        </w:rPr>
      </w:pPr>
      <w:r>
        <w:rPr>
          <w:rFonts w:hint="eastAsia" w:hAnsi="宋体" w:cs="宋体"/>
          <w:color w:val="auto"/>
          <w:szCs w:val="21"/>
          <w:highlight w:val="none"/>
        </w:rPr>
        <w:t>机动车道封闭养护维修作业区布置示意图</w:t>
      </w:r>
    </w:p>
    <w:p w14:paraId="51737B04">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本布置图适用于工作区位置不在交叉口范围内时，长期或短期定点养护维修作业。</w:t>
      </w:r>
    </w:p>
    <w:p w14:paraId="5DF9F27F">
      <w:pPr>
        <w:ind w:firstLine="420" w:firstLineChars="200"/>
        <w:rPr>
          <w:rFonts w:hint="eastAsia" w:hAnsi="宋体" w:cs="宋体"/>
          <w:color w:val="auto"/>
          <w:szCs w:val="21"/>
          <w:highlight w:val="none"/>
        </w:rPr>
      </w:pPr>
      <w:r>
        <w:rPr>
          <w:rFonts w:hAnsi="宋体" w:cs="宋体"/>
          <w:color w:val="auto"/>
          <w:szCs w:val="21"/>
          <w:highlight w:val="none"/>
        </w:rPr>
        <w:drawing>
          <wp:inline distT="0" distB="0" distL="114300" distR="114300">
            <wp:extent cx="2341880" cy="6056630"/>
            <wp:effectExtent l="0" t="0" r="7620" b="1270"/>
            <wp:docPr id="2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7"/>
                    <pic:cNvPicPr>
                      <a:picLocks noChangeAspect="1"/>
                    </pic:cNvPicPr>
                  </pic:nvPicPr>
                  <pic:blipFill>
                    <a:blip r:embed="rId39"/>
                    <a:srcRect t="8490"/>
                    <a:stretch>
                      <a:fillRect/>
                    </a:stretch>
                  </pic:blipFill>
                  <pic:spPr>
                    <a:xfrm>
                      <a:off x="0" y="0"/>
                      <a:ext cx="2341880" cy="6056630"/>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t xml:space="preserve">         </w:t>
      </w:r>
      <w:r>
        <w:rPr>
          <w:rFonts w:hAnsi="宋体" w:cs="宋体"/>
          <w:color w:val="auto"/>
          <w:szCs w:val="21"/>
          <w:highlight w:val="none"/>
        </w:rPr>
        <w:drawing>
          <wp:inline distT="0" distB="0" distL="114300" distR="114300">
            <wp:extent cx="2340610" cy="5871210"/>
            <wp:effectExtent l="0" t="0" r="8890" b="8890"/>
            <wp:docPr id="2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8"/>
                    <pic:cNvPicPr>
                      <a:picLocks noChangeAspect="1"/>
                    </pic:cNvPicPr>
                  </pic:nvPicPr>
                  <pic:blipFill>
                    <a:blip r:embed="rId40"/>
                    <a:stretch>
                      <a:fillRect/>
                    </a:stretch>
                  </pic:blipFill>
                  <pic:spPr>
                    <a:xfrm>
                      <a:off x="0" y="0"/>
                      <a:ext cx="2340610" cy="5871210"/>
                    </a:xfrm>
                    <a:prstGeom prst="rect">
                      <a:avLst/>
                    </a:prstGeom>
                    <a:noFill/>
                    <a:ln>
                      <a:noFill/>
                    </a:ln>
                  </pic:spPr>
                </pic:pic>
              </a:graphicData>
            </a:graphic>
          </wp:inline>
        </w:drawing>
      </w:r>
    </w:p>
    <w:p w14:paraId="4CCBE5E6">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半幅道路封闭养护维修作业区布置示意图         全幅道路封闭养护维修作业区布置示意图</w:t>
      </w:r>
    </w:p>
    <w:p w14:paraId="6282E668">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3964305" cy="2802890"/>
            <wp:effectExtent l="0" t="0" r="10795" b="3810"/>
            <wp:docPr id="26"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9"/>
                    <pic:cNvPicPr>
                      <a:picLocks noChangeAspect="1"/>
                    </pic:cNvPicPr>
                  </pic:nvPicPr>
                  <pic:blipFill>
                    <a:blip r:embed="rId41"/>
                    <a:stretch>
                      <a:fillRect/>
                    </a:stretch>
                  </pic:blipFill>
                  <pic:spPr>
                    <a:xfrm>
                      <a:off x="0" y="0"/>
                      <a:ext cx="3964305" cy="2802890"/>
                    </a:xfrm>
                    <a:prstGeom prst="rect">
                      <a:avLst/>
                    </a:prstGeom>
                    <a:noFill/>
                    <a:ln>
                      <a:noFill/>
                    </a:ln>
                  </pic:spPr>
                </pic:pic>
              </a:graphicData>
            </a:graphic>
          </wp:inline>
        </w:drawing>
      </w:r>
    </w:p>
    <w:p w14:paraId="215F9860">
      <w:pPr>
        <w:spacing w:line="360" w:lineRule="auto"/>
        <w:jc w:val="center"/>
        <w:rPr>
          <w:rFonts w:hint="eastAsia" w:hAnsi="宋体" w:cs="宋体"/>
          <w:color w:val="auto"/>
          <w:szCs w:val="21"/>
          <w:highlight w:val="none"/>
        </w:rPr>
      </w:pPr>
      <w:r>
        <w:rPr>
          <w:rFonts w:hint="eastAsia" w:hAnsi="宋体" w:cs="宋体"/>
          <w:color w:val="auto"/>
          <w:szCs w:val="21"/>
          <w:highlight w:val="none"/>
        </w:rPr>
        <w:t>交通绕行组织布置示意图</w:t>
      </w:r>
    </w:p>
    <w:p w14:paraId="3023C476">
      <w:pPr>
        <w:spacing w:line="360" w:lineRule="auto"/>
        <w:ind w:firstLine="420" w:firstLineChars="200"/>
        <w:rPr>
          <w:rFonts w:hint="eastAsia" w:hAnsi="宋体" w:cs="宋体"/>
          <w:color w:val="auto"/>
          <w:szCs w:val="21"/>
          <w:highlight w:val="none"/>
        </w:rPr>
      </w:pPr>
      <w:r>
        <w:rPr>
          <w:rFonts w:hAnsi="宋体" w:cs="宋体"/>
          <w:color w:val="auto"/>
          <w:szCs w:val="21"/>
          <w:highlight w:val="none"/>
        </w:rPr>
        <w:t>3</w:t>
      </w:r>
      <w:r>
        <w:rPr>
          <w:rFonts w:hint="eastAsia" w:hAnsi="宋体" w:cs="宋体"/>
          <w:color w:val="auto"/>
          <w:szCs w:val="21"/>
          <w:highlight w:val="none"/>
        </w:rPr>
        <w:t>、非机动车道维修作业控制区布置</w:t>
      </w:r>
    </w:p>
    <w:p w14:paraId="5A3F268C">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（1）非机动车道至少应留出2m宽供非机动车通行，上游过渡区和缓冲区长度根据作业方式设置，不设警告区。</w:t>
      </w:r>
    </w:p>
    <w:p w14:paraId="1ACEABB3">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w:t>
      </w:r>
      <w:r>
        <w:rPr>
          <w:rFonts w:hAnsi="宋体" w:cs="宋体"/>
          <w:color w:val="auto"/>
          <w:szCs w:val="21"/>
          <w:highlight w:val="none"/>
        </w:rPr>
        <w:t>2</w:t>
      </w:r>
      <w:r>
        <w:rPr>
          <w:rFonts w:hint="eastAsia" w:hAnsi="宋体" w:cs="宋体"/>
          <w:color w:val="auto"/>
          <w:szCs w:val="21"/>
          <w:highlight w:val="none"/>
        </w:rPr>
        <w:t>）非机动车和行人共同使用的车道在养护维修作业时，应至少保留2m的最小宽度供行人和非机动车共同使用。</w:t>
      </w:r>
    </w:p>
    <w:p w14:paraId="057E55A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（3）非机动车道宽度小于2m、人行道宽度大于3m时，非机动车可借用人行道通行，上游过渡区和缓冲区长度根据作业方式设置，不设警告区、下游过渡区及终止区。</w:t>
      </w:r>
    </w:p>
    <w:p w14:paraId="0C52E09D">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（4）非机动车道宽度小于2m、人行道宽度小于3m时，非机动车可借用机动车道通行，非机动车道的养护维修作业控制区布置应参照机动车道的养护维修作业控制区布置。</w:t>
      </w:r>
    </w:p>
    <w:p w14:paraId="4E5B18DE">
      <w:pPr>
        <w:rPr>
          <w:rFonts w:hint="eastAsia" w:hAnsi="宋体" w:cs="宋体"/>
          <w:color w:val="auto"/>
          <w:szCs w:val="21"/>
          <w:highlight w:val="none"/>
        </w:rPr>
      </w:pPr>
      <w:r>
        <w:rPr>
          <w:rFonts w:hAnsi="宋体" w:cs="宋体"/>
          <w:color w:val="auto"/>
          <w:szCs w:val="21"/>
          <w:highlight w:val="none"/>
        </w:rPr>
        <w:drawing>
          <wp:inline distT="0" distB="0" distL="114300" distR="114300">
            <wp:extent cx="1800860" cy="4606925"/>
            <wp:effectExtent l="0" t="0" r="2540" b="3175"/>
            <wp:docPr id="27" name="图片 20" descr="C:\Users\Administrator\Desktop\页面提取自－DG∕TJ 08-2183-2015 城市道路养护维修作业安全技术规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C:\Users\Administrator\Desktop\页面提取自－DG∕TJ 08-2183-2015 城市道路养护维修作业安全技术规程.jpg"/>
                    <pic:cNvPicPr>
                      <a:picLocks noChangeAspect="1"/>
                    </pic:cNvPicPr>
                  </pic:nvPicPr>
                  <pic:blipFill>
                    <a:blip r:embed="rId42"/>
                    <a:srcRect l="5293" r="2847"/>
                    <a:stretch>
                      <a:fillRect/>
                    </a:stretch>
                  </pic:blipFill>
                  <pic:spPr>
                    <a:xfrm>
                      <a:off x="0" y="0"/>
                      <a:ext cx="1800860" cy="4606925"/>
                    </a:xfrm>
                    <a:prstGeom prst="rect">
                      <a:avLst/>
                    </a:prstGeom>
                    <a:noFill/>
                    <a:ln>
                      <a:noFill/>
                    </a:ln>
                  </pic:spPr>
                </pic:pic>
              </a:graphicData>
            </a:graphic>
          </wp:inline>
        </w:drawing>
      </w:r>
      <w:r>
        <w:rPr>
          <w:rFonts w:hAnsi="宋体" w:cs="宋体"/>
          <w:color w:val="auto"/>
          <w:szCs w:val="21"/>
          <w:highlight w:val="none"/>
        </w:rPr>
        <w:drawing>
          <wp:inline distT="0" distB="0" distL="114300" distR="114300">
            <wp:extent cx="1800860" cy="4587875"/>
            <wp:effectExtent l="0" t="0" r="2540" b="9525"/>
            <wp:docPr id="28" name="图片 21" descr="C:\Users\Administrator\Desktop\页面提取自－DG∕TJ 08-2183-2015 城市道路养护维修作业安全技术规程-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descr="C:\Users\Administrator\Desktop\页面提取自－DG∕TJ 08-2183-2015 城市道路养护维修作业安全技术规程-2.jpg"/>
                    <pic:cNvPicPr>
                      <a:picLocks noChangeAspect="1"/>
                    </pic:cNvPicPr>
                  </pic:nvPicPr>
                  <pic:blipFill>
                    <a:blip r:embed="rId43"/>
                    <a:srcRect l="4633" r="5733"/>
                    <a:stretch>
                      <a:fillRect/>
                    </a:stretch>
                  </pic:blipFill>
                  <pic:spPr>
                    <a:xfrm>
                      <a:off x="0" y="0"/>
                      <a:ext cx="1800860" cy="4587875"/>
                    </a:xfrm>
                    <a:prstGeom prst="rect">
                      <a:avLst/>
                    </a:prstGeom>
                    <a:noFill/>
                    <a:ln>
                      <a:noFill/>
                    </a:ln>
                  </pic:spPr>
                </pic:pic>
              </a:graphicData>
            </a:graphic>
          </wp:inline>
        </w:drawing>
      </w:r>
      <w:r>
        <w:rPr>
          <w:rFonts w:hAnsi="宋体" w:cs="宋体"/>
          <w:color w:val="auto"/>
          <w:szCs w:val="21"/>
          <w:highlight w:val="none"/>
        </w:rPr>
        <w:drawing>
          <wp:inline distT="0" distB="0" distL="114300" distR="114300">
            <wp:extent cx="2341245" cy="4272915"/>
            <wp:effectExtent l="0" t="0" r="8255" b="6985"/>
            <wp:docPr id="29" name="图片 22" descr="C:\Users\Administrator\Desktop\页面提取自－DG∕TJ 08-2183-2015 城市道路养护维修作业安全技术规程-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C:\Users\Administrator\Desktop\页面提取自－DG∕TJ 08-2183-2015 城市道路养护维修作业安全技术规程-3.jpg"/>
                    <pic:cNvPicPr>
                      <a:picLocks noChangeAspect="1"/>
                    </pic:cNvPicPr>
                  </pic:nvPicPr>
                  <pic:blipFill>
                    <a:blip r:embed="rId44"/>
                    <a:stretch>
                      <a:fillRect/>
                    </a:stretch>
                  </pic:blipFill>
                  <pic:spPr>
                    <a:xfrm>
                      <a:off x="0" y="0"/>
                      <a:ext cx="2341245" cy="4272915"/>
                    </a:xfrm>
                    <a:prstGeom prst="rect">
                      <a:avLst/>
                    </a:prstGeom>
                    <a:noFill/>
                    <a:ln>
                      <a:noFill/>
                    </a:ln>
                  </pic:spPr>
                </pic:pic>
              </a:graphicData>
            </a:graphic>
          </wp:inline>
        </w:drawing>
      </w:r>
    </w:p>
    <w:p w14:paraId="7FA755C2">
      <w:pPr>
        <w:spacing w:line="360" w:lineRule="auto"/>
        <w:jc w:val="center"/>
        <w:rPr>
          <w:rFonts w:hint="eastAsia" w:hAnsi="宋体" w:cs="宋体"/>
          <w:color w:val="auto"/>
          <w:szCs w:val="21"/>
          <w:highlight w:val="none"/>
        </w:rPr>
      </w:pPr>
      <w:r>
        <w:rPr>
          <w:rFonts w:hint="eastAsia" w:hAnsi="宋体" w:cs="宋体"/>
          <w:color w:val="auto"/>
          <w:szCs w:val="21"/>
          <w:highlight w:val="none"/>
        </w:rPr>
        <w:t>非机动车道封闭养护维修作业区布置示意图</w:t>
      </w:r>
    </w:p>
    <w:p w14:paraId="7CBA7644">
      <w:pPr>
        <w:spacing w:line="360" w:lineRule="auto"/>
        <w:ind w:firstLine="420" w:firstLineChars="200"/>
        <w:rPr>
          <w:rFonts w:hint="eastAsia" w:hAnsi="宋体" w:cs="宋体"/>
          <w:color w:val="auto"/>
          <w:szCs w:val="21"/>
          <w:highlight w:val="none"/>
        </w:rPr>
      </w:pPr>
    </w:p>
    <w:p w14:paraId="00C0AF66">
      <w:pPr>
        <w:spacing w:line="360" w:lineRule="auto"/>
        <w:ind w:firstLine="420" w:firstLineChars="200"/>
        <w:rPr>
          <w:rFonts w:hint="eastAsia" w:hAnsi="宋体" w:cs="宋体"/>
          <w:color w:val="auto"/>
          <w:szCs w:val="21"/>
          <w:highlight w:val="none"/>
        </w:rPr>
      </w:pPr>
      <w:r>
        <w:rPr>
          <w:rFonts w:hAnsi="宋体" w:cs="宋体"/>
          <w:color w:val="auto"/>
          <w:szCs w:val="21"/>
          <w:highlight w:val="none"/>
        </w:rPr>
        <w:t>4</w:t>
      </w:r>
      <w:r>
        <w:rPr>
          <w:rFonts w:hint="eastAsia" w:hAnsi="宋体" w:cs="宋体"/>
          <w:color w:val="auto"/>
          <w:szCs w:val="21"/>
          <w:highlight w:val="none"/>
        </w:rPr>
        <w:t>、人行道维修作业控制区布置</w:t>
      </w:r>
    </w:p>
    <w:p w14:paraId="3FCD5AD5">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（1）人行道可留出1m宽供行人通行时，上游过渡区长度可根据作业方式设置，不设警告区、缓冲区。</w:t>
      </w:r>
    </w:p>
    <w:p w14:paraId="67738431">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（2）人行道不能留出1m宽供行人通行、非机动车道宽度不小于3m宽时，行人需占用非机动车道通行，人行道的养护维修作业控制区布置应按照非机动车道的养护维修作业控制区布置。</w:t>
      </w:r>
    </w:p>
    <w:p w14:paraId="25E1E711">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（3）人行道需要进行全封闭施工且不能占用非机动车道时，应在作业控制区上游的设置人行引导标志，引导行人利用其他人行通道。</w:t>
      </w:r>
    </w:p>
    <w:p w14:paraId="59B53EFA">
      <w:pPr>
        <w:ind w:left="-2" w:leftChars="-1"/>
        <w:rPr>
          <w:rFonts w:hint="eastAsia" w:hAnsi="宋体" w:cs="宋体"/>
          <w:color w:val="auto"/>
          <w:szCs w:val="21"/>
          <w:highlight w:val="none"/>
        </w:rPr>
      </w:pPr>
      <w:r>
        <w:rPr>
          <w:rFonts w:hAnsi="宋体" w:cs="宋体"/>
          <w:color w:val="auto"/>
          <w:szCs w:val="21"/>
          <w:highlight w:val="none"/>
        </w:rPr>
        <w:drawing>
          <wp:inline distT="0" distB="0" distL="114300" distR="114300">
            <wp:extent cx="1801495" cy="4693285"/>
            <wp:effectExtent l="0" t="0" r="1905" b="5715"/>
            <wp:docPr id="30" name="图片 23" descr="C:\Users\Administrator\Desktop\页面提取自－DG∕TJ 08-2183-2015 城市道路养护维修作业安全技术规程-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3" descr="C:\Users\Administrator\Desktop\页面提取自－DG∕TJ 08-2183-2015 城市道路养护维修作业安全技术规程-4.jpg"/>
                    <pic:cNvPicPr>
                      <a:picLocks noChangeAspect="1"/>
                    </pic:cNvPicPr>
                  </pic:nvPicPr>
                  <pic:blipFill>
                    <a:blip r:embed="rId45"/>
                    <a:srcRect l="4410" t="1088" r="3259"/>
                    <a:stretch>
                      <a:fillRect/>
                    </a:stretch>
                  </pic:blipFill>
                  <pic:spPr>
                    <a:xfrm>
                      <a:off x="0" y="0"/>
                      <a:ext cx="1801495" cy="4693285"/>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1801495" cy="4769485"/>
            <wp:effectExtent l="0" t="0" r="1905" b="5715"/>
            <wp:docPr id="31" name="图片 24" descr="C:\Users\Administrator\Desktop\页面提取自－DG∕TJ 08-2183-2015 城市道路养护维修作业安全技术规程-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4" descr="C:\Users\Administrator\Desktop\页面提取自－DG∕TJ 08-2183-2015 城市道路养护维修作业安全技术规程-5.jpg"/>
                    <pic:cNvPicPr>
                      <a:picLocks noChangeAspect="1"/>
                    </pic:cNvPicPr>
                  </pic:nvPicPr>
                  <pic:blipFill>
                    <a:blip r:embed="rId46"/>
                    <a:srcRect l="3969" r="2963"/>
                    <a:stretch>
                      <a:fillRect/>
                    </a:stretch>
                  </pic:blipFill>
                  <pic:spPr>
                    <a:xfrm>
                      <a:off x="0" y="0"/>
                      <a:ext cx="1801495" cy="4769485"/>
                    </a:xfrm>
                    <a:prstGeom prst="rect">
                      <a:avLst/>
                    </a:prstGeom>
                    <a:noFill/>
                    <a:ln>
                      <a:noFill/>
                    </a:ln>
                  </pic:spPr>
                </pic:pic>
              </a:graphicData>
            </a:graphic>
          </wp:inline>
        </w:drawing>
      </w:r>
      <w:r>
        <w:rPr>
          <w:rFonts w:hAnsi="宋体" w:cs="宋体"/>
          <w:color w:val="auto"/>
          <w:szCs w:val="21"/>
          <w:highlight w:val="none"/>
        </w:rPr>
        <w:t xml:space="preserve"> </w:t>
      </w:r>
      <w:r>
        <w:rPr>
          <w:rFonts w:hAnsi="宋体" w:cs="宋体"/>
          <w:color w:val="auto"/>
          <w:szCs w:val="21"/>
          <w:highlight w:val="none"/>
        </w:rPr>
        <w:drawing>
          <wp:inline distT="0" distB="0" distL="114300" distR="114300">
            <wp:extent cx="2159635" cy="5123180"/>
            <wp:effectExtent l="0" t="0" r="12065" b="7620"/>
            <wp:docPr id="32" name="图片 25" descr="C:\Users\Administrator\Desktop\页面提取自－DG∕TJ 08-2183-2015 城市道路养护维修作业安全技术规程-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5" descr="C:\Users\Administrator\Desktop\页面提取自－DG∕TJ 08-2183-2015 城市道路养护维修作业安全技术规程-6.jpg"/>
                    <pic:cNvPicPr>
                      <a:picLocks noChangeAspect="1"/>
                    </pic:cNvPicPr>
                  </pic:nvPicPr>
                  <pic:blipFill>
                    <a:blip r:embed="rId47"/>
                    <a:srcRect l="2850" t="908" r="2689"/>
                    <a:stretch>
                      <a:fillRect/>
                    </a:stretch>
                  </pic:blipFill>
                  <pic:spPr>
                    <a:xfrm>
                      <a:off x="0" y="0"/>
                      <a:ext cx="2159635" cy="5123180"/>
                    </a:xfrm>
                    <a:prstGeom prst="rect">
                      <a:avLst/>
                    </a:prstGeom>
                    <a:noFill/>
                    <a:ln>
                      <a:noFill/>
                    </a:ln>
                  </pic:spPr>
                </pic:pic>
              </a:graphicData>
            </a:graphic>
          </wp:inline>
        </w:drawing>
      </w:r>
    </w:p>
    <w:p w14:paraId="54787B5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人行道封闭养护维修作业区布置示意图</w:t>
      </w:r>
    </w:p>
    <w:p w14:paraId="52C82F35">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5、交叉口维修作业控制区布置</w:t>
      </w:r>
    </w:p>
    <w:p w14:paraId="677C68D3">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（1）平面交叉口范围内养护维修作业时，交叉口视距三角形范围内不得有任何高于1.2m或妨碍视线的物体。</w:t>
      </w:r>
    </w:p>
    <w:p w14:paraId="6BDEAE34">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w:t>
      </w:r>
      <w:r>
        <w:rPr>
          <w:rFonts w:hAnsi="宋体" w:cs="宋体"/>
          <w:color w:val="auto"/>
          <w:szCs w:val="21"/>
          <w:highlight w:val="none"/>
        </w:rPr>
        <w:t>平面交叉口养护维修作业时，应考虑行人和非机动车的通行。</w:t>
      </w:r>
    </w:p>
    <w:p w14:paraId="59855D7D">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（3）与养护维修作业交叉口相连的各上游交叉口进口道和出口道处均应设置养护维修作业相关信息交通标志。</w:t>
      </w:r>
    </w:p>
    <w:p w14:paraId="05BD23CD">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（4）在警告区内应设置施工标志、速度限制标志和车道封闭标志等；在上游过渡区起点至下游过渡区终点之间应放置交通锥或路栏；在缓冲区与工作区交界处应布设路栏或防撞桶。</w:t>
      </w:r>
    </w:p>
    <w:p w14:paraId="07CB2051">
      <w:pPr>
        <w:rPr>
          <w:rFonts w:hint="eastAsia" w:hAnsi="宋体" w:cs="宋体"/>
          <w:color w:val="auto"/>
          <w:szCs w:val="21"/>
          <w:highlight w:val="none"/>
        </w:rPr>
      </w:pP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2879090" cy="2852420"/>
            <wp:effectExtent l="0" t="0" r="3810" b="508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48"/>
                    <a:stretch>
                      <a:fillRect/>
                    </a:stretch>
                  </pic:blipFill>
                  <pic:spPr>
                    <a:xfrm>
                      <a:off x="0" y="0"/>
                      <a:ext cx="2879090" cy="2852420"/>
                    </a:xfrm>
                    <a:prstGeom prst="rect">
                      <a:avLst/>
                    </a:prstGeom>
                    <a:noFill/>
                    <a:ln>
                      <a:noFill/>
                    </a:ln>
                  </pic:spPr>
                </pic:pic>
              </a:graphicData>
            </a:graphic>
          </wp:inline>
        </w:drawing>
      </w:r>
      <w:r>
        <w:rPr>
          <w:rFonts w:hAnsi="宋体" w:cs="宋体"/>
          <w:color w:val="auto"/>
          <w:szCs w:val="21"/>
          <w:highlight w:val="none"/>
        </w:rPr>
        <w:t xml:space="preserve"> </w:t>
      </w:r>
      <w:r>
        <w:rPr>
          <w:rFonts w:hAnsi="宋体" w:cs="宋体"/>
          <w:color w:val="auto"/>
          <w:szCs w:val="21"/>
          <w:highlight w:val="none"/>
        </w:rPr>
        <w:drawing>
          <wp:inline distT="0" distB="0" distL="114300" distR="114300">
            <wp:extent cx="2879090" cy="2862580"/>
            <wp:effectExtent l="0" t="0" r="3810" b="7620"/>
            <wp:docPr id="3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7"/>
                    <pic:cNvPicPr>
                      <a:picLocks noChangeAspect="1"/>
                    </pic:cNvPicPr>
                  </pic:nvPicPr>
                  <pic:blipFill>
                    <a:blip r:embed="rId49"/>
                    <a:stretch>
                      <a:fillRect/>
                    </a:stretch>
                  </pic:blipFill>
                  <pic:spPr>
                    <a:xfrm>
                      <a:off x="0" y="0"/>
                      <a:ext cx="2879090" cy="2862580"/>
                    </a:xfrm>
                    <a:prstGeom prst="rect">
                      <a:avLst/>
                    </a:prstGeom>
                    <a:noFill/>
                    <a:ln>
                      <a:noFill/>
                    </a:ln>
                  </pic:spPr>
                </pic:pic>
              </a:graphicData>
            </a:graphic>
          </wp:inline>
        </w:drawing>
      </w:r>
    </w:p>
    <w:p w14:paraId="32534F84">
      <w:pPr>
        <w:jc w:val="center"/>
        <w:rPr>
          <w:rFonts w:hint="eastAsia" w:hAnsi="宋体" w:cs="宋体"/>
          <w:color w:val="auto"/>
          <w:szCs w:val="21"/>
          <w:highlight w:val="none"/>
        </w:rPr>
      </w:pPr>
      <w:r>
        <w:rPr>
          <w:rFonts w:hint="eastAsia" w:hAnsi="宋体" w:cs="宋体"/>
          <w:color w:val="auto"/>
          <w:szCs w:val="21"/>
          <w:highlight w:val="none"/>
        </w:rPr>
        <w:t>交叉口出口处封闭示意图</w:t>
      </w:r>
    </w:p>
    <w:p w14:paraId="29CD28F2">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3599180" cy="4605020"/>
            <wp:effectExtent l="0" t="0" r="7620" b="5080"/>
            <wp:docPr id="35"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8"/>
                    <pic:cNvPicPr>
                      <a:picLocks noChangeAspect="1"/>
                    </pic:cNvPicPr>
                  </pic:nvPicPr>
                  <pic:blipFill>
                    <a:blip r:embed="rId50"/>
                    <a:stretch>
                      <a:fillRect/>
                    </a:stretch>
                  </pic:blipFill>
                  <pic:spPr>
                    <a:xfrm>
                      <a:off x="0" y="0"/>
                      <a:ext cx="3599180" cy="4605020"/>
                    </a:xfrm>
                    <a:prstGeom prst="rect">
                      <a:avLst/>
                    </a:prstGeom>
                    <a:noFill/>
                    <a:ln>
                      <a:noFill/>
                    </a:ln>
                  </pic:spPr>
                </pic:pic>
              </a:graphicData>
            </a:graphic>
          </wp:inline>
        </w:drawing>
      </w:r>
    </w:p>
    <w:p w14:paraId="68BE3B83">
      <w:pPr>
        <w:jc w:val="center"/>
        <w:rPr>
          <w:rFonts w:hint="eastAsia" w:hAnsi="宋体" w:cs="宋体"/>
          <w:color w:val="auto"/>
          <w:szCs w:val="21"/>
          <w:highlight w:val="none"/>
        </w:rPr>
      </w:pPr>
      <w:r>
        <w:rPr>
          <w:rFonts w:hint="eastAsia" w:hAnsi="宋体" w:cs="宋体"/>
          <w:color w:val="auto"/>
          <w:szCs w:val="21"/>
          <w:highlight w:val="none"/>
        </w:rPr>
        <w:t>交叉口出口处需改变车流方向时封闭示意图</w:t>
      </w:r>
    </w:p>
    <w:p w14:paraId="35A7A6ED">
      <w:pPr>
        <w:rPr>
          <w:rFonts w:hint="eastAsia" w:hAnsi="宋体" w:cs="宋体"/>
          <w:color w:val="auto"/>
          <w:szCs w:val="21"/>
          <w:highlight w:val="none"/>
        </w:rPr>
      </w:pPr>
      <w:r>
        <w:rPr>
          <w:rFonts w:hAnsi="宋体" w:cs="宋体"/>
          <w:color w:val="auto"/>
          <w:szCs w:val="21"/>
          <w:highlight w:val="none"/>
        </w:rPr>
        <w:drawing>
          <wp:inline distT="0" distB="0" distL="114300" distR="114300">
            <wp:extent cx="2879090" cy="3553460"/>
            <wp:effectExtent l="0" t="0" r="3810" b="2540"/>
            <wp:docPr id="3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9"/>
                    <pic:cNvPicPr>
                      <a:picLocks noChangeAspect="1"/>
                    </pic:cNvPicPr>
                  </pic:nvPicPr>
                  <pic:blipFill>
                    <a:blip r:embed="rId51"/>
                    <a:stretch>
                      <a:fillRect/>
                    </a:stretch>
                  </pic:blipFill>
                  <pic:spPr>
                    <a:xfrm>
                      <a:off x="0" y="0"/>
                      <a:ext cx="2879090" cy="3553460"/>
                    </a:xfrm>
                    <a:prstGeom prst="rect">
                      <a:avLst/>
                    </a:prstGeom>
                    <a:noFill/>
                    <a:ln>
                      <a:noFill/>
                    </a:ln>
                  </pic:spPr>
                </pic:pic>
              </a:graphicData>
            </a:graphic>
          </wp:inline>
        </w:drawing>
      </w:r>
      <w:r>
        <w:rPr>
          <w:rFonts w:hint="eastAsia" w:hAnsi="宋体" w:cs="宋体"/>
          <w:color w:val="auto"/>
          <w:szCs w:val="21"/>
          <w:highlight w:val="none"/>
        </w:rPr>
        <w:t xml:space="preserve"> </w:t>
      </w:r>
      <w:r>
        <w:rPr>
          <w:rFonts w:hAnsi="宋体" w:cs="宋体"/>
          <w:color w:val="auto"/>
          <w:szCs w:val="21"/>
          <w:highlight w:val="none"/>
        </w:rPr>
        <w:drawing>
          <wp:inline distT="0" distB="0" distL="114300" distR="114300">
            <wp:extent cx="2879090" cy="3562350"/>
            <wp:effectExtent l="0" t="0" r="3810" b="6350"/>
            <wp:docPr id="3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0"/>
                    <pic:cNvPicPr>
                      <a:picLocks noChangeAspect="1"/>
                    </pic:cNvPicPr>
                  </pic:nvPicPr>
                  <pic:blipFill>
                    <a:blip r:embed="rId52"/>
                    <a:stretch>
                      <a:fillRect/>
                    </a:stretch>
                  </pic:blipFill>
                  <pic:spPr>
                    <a:xfrm>
                      <a:off x="0" y="0"/>
                      <a:ext cx="2879090" cy="3562350"/>
                    </a:xfrm>
                    <a:prstGeom prst="rect">
                      <a:avLst/>
                    </a:prstGeom>
                    <a:noFill/>
                    <a:ln>
                      <a:noFill/>
                    </a:ln>
                  </pic:spPr>
                </pic:pic>
              </a:graphicData>
            </a:graphic>
          </wp:inline>
        </w:drawing>
      </w:r>
    </w:p>
    <w:p w14:paraId="6DFD926D">
      <w:pPr>
        <w:jc w:val="center"/>
        <w:rPr>
          <w:rFonts w:hint="eastAsia" w:hAnsi="宋体" w:cs="宋体"/>
          <w:color w:val="auto"/>
          <w:szCs w:val="21"/>
          <w:highlight w:val="none"/>
        </w:rPr>
      </w:pPr>
      <w:r>
        <w:rPr>
          <w:rFonts w:hint="eastAsia" w:hAnsi="宋体" w:cs="宋体"/>
          <w:color w:val="auto"/>
          <w:szCs w:val="21"/>
          <w:highlight w:val="none"/>
        </w:rPr>
        <w:t>交叉口入口处封闭示意图</w:t>
      </w:r>
    </w:p>
    <w:p w14:paraId="64E5558D">
      <w:pPr>
        <w:jc w:val="center"/>
        <w:rPr>
          <w:rFonts w:hint="eastAsia" w:hAnsi="宋体" w:cs="宋体"/>
          <w:color w:val="auto"/>
          <w:szCs w:val="21"/>
          <w:highlight w:val="none"/>
        </w:rPr>
      </w:pPr>
      <w:r>
        <w:rPr>
          <w:rFonts w:hAnsi="宋体" w:cs="宋体"/>
          <w:color w:val="auto"/>
          <w:szCs w:val="21"/>
          <w:highlight w:val="none"/>
        </w:rPr>
        <w:drawing>
          <wp:inline distT="0" distB="0" distL="114300" distR="114300">
            <wp:extent cx="3599180" cy="4467860"/>
            <wp:effectExtent l="0" t="0" r="7620" b="2540"/>
            <wp:docPr id="3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1"/>
                    <pic:cNvPicPr>
                      <a:picLocks noChangeAspect="1"/>
                    </pic:cNvPicPr>
                  </pic:nvPicPr>
                  <pic:blipFill>
                    <a:blip r:embed="rId53"/>
                    <a:stretch>
                      <a:fillRect/>
                    </a:stretch>
                  </pic:blipFill>
                  <pic:spPr>
                    <a:xfrm>
                      <a:off x="0" y="0"/>
                      <a:ext cx="3599180" cy="4467860"/>
                    </a:xfrm>
                    <a:prstGeom prst="rect">
                      <a:avLst/>
                    </a:prstGeom>
                    <a:noFill/>
                    <a:ln>
                      <a:noFill/>
                    </a:ln>
                  </pic:spPr>
                </pic:pic>
              </a:graphicData>
            </a:graphic>
          </wp:inline>
        </w:drawing>
      </w:r>
    </w:p>
    <w:p w14:paraId="3E71A260">
      <w:pPr>
        <w:spacing w:line="360" w:lineRule="auto"/>
        <w:jc w:val="center"/>
        <w:rPr>
          <w:rFonts w:hint="eastAsia" w:hAnsi="宋体" w:cs="宋体"/>
          <w:color w:val="auto"/>
          <w:szCs w:val="21"/>
          <w:highlight w:val="none"/>
        </w:rPr>
      </w:pPr>
      <w:r>
        <w:rPr>
          <w:rFonts w:hint="eastAsia" w:hAnsi="宋体" w:cs="宋体"/>
          <w:color w:val="auto"/>
          <w:szCs w:val="21"/>
          <w:highlight w:val="none"/>
        </w:rPr>
        <w:t>交叉口入口处需改变车流方向时封闭示意图</w:t>
      </w:r>
    </w:p>
    <w:p w14:paraId="3CFD67C4">
      <w:pPr>
        <w:spacing w:line="360" w:lineRule="auto"/>
        <w:ind w:firstLine="420" w:firstLineChars="200"/>
        <w:rPr>
          <w:rFonts w:hint="eastAsia" w:hAnsi="宋体" w:cs="宋体"/>
          <w:color w:val="auto"/>
          <w:szCs w:val="21"/>
          <w:highlight w:val="none"/>
        </w:rPr>
      </w:pPr>
    </w:p>
    <w:p w14:paraId="2071A535">
      <w:pPr>
        <w:spacing w:line="360" w:lineRule="auto"/>
        <w:ind w:firstLine="422" w:firstLineChars="200"/>
        <w:rPr>
          <w:rFonts w:hint="eastAsia" w:hAnsi="宋体" w:cs="宋体"/>
          <w:b/>
          <w:color w:val="auto"/>
          <w:szCs w:val="21"/>
          <w:highlight w:val="none"/>
        </w:rPr>
      </w:pPr>
      <w:r>
        <w:rPr>
          <w:rFonts w:hint="eastAsia" w:hAnsi="宋体" w:cs="宋体"/>
          <w:b/>
          <w:color w:val="auto"/>
          <w:szCs w:val="21"/>
          <w:highlight w:val="none"/>
        </w:rPr>
        <w:t>（四）夜间养护维修作业安全要求</w:t>
      </w:r>
    </w:p>
    <w:p w14:paraId="05F2652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1、夜间养护维修作业时，养护维修作业控制区内所用的临时标志和标线应符合《道路交通标志和标线GB5768》要求，警告区内宜采用发光型施工警告标志，过渡区和缓冲区内宜布设闪烁箭头灯、红蓝频闪灯和回转风扇灯。</w:t>
      </w:r>
    </w:p>
    <w:p w14:paraId="0319FAA0">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2、养护维修作业控制区必须符合照明标准要求，安全设施自带内部光源时，设施面应采用透光材料；采用外部光源时，其光源应采取防眩措施。</w:t>
      </w:r>
    </w:p>
    <w:p w14:paraId="13296DE7">
      <w:pPr>
        <w:spacing w:line="360" w:lineRule="auto"/>
        <w:ind w:firstLine="420" w:firstLineChars="200"/>
        <w:rPr>
          <w:rFonts w:hint="eastAsia" w:hAnsi="宋体" w:cs="宋体"/>
          <w:color w:val="auto"/>
          <w:szCs w:val="21"/>
          <w:highlight w:val="none"/>
        </w:rPr>
      </w:pPr>
      <w:r>
        <w:rPr>
          <w:rFonts w:hint="eastAsia" w:hAnsi="宋体" w:cs="宋体"/>
          <w:color w:val="auto"/>
          <w:szCs w:val="21"/>
          <w:highlight w:val="none"/>
        </w:rPr>
        <w:t>3、夜间养护维修作业控制区的周围应设置施工警告灯，标识作业控制区域。</w:t>
      </w:r>
    </w:p>
    <w:p w14:paraId="0BA77B77">
      <w:pPr>
        <w:spacing w:line="440" w:lineRule="exact"/>
        <w:rPr>
          <w:rFonts w:hint="eastAsia" w:hAnsi="宋体" w:cs="宋体"/>
          <w:color w:val="auto"/>
          <w:szCs w:val="21"/>
          <w:highlight w:val="none"/>
        </w:rPr>
      </w:pPr>
    </w:p>
    <w:p w14:paraId="2BE9C6C4">
      <w:pPr>
        <w:keepNext/>
        <w:keepLines/>
        <w:spacing w:before="240" w:beforeLines="100" w:line="360" w:lineRule="auto"/>
        <w:outlineLvl w:val="2"/>
        <w:rPr>
          <w:rFonts w:hint="eastAsia" w:ascii="宋体" w:hAnsi="宋体" w:cs="宋体"/>
          <w:b/>
          <w:bCs/>
          <w:color w:val="auto"/>
          <w:kern w:val="0"/>
          <w:sz w:val="36"/>
          <w:szCs w:val="36"/>
          <w:highlight w:val="none"/>
          <w:lang w:bidi="ar"/>
        </w:rPr>
      </w:pPr>
      <w:r>
        <w:rPr>
          <w:rFonts w:hAnsi="宋体" w:cs="宋体"/>
          <w:color w:val="auto"/>
          <w:szCs w:val="21"/>
          <w:highlight w:val="none"/>
        </w:rPr>
        <w:br w:type="page"/>
      </w:r>
      <w:r>
        <w:rPr>
          <w:rFonts w:hint="eastAsia" w:ascii="宋体" w:hAnsi="宋体" w:cs="宋体"/>
          <w:b/>
          <w:bCs/>
          <w:color w:val="auto"/>
          <w:kern w:val="0"/>
          <w:sz w:val="36"/>
          <w:szCs w:val="36"/>
          <w:highlight w:val="none"/>
          <w:lang w:bidi="ar"/>
        </w:rPr>
        <w:t>附件5：廉政合同</w:t>
      </w:r>
    </w:p>
    <w:p w14:paraId="04B310B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南通市崇川区城市工程建设管理中心</w:t>
      </w:r>
      <w:r>
        <w:rPr>
          <w:rFonts w:hint="eastAsia" w:ascii="宋体" w:hAnsi="宋体" w:eastAsia="宋体" w:cs="宋体"/>
          <w:color w:val="auto"/>
          <w:sz w:val="21"/>
          <w:szCs w:val="21"/>
          <w:highlight w:val="none"/>
          <w:u w:val="single"/>
        </w:rPr>
        <w:t xml:space="preserve">  </w:t>
      </w:r>
    </w:p>
    <w:p w14:paraId="68CAF5B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u w:val="single"/>
        </w:rPr>
        <w:t xml:space="preserve">          </w:t>
      </w:r>
    </w:p>
    <w:p w14:paraId="77327AAF">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加强建设工程廉政建设，规范建设工程各项活动中发包人承包人双方的行为，防止谋取不正当利益的违法违纪现象的发生，保护国家、集体和当事人的合法权益，根据国家有关工程建设的法律法规和廉政建设的有关规定，订立本廉政责任书。</w:t>
      </w:r>
    </w:p>
    <w:p w14:paraId="09CCA22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一、双方的责任</w:t>
      </w:r>
    </w:p>
    <w:p w14:paraId="58B064B7">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1.1应严格遵守国家关于建设工程的有关法律、法规，相关政策，以及廉政建设的各项规定。</w:t>
      </w:r>
    </w:p>
    <w:p w14:paraId="4BD9257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1.2严格执行建设工程合同文件，自觉按合同办事。</w:t>
      </w:r>
    </w:p>
    <w:p w14:paraId="56701AD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1.3各项活动必须坚持公开、公平、公正、诚信、透明的原则(除法律法规另有规定者外)，不得为获取不正当的利益，损害国家、集体和对方利益，不得违反建设工程管理的规章制度。</w:t>
      </w:r>
    </w:p>
    <w:p w14:paraId="2CD9212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1.4发现对方在业务活动中有违规、违纪、违法行为的，应及时提醒对方，情节严重的，应向其上级主管部门或纪检监察、司法等有关机关举报。</w:t>
      </w:r>
    </w:p>
    <w:p w14:paraId="3600C9A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二、发包人责任</w:t>
      </w:r>
    </w:p>
    <w:p w14:paraId="71F9A5B3">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发包人的领导和从事该建设工程项目的工作人员，在工程建设的事前、事中、事后应遵守以下规定：</w:t>
      </w:r>
    </w:p>
    <w:p w14:paraId="41F422F9">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2.1不得向承包人和相关单位索要或接受回扣、礼金、有价证券、贵重物品和好处费、感谢费等。</w:t>
      </w:r>
    </w:p>
    <w:p w14:paraId="03A1C8DB">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2.2不得在承包人和相关单位报销任何应由发包人或个人支付的费用。</w:t>
      </w:r>
    </w:p>
    <w:p w14:paraId="526742B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2.3不得要求、暗示或接受承包人和相关单位为个人装修住房、婚丧嫁娶、配偶子女的工作安排以及出国(境)、旅游等提供方便。</w:t>
      </w:r>
    </w:p>
    <w:p w14:paraId="3A92004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2.4不得参加有可能影响公正执行公务的承包人和相关单位的宴请、健身、娱乐等活动。</w:t>
      </w:r>
    </w:p>
    <w:p w14:paraId="6DC69F4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2.5不得向承包人和相关单位介绍或为配偶、子女、亲属参与同发包人工程建设管理合同有关的业务活动；不得以任何理由要求承包人和相关单位使用某种产品、材料和设备。</w:t>
      </w:r>
    </w:p>
    <w:p w14:paraId="1D04628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三、承包人责任</w:t>
      </w:r>
    </w:p>
    <w:p w14:paraId="7312D234">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应与发包人保持正常的业务交往，按照有关法律法规和程序开展业务工作，严格执行工程建设的有关方针、政策，执行工程建设强制性标准，并遵守以下规定：</w:t>
      </w:r>
    </w:p>
    <w:p w14:paraId="05E3B78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3.1不得以任何理由向发包人及其工作人员索要、接受或赠送礼金、有价证券、贵重物品及回扣、好处费、感谢费等。</w:t>
      </w:r>
    </w:p>
    <w:p w14:paraId="0B0DDE11">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3.2不得以任何理由为发包人和相关单位报销应由对方或个人支付的费用。</w:t>
      </w:r>
    </w:p>
    <w:p w14:paraId="681FF95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3.3不得接受或暗示为发包人、相关单位或个人装修住房、婚丧嫁娶、配偶子女的工作安排以及出国(境)、旅游等提供方便。</w:t>
      </w:r>
    </w:p>
    <w:p w14:paraId="76FA8475">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3.4不得以任何理由为发包人、相关单位或个人组织有可能影响公正执行公务的宴请、健身、娱乐等活动。</w:t>
      </w:r>
    </w:p>
    <w:p w14:paraId="60FD1BC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四、违约责任</w:t>
      </w:r>
    </w:p>
    <w:p w14:paraId="25F17BB6">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4.1发包人工作人员有违反本责任书第一、二条责任行为的，依据有关法律、法规给予处理；涉嫌犯罪的，移交司法机关追究刑事责任；给承包人单位造成经济损失的，应予以赔偿。</w:t>
      </w:r>
    </w:p>
    <w:p w14:paraId="24F4AC48">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4.2承包人工作人员有违反本责任书第一、三条责任行为的，依据有关法律法规处理；涉嫌犯罪的，移交司法机关追究刑事责任；给发包人单位造成经济损失的，应予以赔偿。</w:t>
      </w:r>
    </w:p>
    <w:p w14:paraId="09841D0A">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4.3本责任书作为建设工程合同的组成部分，与建设工程合同具有同等法律效力。经双方签署后立即生效。</w:t>
      </w:r>
    </w:p>
    <w:p w14:paraId="7C0445AC">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五、责任书有效期</w:t>
      </w:r>
    </w:p>
    <w:p w14:paraId="390414D2">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本责任书的有效期为双方签署之日起至该工程项目竣工验收合格时止。</w:t>
      </w:r>
    </w:p>
    <w:p w14:paraId="340FCC7D">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六、责任书份数</w:t>
      </w:r>
    </w:p>
    <w:p w14:paraId="76A6EA7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本责任书一式</w:t>
      </w:r>
      <w:r>
        <w:rPr>
          <w:rFonts w:hint="eastAsia" w:ascii="宋体" w:hAnsi="宋体" w:eastAsia="宋体" w:cs="宋体"/>
          <w:color w:val="auto"/>
          <w:sz w:val="21"/>
          <w:szCs w:val="21"/>
          <w:highlight w:val="none"/>
          <w:lang w:val="en-US" w:eastAsia="zh-CN"/>
        </w:rPr>
        <w:t>陆</w:t>
      </w:r>
      <w:r>
        <w:rPr>
          <w:rFonts w:hint="eastAsia" w:ascii="宋体" w:hAnsi="宋体" w:eastAsia="宋体" w:cs="宋体"/>
          <w:color w:val="auto"/>
          <w:sz w:val="21"/>
          <w:szCs w:val="21"/>
          <w:highlight w:val="none"/>
        </w:rPr>
        <w:t>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双方各执叁份</w:t>
      </w:r>
      <w:r>
        <w:rPr>
          <w:rFonts w:hint="eastAsia" w:ascii="宋体" w:hAnsi="宋体" w:eastAsia="宋体" w:cs="宋体"/>
          <w:color w:val="auto"/>
          <w:sz w:val="21"/>
          <w:szCs w:val="21"/>
          <w:highlight w:val="none"/>
        </w:rPr>
        <w:t>。</w:t>
      </w:r>
    </w:p>
    <w:p w14:paraId="1AA33B1C">
      <w:pPr>
        <w:spacing w:line="360" w:lineRule="auto"/>
        <w:ind w:firstLine="420" w:firstLineChars="200"/>
        <w:jc w:val="left"/>
        <w:rPr>
          <w:rFonts w:hint="eastAsia" w:ascii="宋体" w:hAnsi="宋体" w:eastAsia="宋体" w:cs="宋体"/>
          <w:color w:val="auto"/>
          <w:sz w:val="21"/>
          <w:szCs w:val="21"/>
          <w:highlight w:val="none"/>
        </w:rPr>
      </w:pPr>
    </w:p>
    <w:p w14:paraId="26DC830E">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发包人：(公章)                        承包人： (公章)</w:t>
      </w:r>
    </w:p>
    <w:p w14:paraId="26ECD94E">
      <w:pPr>
        <w:spacing w:line="360" w:lineRule="auto"/>
        <w:ind w:firstLine="420" w:firstLineChars="200"/>
        <w:jc w:val="left"/>
        <w:rPr>
          <w:rFonts w:hint="eastAsia" w:ascii="宋体" w:hAnsi="宋体" w:eastAsia="宋体" w:cs="宋体"/>
          <w:color w:val="auto"/>
          <w:sz w:val="21"/>
          <w:szCs w:val="21"/>
          <w:highlight w:val="none"/>
        </w:rPr>
      </w:pPr>
    </w:p>
    <w:p w14:paraId="08BC3D2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法定代表人：(签字)                    法定代表人：(签字)</w:t>
      </w:r>
    </w:p>
    <w:p w14:paraId="2A811FA0">
      <w:pPr>
        <w:spacing w:line="360" w:lineRule="auto"/>
        <w:ind w:firstLine="420" w:firstLineChars="20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委托代理人：(签字)                    委托代理人：(签字)</w:t>
      </w:r>
    </w:p>
    <w:p w14:paraId="600E0B4B">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                                地址：</w:t>
      </w:r>
    </w:p>
    <w:p w14:paraId="1008EF65">
      <w:pPr>
        <w:spacing w:line="440" w:lineRule="exact"/>
        <w:rPr>
          <w:rFonts w:hint="eastAsia" w:ascii="新宋体" w:hAnsi="新宋体" w:eastAsia="新宋体" w:cs="新宋体"/>
          <w:color w:val="auto"/>
          <w:sz w:val="30"/>
          <w:szCs w:val="30"/>
          <w:highlight w:val="none"/>
        </w:rPr>
      </w:pPr>
    </w:p>
    <w:p w14:paraId="404BA25A">
      <w:pPr>
        <w:keepNext/>
        <w:keepLines/>
        <w:spacing w:before="240" w:beforeLines="100" w:line="360" w:lineRule="auto"/>
        <w:outlineLvl w:val="2"/>
        <w:rPr>
          <w:rFonts w:hint="eastAsia" w:ascii="宋体" w:hAnsi="宋体" w:cs="宋体"/>
          <w:b/>
          <w:bCs/>
          <w:color w:val="auto"/>
          <w:kern w:val="0"/>
          <w:sz w:val="36"/>
          <w:szCs w:val="36"/>
          <w:highlight w:val="none"/>
          <w:lang w:bidi="ar"/>
        </w:rPr>
      </w:pPr>
      <w:r>
        <w:rPr>
          <w:rFonts w:hAnsi="宋体" w:cs="宋体"/>
          <w:b/>
          <w:bCs/>
          <w:color w:val="auto"/>
          <w:sz w:val="32"/>
          <w:szCs w:val="32"/>
          <w:highlight w:val="none"/>
        </w:rPr>
        <w:br w:type="page"/>
      </w:r>
      <w:r>
        <w:rPr>
          <w:rFonts w:hint="eastAsia" w:ascii="宋体" w:hAnsi="宋体" w:cs="宋体"/>
          <w:b/>
          <w:bCs/>
          <w:color w:val="auto"/>
          <w:kern w:val="0"/>
          <w:sz w:val="36"/>
          <w:szCs w:val="36"/>
          <w:highlight w:val="none"/>
          <w:lang w:bidi="ar"/>
        </w:rPr>
        <w:t>附件6：农民工工资保证协议</w:t>
      </w:r>
    </w:p>
    <w:p w14:paraId="252E1D09">
      <w:pPr>
        <w:widowControl/>
        <w:spacing w:line="360" w:lineRule="auto"/>
        <w:rPr>
          <w:rFonts w:hint="eastAsia" w:ascii="宋体" w:hAnsi="宋体" w:eastAsia="宋体" w:cs="宋体"/>
          <w:color w:val="auto"/>
          <w:sz w:val="21"/>
          <w:szCs w:val="21"/>
          <w:highlight w:val="none"/>
        </w:rPr>
      </w:pPr>
    </w:p>
    <w:p w14:paraId="2B0F5304">
      <w:pPr>
        <w:widowControl/>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南通市崇川区城市工程建设管理中心</w:t>
      </w:r>
      <w:r>
        <w:rPr>
          <w:rFonts w:hint="eastAsia" w:ascii="宋体" w:hAnsi="宋体" w:eastAsia="宋体" w:cs="宋体"/>
          <w:color w:val="auto"/>
          <w:sz w:val="21"/>
          <w:szCs w:val="21"/>
          <w:highlight w:val="none"/>
          <w:u w:val="single"/>
        </w:rPr>
        <w:t xml:space="preserve"> </w:t>
      </w:r>
    </w:p>
    <w:p w14:paraId="231D0C2D">
      <w:pPr>
        <w:widowControl/>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承包人：</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u w:val="single"/>
        </w:rPr>
        <w:t xml:space="preserve">       </w:t>
      </w:r>
    </w:p>
    <w:p w14:paraId="0A5178F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为维护市场秩序和农民工合法权益，提高社会诚信度，关于“</w:t>
      </w:r>
      <w:r>
        <w:rPr>
          <w:rFonts w:hint="eastAsia" w:ascii="宋体" w:hAnsi="宋体" w:eastAsia="宋体" w:cs="宋体"/>
          <w:color w:val="auto"/>
          <w:sz w:val="21"/>
          <w:szCs w:val="21"/>
          <w:highlight w:val="none"/>
          <w:u w:val="single"/>
        </w:rPr>
        <w:t>崇川区市政设施养护维修</w:t>
      </w:r>
      <w:r>
        <w:rPr>
          <w:rFonts w:hint="eastAsia" w:ascii="宋体" w:hAnsi="宋体" w:eastAsia="宋体" w:cs="宋体"/>
          <w:color w:val="auto"/>
          <w:sz w:val="21"/>
          <w:szCs w:val="21"/>
          <w:highlight w:val="none"/>
        </w:rPr>
        <w:t>”项目，我企业郑重承诺：</w:t>
      </w:r>
    </w:p>
    <w:p w14:paraId="1C2011C2">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一、严格按照《建筑法》、《劳动合同法》、《江苏省工资支付条例》等法律、法规开展工程建设活动，做到：</w:t>
      </w:r>
    </w:p>
    <w:p w14:paraId="27E97714">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(一)不将工程劳务违法分包、转包给无资质的“ 包工头” 等不具备用工主体资格的组织或个人，</w:t>
      </w:r>
    </w:p>
    <w:p w14:paraId="42292AF1">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按规定与录用的每位农民工签订《建筑企业劳动用工合同》， 明确工资支付方式、标准和结算时间等。</w:t>
      </w:r>
    </w:p>
    <w:p w14:paraId="3DF8BCF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(二)将农民工工资按时、足额直接支付给农民工本人，不发放到“ 包工头” 等不具备用工主体资格的组织或个人。</w:t>
      </w:r>
    </w:p>
    <w:p w14:paraId="52DDD0E8">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二、认真履行企业在清理拖欠农民工工资工作中的责任和义务，做到：</w:t>
      </w:r>
    </w:p>
    <w:p w14:paraId="42BEA266">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(一)对总承包工程发生的农民工工资承担全部的支付责任，对项目分包企业的农民工工资支付承担监管责任，对分包工程发生的农民工工资负有直接支付责任，对其拖欠工资且拒不支付的，由我单位先行垫付；</w:t>
      </w:r>
    </w:p>
    <w:p w14:paraId="1B06A125">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(二)坚持诚信原则，不为任何单位组织或个人开具虚假清欠证明，否则承担全部责任。</w:t>
      </w:r>
    </w:p>
    <w:p w14:paraId="0563682C">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 严格按照《国务院办公厅关于全面治理拖欠农民工工资问题的意见》、《江苏省工程建设领域农民工工资支付管理办法》等部、省要求， 建立健全清理拖欠农民工工资应急预案， 接受发包人和交通行政主管部门监督，积极贯彻落实清欠工作。凡我单位承接的工程项目发生因拖欠农民工工资引发集体上访或群体性事件的，我单位承担全部责任，启动清欠应急预案，无条件同意发包人或交通行政主管部门动用我单位的农民工工资保证金、 未支付工程进度款、履约保证金先行垫付拖欠的农民工工资，并接受相应处罚。</w:t>
      </w:r>
    </w:p>
    <w:p w14:paraId="3C2CECE7">
      <w:pPr>
        <w:spacing w:line="360" w:lineRule="auto"/>
        <w:ind w:firstLine="420" w:firstLineChars="200"/>
        <w:rPr>
          <w:rFonts w:hint="eastAsia" w:ascii="宋体" w:hAnsi="宋体" w:eastAsia="宋体" w:cs="宋体"/>
          <w:color w:val="auto"/>
          <w:sz w:val="21"/>
          <w:szCs w:val="21"/>
          <w:highlight w:val="none"/>
        </w:rPr>
      </w:pPr>
    </w:p>
    <w:p w14:paraId="4039B2B9">
      <w:pPr>
        <w:spacing w:line="360" w:lineRule="auto"/>
        <w:ind w:firstLine="420" w:firstLineChars="200"/>
        <w:rPr>
          <w:rFonts w:hint="eastAsia" w:ascii="宋体" w:hAnsi="宋体" w:eastAsia="宋体" w:cs="宋体"/>
          <w:color w:val="auto"/>
          <w:sz w:val="21"/>
          <w:szCs w:val="21"/>
          <w:highlight w:val="none"/>
        </w:rPr>
      </w:pPr>
    </w:p>
    <w:p w14:paraId="51490D79">
      <w:pPr>
        <w:spacing w:line="360" w:lineRule="auto"/>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                                                              承诺人： （公章）</w:t>
      </w:r>
    </w:p>
    <w:p w14:paraId="1735620E">
      <w:pPr>
        <w:spacing w:line="360" w:lineRule="auto"/>
        <w:jc w:val="righ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时间：   年   月   日</w:t>
      </w:r>
    </w:p>
    <w:p w14:paraId="5B55E51A">
      <w:pPr>
        <w:keepNext/>
        <w:keepLines/>
        <w:spacing w:before="240" w:beforeLines="100" w:line="360" w:lineRule="auto"/>
        <w:outlineLvl w:val="2"/>
        <w:rPr>
          <w:rFonts w:hint="eastAsia" w:ascii="宋体" w:hAnsi="宋体" w:cs="宋体"/>
          <w:b/>
          <w:bCs/>
          <w:color w:val="auto"/>
          <w:kern w:val="0"/>
          <w:sz w:val="36"/>
          <w:szCs w:val="36"/>
          <w:highlight w:val="none"/>
          <w:lang w:bidi="ar"/>
        </w:rPr>
      </w:pPr>
      <w:r>
        <w:rPr>
          <w:rFonts w:hint="eastAsia" w:hAnsi="宋体" w:cs="宋体"/>
          <w:b/>
          <w:bCs/>
          <w:color w:val="auto"/>
          <w:sz w:val="32"/>
          <w:szCs w:val="32"/>
          <w:highlight w:val="none"/>
        </w:rPr>
        <w:br w:type="page"/>
      </w:r>
      <w:r>
        <w:rPr>
          <w:rFonts w:hint="eastAsia" w:ascii="宋体" w:hAnsi="宋体" w:cs="宋体"/>
          <w:b/>
          <w:bCs/>
          <w:color w:val="auto"/>
          <w:kern w:val="0"/>
          <w:sz w:val="36"/>
          <w:szCs w:val="36"/>
          <w:highlight w:val="none"/>
          <w:lang w:bidi="ar"/>
        </w:rPr>
        <w:t>附件7：安全生产协议书</w:t>
      </w:r>
    </w:p>
    <w:p w14:paraId="0F712108">
      <w:pPr>
        <w:widowControl/>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发包人：（ 以下简称“甲方” ）</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南通市崇川区城市工程建设管理中心</w:t>
      </w:r>
      <w:r>
        <w:rPr>
          <w:rFonts w:hint="eastAsia" w:ascii="宋体" w:hAnsi="宋体" w:eastAsia="宋体" w:cs="宋体"/>
          <w:color w:val="auto"/>
          <w:sz w:val="21"/>
          <w:szCs w:val="21"/>
          <w:highlight w:val="none"/>
          <w:u w:val="single"/>
        </w:rPr>
        <w:t xml:space="preserve"> </w:t>
      </w:r>
    </w:p>
    <w:p w14:paraId="549A4CB4">
      <w:pPr>
        <w:widowControl/>
        <w:spacing w:line="360" w:lineRule="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承包人：（ 以下简称“乙方” ）</w:t>
      </w:r>
      <w:r>
        <w:rPr>
          <w:rFonts w:hint="eastAsia" w:ascii="宋体" w:hAnsi="宋体" w:eastAsia="宋体" w:cs="宋体"/>
          <w:color w:val="auto"/>
          <w:sz w:val="21"/>
          <w:szCs w:val="21"/>
          <w:highlight w:val="none"/>
          <w:u w:val="single"/>
        </w:rPr>
        <w:t xml:space="preserve">  </w:t>
      </w:r>
      <w:r>
        <w:rPr>
          <w:rFonts w:hint="eastAsia" w:ascii="宋体" w:hAnsi="宋体" w:eastAsia="宋体" w:cs="宋体"/>
          <w:b/>
          <w:color w:val="auto"/>
          <w:sz w:val="21"/>
          <w:szCs w:val="21"/>
          <w:highlight w:val="none"/>
          <w:u w:val="single"/>
        </w:rPr>
        <w:t xml:space="preserve">                        </w:t>
      </w:r>
      <w:r>
        <w:rPr>
          <w:rFonts w:hint="eastAsia" w:ascii="宋体" w:hAnsi="宋体" w:eastAsia="宋体" w:cs="宋体"/>
          <w:color w:val="auto"/>
          <w:sz w:val="21"/>
          <w:szCs w:val="21"/>
          <w:highlight w:val="none"/>
          <w:u w:val="single"/>
        </w:rPr>
        <w:t xml:space="preserve">        </w:t>
      </w:r>
    </w:p>
    <w:p w14:paraId="39C675A8">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为在施工合同的实施过程中创造安全、高效的施工环境，切实搞好本项目的安全管理工作，特此签订安全生产合同。具体如下：</w:t>
      </w:r>
    </w:p>
    <w:p w14:paraId="7D4576FA">
      <w:pPr>
        <w:snapToGrid w:val="0"/>
        <w:spacing w:line="360" w:lineRule="auto"/>
        <w:ind w:firstLine="42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一、</w:t>
      </w:r>
      <w:r>
        <w:rPr>
          <w:rFonts w:hint="eastAsia" w:ascii="宋体" w:hAnsi="宋体" w:eastAsia="宋体" w:cs="宋体"/>
          <w:color w:val="auto"/>
          <w:sz w:val="21"/>
          <w:szCs w:val="21"/>
          <w:highlight w:val="none"/>
        </w:rPr>
        <w:t>甲方职责</w:t>
      </w:r>
    </w:p>
    <w:p w14:paraId="757DEBB3">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1．严格遵守国家有关安全生产的法律法规，认真执行工程承包合同中的有关安全要求。</w:t>
      </w:r>
    </w:p>
    <w:p w14:paraId="72000FED">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2．按照“安全第一、预防为主”和坚持“管生产必需管安全”的原则进行安全生产管理，做到生产与安全工作同时计划、布置、检查、总结和评比。</w:t>
      </w:r>
    </w:p>
    <w:p w14:paraId="72F8F4F8">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3．定期召开安全生产协调会，及时传达中央及地方有关安全生产的精神。</w:t>
      </w:r>
    </w:p>
    <w:p w14:paraId="3FF7425D">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4．组织对乙方施工现场安全生产检查，建立安全生产责任制网络、汇总重要危险源、监督乙方及时处理发现的各种安全隐患。</w:t>
      </w:r>
    </w:p>
    <w:p w14:paraId="487BB3F1">
      <w:pPr>
        <w:snapToGrid w:val="0"/>
        <w:spacing w:line="360" w:lineRule="auto"/>
        <w:ind w:firstLine="42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二、</w:t>
      </w:r>
      <w:r>
        <w:rPr>
          <w:rFonts w:hint="eastAsia" w:ascii="宋体" w:hAnsi="宋体" w:eastAsia="宋体" w:cs="宋体"/>
          <w:color w:val="auto"/>
          <w:sz w:val="21"/>
          <w:szCs w:val="21"/>
          <w:highlight w:val="none"/>
        </w:rPr>
        <w:t>乙方职责</w:t>
      </w:r>
    </w:p>
    <w:p w14:paraId="20AB01A8">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1．严格遵守国家有关安全生产的法律法规、有关安全生产的规定，认真执行工程承包合同中的有关安全要求，接受甲方和监理工程师对安全生产工作的指导。</w:t>
      </w:r>
    </w:p>
    <w:p w14:paraId="1F6B426D">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坚持“安全第一、预防为主”和“管生产必须管安全”的原则，加强安全生产宣传教育，增强全员安全生产意识，建立健全各项安全生产管理制度，配备专职及兼职安全检查人员，有组织有领导地开展安全生产活动。各级领导、工程技术人员、生产管理人员和具体操作人员，必须熟悉和遵守本条款的各项规定，做到生产与安全工作同时计划、布置、检查、总结和评比。</w:t>
      </w:r>
    </w:p>
    <w:p w14:paraId="3262598D">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建立健全安全生产责任制网络。从派往项目实施的项目负责人到生产工人（包括临时雇请的民工）的安全生产管理系统必须做到纵向到底，一环不漏；各职能部门、人员的安全生产责任制做到横向到边，人人有责。施工单位的主要负责人是工程的安全生产负责人，对安全生产负领导责任，项目负责人是工程的安全生产责任人，对安全生产负直接责任，专职安全员和安全员是工程现场的安全生产直接责任人，对安全生产具体负责。现场设置的安全机构，应按施工合同约定，配备安全员（其中专职安全员不少于1人），专职负责所有员工的安全和治安保卫工作及预防事故的发生。安全机构人员，有权按有关规定发布指令，并采取保护性措施防止事故发生。</w:t>
      </w:r>
    </w:p>
    <w:p w14:paraId="2F3CCBF6">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4．乙方在任何时侯都应采取各种合理的预防措施，防止其人员发生任何违法、违禁、暴力、违规或妨碍治安的行为。</w:t>
      </w:r>
    </w:p>
    <w:p w14:paraId="30999D39">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乙方必须具有省部级行政主管部门颁发的安全生产证书，参加施工的人员，必须按受安全技术教育，熟知和遵守本工程的各项安全技术操作规程，定期进行安全技术考核，合格者方准上岗操作，对于从事机动车驾驶、电气、起重、建筑登高架设作业、焊接等特殊工程的人员须持证上岗。施工现场如发现无证操作现象时，项目负责人必须承担管理责任。</w:t>
      </w:r>
    </w:p>
    <w:p w14:paraId="430C9020">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6．加强施工中交通运输安全管理，各种运输机械等需划定运输路线行驶。</w:t>
      </w:r>
    </w:p>
    <w:p w14:paraId="6AB3494D">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7．对于易燃易爆的材料除应专门有效封闭、妥善保管之外，还应配备有足够的消防设施，所有施工人员都应熟悉消防设备的性能和使用方法。</w:t>
      </w:r>
    </w:p>
    <w:p w14:paraId="1C0099BB">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8．操作人员上岗，必须按规定穿戴防护用品。施工负责人和安全检查员应随时检查劳动防护用品的穿戴情况，不按规定穿戴防护用品的人员不得上岗。</w:t>
      </w:r>
    </w:p>
    <w:p w14:paraId="58516FC6">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9．所有施工机具、设备和劳动保护用品应具备有效的安检合格证明，并经安全员签字同意后方可使用，施工期间应定期检查，保证其处于完好状态；不合格的机具、设备和劳动保护用品严禁使用。</w:t>
      </w:r>
    </w:p>
    <w:p w14:paraId="1B051FC6">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10．施工现场必须具有相关的安全标志牌。</w:t>
      </w:r>
    </w:p>
    <w:p w14:paraId="2867723F">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11．建立主要危险源备案制度，要明确潜在隐患、防范措施和落实责任人。</w:t>
      </w:r>
    </w:p>
    <w:p w14:paraId="4A21683F">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12．乙方必须按照本工程项目特点，组织制定本工程实施中的生产安全事故应急救援预案；如果发生安全事故，应按照《国务院关于特大安全事故行政责任追究的规定》以及其它有关规定，及时上报有关部门，并坚持“三不放过”的原则，严肃处理相关责任人。</w:t>
      </w:r>
    </w:p>
    <w:p w14:paraId="3113D3EB">
      <w:pPr>
        <w:snapToGrid w:val="0"/>
        <w:spacing w:line="360" w:lineRule="auto"/>
        <w:ind w:firstLine="422"/>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三、</w:t>
      </w:r>
      <w:r>
        <w:rPr>
          <w:rFonts w:hint="eastAsia" w:ascii="宋体" w:hAnsi="宋体" w:eastAsia="宋体" w:cs="宋体"/>
          <w:color w:val="auto"/>
          <w:sz w:val="21"/>
          <w:szCs w:val="21"/>
          <w:highlight w:val="none"/>
        </w:rPr>
        <w:t>违约责任</w:t>
      </w:r>
    </w:p>
    <w:p w14:paraId="26682256">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如因甲方或乙方违约造成安全事故，将报请有关部门依法追究责任。</w:t>
      </w:r>
    </w:p>
    <w:p w14:paraId="68A3D57F">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本合同一式</w:t>
      </w:r>
      <w:r>
        <w:rPr>
          <w:rFonts w:hint="eastAsia" w:ascii="宋体" w:hAnsi="宋体" w:eastAsia="宋体" w:cs="宋体"/>
          <w:color w:val="auto"/>
          <w:sz w:val="21"/>
          <w:szCs w:val="21"/>
          <w:highlight w:val="none"/>
          <w:lang w:val="en-US" w:eastAsia="zh-CN"/>
        </w:rPr>
        <w:t>陆</w:t>
      </w:r>
      <w:r>
        <w:rPr>
          <w:rFonts w:hint="eastAsia" w:ascii="宋体" w:hAnsi="宋体" w:eastAsia="宋体" w:cs="宋体"/>
          <w:color w:val="auto"/>
          <w:sz w:val="21"/>
          <w:szCs w:val="21"/>
          <w:highlight w:val="none"/>
        </w:rPr>
        <w:t>份，由双方法定代表人或其授权的代理人签署和加盖公章后生效，全部工程竣工验收后失效。</w:t>
      </w:r>
    </w:p>
    <w:p w14:paraId="241A7EEC">
      <w:pPr>
        <w:snapToGrid w:val="0"/>
        <w:spacing w:line="360" w:lineRule="auto"/>
        <w:ind w:firstLine="420"/>
        <w:rPr>
          <w:rFonts w:hint="eastAsia" w:ascii="宋体" w:hAnsi="宋体" w:eastAsia="宋体" w:cs="宋体"/>
          <w:color w:val="auto"/>
          <w:sz w:val="21"/>
          <w:szCs w:val="21"/>
          <w:highlight w:val="none"/>
        </w:rPr>
      </w:pPr>
    </w:p>
    <w:p w14:paraId="7C0E76D0">
      <w:pPr>
        <w:snapToGrid w:val="0"/>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发  包  人：                         承 包 人：                     </w:t>
      </w:r>
    </w:p>
    <w:p w14:paraId="4459AE39">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法定代表人（或授权代理人）：         法定代表人（或授权代理人）：</w:t>
      </w:r>
    </w:p>
    <w:p w14:paraId="02625478">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       址：                        地     址：             </w:t>
      </w:r>
    </w:p>
    <w:p w14:paraId="6BE38D0A">
      <w:pPr>
        <w:snapToGrid w:val="0"/>
        <w:spacing w:line="360" w:lineRule="auto"/>
        <w:ind w:firstLine="42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电       话：                        电     话：              </w:t>
      </w:r>
    </w:p>
    <w:p w14:paraId="0598E199">
      <w:pPr>
        <w:snapToGrid w:val="0"/>
        <w:spacing w:line="360" w:lineRule="auto"/>
        <w:ind w:firstLine="420"/>
        <w:rPr>
          <w:rFonts w:hint="eastAsia" w:ascii="宋体" w:hAnsi="宋体" w:eastAsia="宋体" w:cs="宋体"/>
          <w:color w:val="auto"/>
          <w:sz w:val="21"/>
          <w:szCs w:val="21"/>
          <w:highlight w:val="none"/>
        </w:rPr>
      </w:pPr>
    </w:p>
    <w:p w14:paraId="5194AD3B">
      <w:pPr>
        <w:snapToGrid w:val="0"/>
        <w:spacing w:line="360" w:lineRule="auto"/>
        <w:ind w:firstLine="4252" w:firstLineChars="202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    年   月    日</w:t>
      </w:r>
    </w:p>
    <w:p w14:paraId="2B54C9F7">
      <w:pPr>
        <w:pStyle w:val="20"/>
        <w:ind w:left="0" w:leftChars="0"/>
        <w:rPr>
          <w:rFonts w:hint="eastAsia" w:ascii="宋体" w:hAnsi="宋体" w:cs="宋体"/>
          <w:b/>
          <w:bCs/>
          <w:color w:val="auto"/>
          <w:sz w:val="36"/>
          <w:highlight w:val="none"/>
        </w:rPr>
      </w:pPr>
    </w:p>
    <w:p w14:paraId="5AE04F1B">
      <w:pPr>
        <w:pStyle w:val="20"/>
        <w:rPr>
          <w:rFonts w:hint="eastAsia" w:ascii="宋体" w:hAnsi="宋体" w:cs="宋体"/>
          <w:b/>
          <w:bCs/>
          <w:color w:val="auto"/>
          <w:sz w:val="36"/>
          <w:highlight w:val="none"/>
        </w:rPr>
      </w:pPr>
    </w:p>
    <w:p w14:paraId="2D9C8A5C">
      <w:pPr>
        <w:pStyle w:val="20"/>
        <w:rPr>
          <w:rFonts w:hint="eastAsia" w:ascii="宋体" w:hAnsi="宋体" w:cs="宋体"/>
          <w:b/>
          <w:bCs/>
          <w:color w:val="auto"/>
          <w:sz w:val="36"/>
          <w:highlight w:val="none"/>
        </w:rPr>
      </w:pPr>
    </w:p>
    <w:p w14:paraId="16A3C1F0">
      <w:pPr>
        <w:pStyle w:val="20"/>
        <w:rPr>
          <w:rFonts w:hint="eastAsia" w:ascii="宋体" w:hAnsi="宋体" w:cs="宋体"/>
          <w:b/>
          <w:bCs/>
          <w:color w:val="auto"/>
          <w:sz w:val="36"/>
          <w:highlight w:val="none"/>
        </w:rPr>
      </w:pPr>
    </w:p>
    <w:p w14:paraId="105FB316">
      <w:pPr>
        <w:pStyle w:val="20"/>
        <w:rPr>
          <w:rFonts w:hint="eastAsia" w:ascii="宋体" w:hAnsi="宋体" w:cs="宋体"/>
          <w:b/>
          <w:bCs/>
          <w:color w:val="auto"/>
          <w:sz w:val="36"/>
          <w:highlight w:val="none"/>
        </w:rPr>
      </w:pPr>
    </w:p>
    <w:p w14:paraId="6DC35FD1">
      <w:pPr>
        <w:pStyle w:val="20"/>
        <w:rPr>
          <w:rFonts w:hint="eastAsia" w:ascii="宋体" w:hAnsi="宋体" w:cs="宋体"/>
          <w:b/>
          <w:bCs/>
          <w:color w:val="auto"/>
          <w:sz w:val="36"/>
          <w:highlight w:val="none"/>
        </w:rPr>
      </w:pPr>
    </w:p>
    <w:p w14:paraId="6B1AA96C">
      <w:pPr>
        <w:pStyle w:val="20"/>
        <w:ind w:left="0" w:leftChars="0"/>
        <w:rPr>
          <w:rFonts w:hint="eastAsia" w:ascii="宋体" w:hAnsi="宋体" w:cs="宋体"/>
          <w:b/>
          <w:bCs/>
          <w:color w:val="auto"/>
          <w:sz w:val="36"/>
          <w:highlight w:val="none"/>
        </w:rPr>
      </w:pPr>
    </w:p>
    <w:p w14:paraId="62EE09DE">
      <w:pPr>
        <w:topLinePunct/>
        <w:snapToGrid w:val="0"/>
        <w:spacing w:line="360" w:lineRule="auto"/>
        <w:ind w:firstLine="554" w:firstLineChars="200"/>
        <w:jc w:val="center"/>
        <w:outlineLvl w:val="0"/>
        <w:rPr>
          <w:rStyle w:val="80"/>
          <w:rFonts w:hint="default"/>
          <w:bCs/>
          <w:color w:val="auto"/>
          <w:sz w:val="28"/>
          <w:szCs w:val="28"/>
          <w:highlight w:val="none"/>
        </w:rPr>
      </w:pPr>
    </w:p>
    <w:p w14:paraId="1F25E054">
      <w:pPr>
        <w:rPr>
          <w:rFonts w:hint="default"/>
          <w:color w:val="auto"/>
          <w:highlight w:val="none"/>
        </w:rPr>
      </w:pPr>
    </w:p>
    <w:p w14:paraId="2943EAFD">
      <w:pPr>
        <w:topLinePunct/>
        <w:snapToGrid w:val="0"/>
        <w:spacing w:line="360" w:lineRule="auto"/>
        <w:ind w:firstLine="554" w:firstLineChars="200"/>
        <w:jc w:val="center"/>
        <w:outlineLvl w:val="0"/>
        <w:rPr>
          <w:rStyle w:val="80"/>
          <w:rFonts w:hint="default"/>
          <w:bCs/>
          <w:color w:val="auto"/>
          <w:sz w:val="28"/>
          <w:szCs w:val="28"/>
          <w:highlight w:val="none"/>
        </w:rPr>
      </w:pPr>
      <w:r>
        <w:rPr>
          <w:rStyle w:val="80"/>
          <w:rFonts w:hint="default"/>
          <w:bCs/>
          <w:color w:val="auto"/>
          <w:sz w:val="28"/>
          <w:szCs w:val="28"/>
          <w:highlight w:val="none"/>
        </w:rPr>
        <w:t>第六章  质疑提出和处理</w:t>
      </w:r>
    </w:p>
    <w:p w14:paraId="33005292">
      <w:pPr>
        <w:autoSpaceDE w:val="0"/>
        <w:autoSpaceDN w:val="0"/>
        <w:adjustRightInd w:val="0"/>
        <w:snapToGrid w:val="0"/>
        <w:spacing w:line="360" w:lineRule="auto"/>
        <w:ind w:firstLine="422" w:firstLineChars="200"/>
        <w:contextualSpacing/>
        <w:jc w:val="left"/>
        <w:rPr>
          <w:rFonts w:hint="eastAsia" w:ascii="宋体" w:hAnsi="宋体"/>
          <w:b/>
          <w:color w:val="auto"/>
          <w:kern w:val="0"/>
          <w:szCs w:val="21"/>
          <w:highlight w:val="none"/>
        </w:rPr>
      </w:pPr>
      <w:r>
        <w:rPr>
          <w:rFonts w:ascii="宋体" w:hAnsi="宋体"/>
          <w:b/>
          <w:color w:val="auto"/>
          <w:kern w:val="0"/>
          <w:szCs w:val="21"/>
          <w:highlight w:val="none"/>
        </w:rPr>
        <w:t>一、质疑的提出</w:t>
      </w:r>
    </w:p>
    <w:p w14:paraId="0B5D239E">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(一)质疑人的身份必须符合中华人民共和国财政部令第94号《政府采购质疑和投诉办法》规定。</w:t>
      </w:r>
    </w:p>
    <w:p w14:paraId="7BD4993C">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(二)质疑提出的格式要求</w:t>
      </w:r>
    </w:p>
    <w:p w14:paraId="50234204">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1.质疑必须按《政府采购法》、《政府采购法实施条例》及《江苏省政府采购供应商监督管理暂行办法》的相关规定提交，质疑实行实名制，不得进行虚假、恶意质疑，未按上述要求提交的质疑函，将不予受理。</w:t>
      </w:r>
    </w:p>
    <w:p w14:paraId="1FFFCA42">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2.质疑函应包括：</w:t>
      </w:r>
    </w:p>
    <w:p w14:paraId="05D44F1D">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（1）质疑投标供应商的名称、地址、邮编、联系人及联系电话；</w:t>
      </w:r>
    </w:p>
    <w:p w14:paraId="301262F7">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（2）具体、明确的质疑事项及明确的请求；</w:t>
      </w:r>
    </w:p>
    <w:p w14:paraId="75D7BE2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（3）质疑的事实依据和必要的法律依据；</w:t>
      </w:r>
    </w:p>
    <w:p w14:paraId="0BC1ED32">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（4）提起质疑的日期；</w:t>
      </w:r>
    </w:p>
    <w:p w14:paraId="66746AE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（5）认为自己合法权益受到损害或可能受到损害的相关证据材料；</w:t>
      </w:r>
    </w:p>
    <w:p w14:paraId="101BD730">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6）质疑函应当署名：质疑人为自然人的，应当由本人签字并附有效身份证明；质疑人为法人或其他组织的，应当由法定代表人签字并加盖单位公章（质疑人为联合体的，则联合体各方法定代表人均须签字并加盖单位公章），未按要求签字和盖章的为无效质疑，将不予受理。质疑人委托代理质疑的，应当提交授权委托书，并载明委托代理的具体权限和事项。</w:t>
      </w:r>
    </w:p>
    <w:p w14:paraId="6E04226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3.质疑函需遵循的原则：</w:t>
      </w:r>
    </w:p>
    <w:p w14:paraId="71846FE4">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提出质疑时，必须坚持“谁主张，谁举证”、“实事求是”的原则，不能臆测。属于须由法定部门调查、侦查或先行作出相关认定的事项，质疑人应当依法申请具有法定职权的部门查清、认定，并将相关结果提供给采购人。采购人不具有法定调查、认定权限。</w:t>
      </w:r>
    </w:p>
    <w:p w14:paraId="681B1E27">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（三）质疑提出的时效要求</w:t>
      </w:r>
    </w:p>
    <w:p w14:paraId="5D29B0D1">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投标供应商认为采购文件、采购过程和采购结果使自己的权益受到损害的，可以在知道或应知其权益受到损害之日起七个工作日内，以书面形式向采购人或代理机构提出质疑。上述应知其权益受到损害之日，是指：</w:t>
      </w:r>
    </w:p>
    <w:p w14:paraId="49B961F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（1）对可以质疑的采购文件提出质疑的，为收到采购文件之日或者采购文件公告期限届满之日；</w:t>
      </w:r>
    </w:p>
    <w:p w14:paraId="52AF172F">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（2）对采购过程提出质疑的，为各采购程序环节结束之日；</w:t>
      </w:r>
    </w:p>
    <w:p w14:paraId="44C4C1D4">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（3）对中标或者成交结果提出质疑的，为中标或者成交结果公告期限届满之日。</w:t>
      </w:r>
    </w:p>
    <w:p w14:paraId="34DA2B99">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投标供应商认为采购文件使自己的权益受到损害的，可以按照</w:t>
      </w:r>
      <w:r>
        <w:rPr>
          <w:rFonts w:hint="eastAsia" w:ascii="宋体" w:hAnsi="宋体"/>
          <w:color w:val="auto"/>
          <w:szCs w:val="21"/>
          <w:highlight w:val="none"/>
          <w:lang w:val="en-US" w:eastAsia="zh-CN"/>
        </w:rPr>
        <w:t>采购</w:t>
      </w:r>
      <w:r>
        <w:rPr>
          <w:rFonts w:hint="eastAsia" w:ascii="宋体" w:hAnsi="宋体"/>
          <w:color w:val="auto"/>
          <w:szCs w:val="21"/>
          <w:highlight w:val="none"/>
        </w:rPr>
        <w:t>公告第八项要求向采购人提出质疑；投标供应商认为采购过程和采购结果使自己的权益受到损害的，可以以书面形式向采购人或代理机构提出质疑。</w:t>
      </w:r>
    </w:p>
    <w:p w14:paraId="2872083C">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2.投标供应商应在法定质疑期一次性提出针对同一采购程序环节的质疑。</w:t>
      </w:r>
    </w:p>
    <w:p w14:paraId="77585A68">
      <w:pPr>
        <w:autoSpaceDE w:val="0"/>
        <w:autoSpaceDN w:val="0"/>
        <w:adjustRightInd w:val="0"/>
        <w:snapToGrid w:val="0"/>
        <w:spacing w:line="360" w:lineRule="auto"/>
        <w:ind w:firstLine="422" w:firstLineChars="200"/>
        <w:contextualSpacing/>
        <w:jc w:val="left"/>
        <w:rPr>
          <w:rFonts w:hint="eastAsia" w:ascii="宋体" w:hAnsi="宋体"/>
          <w:b/>
          <w:color w:val="auto"/>
          <w:szCs w:val="21"/>
          <w:highlight w:val="none"/>
        </w:rPr>
      </w:pPr>
      <w:r>
        <w:rPr>
          <w:rFonts w:ascii="宋体" w:hAnsi="宋体"/>
          <w:b/>
          <w:color w:val="auto"/>
          <w:szCs w:val="21"/>
          <w:highlight w:val="none"/>
        </w:rPr>
        <w:t>二、《质疑函》的受理和回复</w:t>
      </w:r>
    </w:p>
    <w:p w14:paraId="3B39F883">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1.收到质疑函后，采购人将对质疑的形式和内容进行审查，如质疑函内容、格式不符合规定，采购人将告知质疑人进行补正。</w:t>
      </w:r>
    </w:p>
    <w:p w14:paraId="5C3C47FA">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 质疑人应当在法定质疑期限内进行补正并重新提交质疑函，拒不补正或者在法定期限内未重新提交质疑函的，为无效质疑，采购人将不予受理。</w:t>
      </w:r>
    </w:p>
    <w:p w14:paraId="5A8AA156">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3.采购人或采购代理机构答复投标供应商质疑应当采用书面方式并依法送达，质疑投标供应商或其委托代理人拒绝签收的视为已经送达。</w:t>
      </w:r>
    </w:p>
    <w:p w14:paraId="3707186D">
      <w:pPr>
        <w:autoSpaceDE w:val="0"/>
        <w:autoSpaceDN w:val="0"/>
        <w:adjustRightInd w:val="0"/>
        <w:snapToGrid w:val="0"/>
        <w:spacing w:line="360" w:lineRule="auto"/>
        <w:ind w:firstLine="422" w:firstLineChars="200"/>
        <w:contextualSpacing/>
        <w:jc w:val="left"/>
        <w:rPr>
          <w:rFonts w:hint="eastAsia" w:ascii="宋体" w:hAnsi="宋体"/>
          <w:b/>
          <w:color w:val="auto"/>
          <w:kern w:val="0"/>
          <w:szCs w:val="21"/>
          <w:highlight w:val="none"/>
          <w:lang w:val="zh-CN"/>
        </w:rPr>
      </w:pPr>
      <w:r>
        <w:rPr>
          <w:rFonts w:ascii="宋体" w:hAnsi="宋体"/>
          <w:b/>
          <w:color w:val="auto"/>
          <w:kern w:val="0"/>
          <w:szCs w:val="21"/>
          <w:highlight w:val="none"/>
          <w:lang w:val="zh-CN"/>
        </w:rPr>
        <w:t>三、质疑处理</w:t>
      </w:r>
    </w:p>
    <w:p w14:paraId="13064A92">
      <w:pPr>
        <w:autoSpaceDE w:val="0"/>
        <w:autoSpaceDN w:val="0"/>
        <w:adjustRightInd w:val="0"/>
        <w:snapToGrid w:val="0"/>
        <w:spacing w:line="360" w:lineRule="auto"/>
        <w:ind w:firstLine="422" w:firstLineChars="200"/>
        <w:contextualSpacing/>
        <w:jc w:val="left"/>
        <w:rPr>
          <w:rFonts w:hint="eastAsia" w:ascii="宋体" w:hAnsi="宋体"/>
          <w:b/>
          <w:color w:val="auto"/>
          <w:szCs w:val="21"/>
          <w:highlight w:val="none"/>
        </w:rPr>
      </w:pPr>
      <w:r>
        <w:rPr>
          <w:rFonts w:ascii="宋体" w:hAnsi="宋体"/>
          <w:b/>
          <w:color w:val="auto"/>
          <w:szCs w:val="21"/>
          <w:highlight w:val="none"/>
        </w:rPr>
        <w:t>1、质疑成立的处理。</w:t>
      </w:r>
    </w:p>
    <w:p w14:paraId="21E65B00">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（1）对于内容、格式符合规定的质疑函，采购人在收到投标供应商的书面质疑后七个工作日内作出书面答复，但答复的内容不得涉及商业秘密。</w:t>
      </w:r>
    </w:p>
    <w:p w14:paraId="1087A2FE">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（2）对采购文件提出的质疑，依法通过澄清或者修改可以继续开展采购活动的，澄清或者修改采购文件后继续开展采购活动；否则应当修改采购文件后重新开展采购活动。</w:t>
      </w:r>
    </w:p>
    <w:p w14:paraId="2C8FE3CD">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（3）对采购过程、中标或者成交结果提出的质疑，合格投标供应商符合法定数量时，可以从合格的中标候选人中另行确定中标、中标人，或重新开展采购活动。</w:t>
      </w:r>
    </w:p>
    <w:p w14:paraId="04BD2C65">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质疑答复导致中标、成交结果改变的，采购人或者采购代理机构应当将有关情况书面报告本级财政部门。</w:t>
      </w:r>
    </w:p>
    <w:p w14:paraId="7A6A6392">
      <w:pPr>
        <w:autoSpaceDE w:val="0"/>
        <w:autoSpaceDN w:val="0"/>
        <w:adjustRightInd w:val="0"/>
        <w:snapToGrid w:val="0"/>
        <w:spacing w:line="360" w:lineRule="auto"/>
        <w:ind w:firstLine="422" w:firstLineChars="200"/>
        <w:contextualSpacing/>
        <w:jc w:val="left"/>
        <w:rPr>
          <w:rFonts w:hint="eastAsia" w:ascii="宋体" w:hAnsi="宋体"/>
          <w:b/>
          <w:color w:val="auto"/>
          <w:kern w:val="0"/>
          <w:szCs w:val="21"/>
          <w:highlight w:val="none"/>
          <w:lang w:val="zh-CN"/>
        </w:rPr>
      </w:pPr>
      <w:r>
        <w:rPr>
          <w:rFonts w:ascii="宋体" w:hAnsi="宋体"/>
          <w:b/>
          <w:color w:val="auto"/>
          <w:kern w:val="0"/>
          <w:szCs w:val="21"/>
          <w:highlight w:val="none"/>
          <w:lang w:val="zh-CN"/>
        </w:rPr>
        <w:t>2、质疑不成立的处理。</w:t>
      </w:r>
    </w:p>
    <w:p w14:paraId="39A6D951">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（1）若质疑不成立，或者成立未对中标、成交结果构成影响的，继续开展采购活动。</w:t>
      </w:r>
    </w:p>
    <w:p w14:paraId="140C615D">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（2</w:t>
      </w:r>
      <w:r>
        <w:rPr>
          <w:rFonts w:ascii="宋体" w:hAnsi="宋体"/>
          <w:color w:val="auto"/>
          <w:szCs w:val="21"/>
          <w:highlight w:val="none"/>
        </w:rPr>
        <w:t>）对明显有违背事实的、经相关专家或评委认定无依据的、经其他</w:t>
      </w:r>
      <w:r>
        <w:rPr>
          <w:rFonts w:hint="eastAsia" w:ascii="宋体" w:hAnsi="宋体"/>
          <w:color w:val="auto"/>
          <w:szCs w:val="21"/>
          <w:highlight w:val="none"/>
        </w:rPr>
        <w:t>投标供应商</w:t>
      </w:r>
      <w:r>
        <w:rPr>
          <w:rFonts w:ascii="宋体" w:hAnsi="宋体"/>
          <w:color w:val="auto"/>
          <w:szCs w:val="21"/>
          <w:highlight w:val="none"/>
        </w:rPr>
        <w:t>举证无依据的质疑，作违约处理，对其中每一项不成立的质疑给予质疑人1年内禁入由采购人组织的政府采购活动的违约处理。</w:t>
      </w:r>
    </w:p>
    <w:p w14:paraId="3B12B35E">
      <w:pPr>
        <w:snapToGrid w:val="0"/>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（3</w:t>
      </w:r>
      <w:r>
        <w:rPr>
          <w:rFonts w:ascii="宋体" w:hAnsi="宋体"/>
          <w:color w:val="auto"/>
          <w:szCs w:val="21"/>
          <w:highlight w:val="none"/>
        </w:rPr>
        <w:t>）质疑人承担使用虚假材料或恶意方式质疑的法律责任。</w:t>
      </w:r>
    </w:p>
    <w:p w14:paraId="14BC0D41">
      <w:pPr>
        <w:autoSpaceDE w:val="0"/>
        <w:autoSpaceDN w:val="0"/>
        <w:adjustRightInd w:val="0"/>
        <w:snapToGrid w:val="0"/>
        <w:spacing w:line="360" w:lineRule="auto"/>
        <w:ind w:firstLine="422" w:firstLineChars="200"/>
        <w:contextualSpacing/>
        <w:jc w:val="left"/>
        <w:rPr>
          <w:rFonts w:hint="eastAsia" w:ascii="宋体" w:hAnsi="宋体"/>
          <w:b/>
          <w:color w:val="auto"/>
          <w:kern w:val="0"/>
          <w:szCs w:val="21"/>
          <w:highlight w:val="none"/>
          <w:lang w:val="zh-CN"/>
        </w:rPr>
      </w:pPr>
      <w:r>
        <w:rPr>
          <w:rFonts w:hint="eastAsia" w:ascii="宋体" w:hAnsi="宋体"/>
          <w:b/>
          <w:color w:val="auto"/>
          <w:kern w:val="0"/>
          <w:szCs w:val="21"/>
          <w:highlight w:val="none"/>
          <w:lang w:val="zh-CN"/>
        </w:rPr>
        <w:t>3、虚假质疑的处理</w:t>
      </w:r>
    </w:p>
    <w:p w14:paraId="75DA8583">
      <w:pPr>
        <w:snapToGrid w:val="0"/>
        <w:spacing w:line="360" w:lineRule="auto"/>
        <w:ind w:firstLine="420" w:firstLineChars="200"/>
        <w:rPr>
          <w:rFonts w:hint="eastAsia" w:ascii="宋体" w:hAnsi="宋体"/>
          <w:b/>
          <w:color w:val="auto"/>
          <w:sz w:val="24"/>
          <w:highlight w:val="none"/>
        </w:rPr>
      </w:pPr>
      <w:r>
        <w:rPr>
          <w:rFonts w:hint="eastAsia" w:ascii="宋体" w:hAnsi="宋体"/>
          <w:color w:val="auto"/>
          <w:szCs w:val="21"/>
          <w:highlight w:val="none"/>
        </w:rPr>
        <w:t>投标供应商提出书面质疑必须有理、有据，不得恶意质疑或提交虚假质疑。否则，一经查实，将依据政府采购的有关规定，报请政府采购监管部门对该投标供应商进行相应的行政处罚。</w:t>
      </w:r>
    </w:p>
    <w:p w14:paraId="779F261F">
      <w:pPr>
        <w:topLinePunct/>
        <w:snapToGrid w:val="0"/>
        <w:spacing w:line="360" w:lineRule="auto"/>
        <w:ind w:firstLine="554" w:firstLineChars="200"/>
        <w:jc w:val="center"/>
        <w:outlineLvl w:val="0"/>
        <w:rPr>
          <w:rStyle w:val="80"/>
          <w:rFonts w:hint="default"/>
          <w:bCs/>
          <w:color w:val="auto"/>
          <w:sz w:val="28"/>
          <w:szCs w:val="28"/>
          <w:highlight w:val="none"/>
        </w:rPr>
      </w:pPr>
      <w:r>
        <w:rPr>
          <w:rStyle w:val="80"/>
          <w:rFonts w:hint="default"/>
          <w:bCs/>
          <w:color w:val="auto"/>
          <w:sz w:val="28"/>
          <w:szCs w:val="28"/>
          <w:highlight w:val="none"/>
        </w:rPr>
        <w:br w:type="page"/>
      </w:r>
      <w:r>
        <w:rPr>
          <w:rStyle w:val="80"/>
          <w:rFonts w:hint="default"/>
          <w:bCs/>
          <w:color w:val="auto"/>
          <w:sz w:val="28"/>
          <w:szCs w:val="28"/>
          <w:highlight w:val="none"/>
        </w:rPr>
        <w:t xml:space="preserve">第七章  </w:t>
      </w:r>
      <w:r>
        <w:rPr>
          <w:rStyle w:val="80"/>
          <w:rFonts w:hint="eastAsia"/>
          <w:bCs/>
          <w:color w:val="auto"/>
          <w:sz w:val="28"/>
          <w:szCs w:val="28"/>
          <w:highlight w:val="none"/>
        </w:rPr>
        <w:t>响应文件</w:t>
      </w:r>
      <w:r>
        <w:rPr>
          <w:rStyle w:val="80"/>
          <w:rFonts w:hint="default"/>
          <w:bCs/>
          <w:color w:val="auto"/>
          <w:sz w:val="28"/>
          <w:szCs w:val="28"/>
          <w:highlight w:val="none"/>
        </w:rPr>
        <w:t>组成</w:t>
      </w:r>
    </w:p>
    <w:p w14:paraId="0F086714">
      <w:pPr>
        <w:snapToGrid w:val="0"/>
        <w:spacing w:line="360" w:lineRule="auto"/>
        <w:ind w:firstLine="413" w:firstLineChars="196"/>
        <w:rPr>
          <w:rFonts w:hint="eastAsia" w:ascii="宋体" w:hAnsi="宋体"/>
          <w:b/>
          <w:color w:val="auto"/>
          <w:szCs w:val="21"/>
          <w:highlight w:val="none"/>
        </w:rPr>
      </w:pPr>
      <w:r>
        <w:rPr>
          <w:rFonts w:hint="eastAsia" w:ascii="宋体" w:hAnsi="宋体"/>
          <w:b/>
          <w:color w:val="auto"/>
          <w:szCs w:val="21"/>
          <w:highlight w:val="none"/>
          <w:lang w:eastAsia="zh-CN"/>
        </w:rPr>
        <w:t>响应文件</w:t>
      </w:r>
      <w:r>
        <w:rPr>
          <w:rFonts w:ascii="宋体" w:hAnsi="宋体"/>
          <w:b/>
          <w:color w:val="auto"/>
          <w:szCs w:val="21"/>
          <w:highlight w:val="none"/>
        </w:rPr>
        <w:t>由</w:t>
      </w:r>
      <w:r>
        <w:rPr>
          <w:rFonts w:hint="eastAsia" w:ascii="宋体" w:hAnsi="宋体"/>
          <w:b/>
          <w:color w:val="auto"/>
          <w:szCs w:val="21"/>
          <w:highlight w:val="none"/>
        </w:rPr>
        <w:t>资格审查文件、技术标、价格</w:t>
      </w:r>
      <w:r>
        <w:rPr>
          <w:rFonts w:ascii="宋体" w:hAnsi="宋体"/>
          <w:b/>
          <w:color w:val="auto"/>
          <w:szCs w:val="21"/>
          <w:highlight w:val="none"/>
        </w:rPr>
        <w:t>标三部分组成。本次招标采用资格后审方式，投标供应商须将</w:t>
      </w:r>
      <w:r>
        <w:rPr>
          <w:rFonts w:hint="eastAsia" w:ascii="宋体" w:hAnsi="宋体"/>
          <w:b/>
          <w:color w:val="auto"/>
          <w:szCs w:val="21"/>
          <w:highlight w:val="none"/>
        </w:rPr>
        <w:t>资格审查文件</w:t>
      </w:r>
      <w:r>
        <w:rPr>
          <w:rFonts w:ascii="宋体" w:hAnsi="宋体"/>
          <w:b/>
          <w:color w:val="auto"/>
          <w:szCs w:val="21"/>
          <w:highlight w:val="none"/>
        </w:rPr>
        <w:t>作为</w:t>
      </w:r>
      <w:r>
        <w:rPr>
          <w:rFonts w:hint="eastAsia" w:ascii="宋体" w:hAnsi="宋体"/>
          <w:b/>
          <w:color w:val="auto"/>
          <w:szCs w:val="21"/>
          <w:highlight w:val="none"/>
          <w:lang w:eastAsia="zh-CN"/>
        </w:rPr>
        <w:t>响应文件</w:t>
      </w:r>
      <w:r>
        <w:rPr>
          <w:rFonts w:ascii="宋体" w:hAnsi="宋体"/>
          <w:b/>
          <w:color w:val="auto"/>
          <w:szCs w:val="21"/>
          <w:highlight w:val="none"/>
        </w:rPr>
        <w:t>组成部分，按要求</w:t>
      </w:r>
      <w:r>
        <w:rPr>
          <w:rFonts w:hint="eastAsia" w:ascii="宋体" w:hAnsi="宋体"/>
          <w:b/>
          <w:color w:val="auto"/>
          <w:szCs w:val="21"/>
          <w:highlight w:val="none"/>
          <w:lang w:val="en-US" w:eastAsia="zh-CN"/>
        </w:rPr>
        <w:t>提交响应文件</w:t>
      </w:r>
      <w:r>
        <w:rPr>
          <w:rFonts w:ascii="宋体" w:hAnsi="宋体"/>
          <w:b/>
          <w:color w:val="auto"/>
          <w:szCs w:val="21"/>
          <w:highlight w:val="none"/>
        </w:rPr>
        <w:t>。</w:t>
      </w:r>
    </w:p>
    <w:p w14:paraId="78D90131">
      <w:pPr>
        <w:snapToGrid w:val="0"/>
        <w:spacing w:line="360" w:lineRule="auto"/>
        <w:ind w:firstLine="422" w:firstLineChars="200"/>
        <w:jc w:val="left"/>
        <w:outlineLvl w:val="1"/>
        <w:rPr>
          <w:rFonts w:hint="eastAsia" w:ascii="宋体" w:hAnsi="宋体"/>
          <w:b/>
          <w:color w:val="auto"/>
          <w:szCs w:val="21"/>
          <w:highlight w:val="none"/>
        </w:rPr>
      </w:pPr>
      <w:r>
        <w:rPr>
          <w:rFonts w:ascii="宋体" w:hAnsi="宋体"/>
          <w:b/>
          <w:color w:val="auto"/>
          <w:szCs w:val="21"/>
          <w:highlight w:val="none"/>
        </w:rPr>
        <w:t>一、</w:t>
      </w:r>
      <w:r>
        <w:rPr>
          <w:rFonts w:hint="eastAsia" w:ascii="宋体" w:hAnsi="宋体"/>
          <w:b/>
          <w:color w:val="auto"/>
          <w:szCs w:val="21"/>
          <w:highlight w:val="none"/>
        </w:rPr>
        <w:t>资格审查文件</w:t>
      </w:r>
    </w:p>
    <w:p w14:paraId="7EA8E7EF">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1.投标供应商必须具有独立法人资格，须提供营业执照副本复印件；</w:t>
      </w:r>
    </w:p>
    <w:p w14:paraId="16D6EF43">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2.投标响应函（格式附后）；</w:t>
      </w:r>
    </w:p>
    <w:p w14:paraId="25D969DF">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3.投标供应商202</w:t>
      </w:r>
      <w:r>
        <w:rPr>
          <w:rFonts w:hint="eastAsia" w:ascii="宋体" w:hAnsi="宋体"/>
          <w:color w:val="auto"/>
          <w:szCs w:val="21"/>
          <w:highlight w:val="none"/>
          <w:lang w:val="en-US" w:eastAsia="zh-CN"/>
        </w:rPr>
        <w:t>3</w:t>
      </w:r>
      <w:r>
        <w:rPr>
          <w:rFonts w:hint="eastAsia" w:ascii="宋体" w:hAnsi="宋体"/>
          <w:color w:val="auto"/>
          <w:szCs w:val="21"/>
          <w:highlight w:val="none"/>
        </w:rPr>
        <w:t>年度或202</w:t>
      </w:r>
      <w:r>
        <w:rPr>
          <w:rFonts w:hint="eastAsia" w:ascii="宋体" w:hAnsi="宋体"/>
          <w:color w:val="auto"/>
          <w:szCs w:val="21"/>
          <w:highlight w:val="none"/>
          <w:lang w:val="en-US" w:eastAsia="zh-CN"/>
        </w:rPr>
        <w:t>4</w:t>
      </w:r>
      <w:r>
        <w:rPr>
          <w:rFonts w:hint="eastAsia" w:ascii="宋体" w:hAnsi="宋体"/>
          <w:color w:val="auto"/>
          <w:szCs w:val="21"/>
          <w:highlight w:val="none"/>
        </w:rPr>
        <w:t>年度的财务报表复印件或扫描打印件（成立不满一年不需提供）；</w:t>
      </w:r>
    </w:p>
    <w:p w14:paraId="511F57E7">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4.投标供应商近一个月（不含开标当月）依法缴纳税收和社会保障资金的相关材料复印件或扫描打印件；</w:t>
      </w:r>
    </w:p>
    <w:p w14:paraId="2ADF6A4F">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5.投标供应商具有履行合同所必需的设备和专业技术能力的书面声明（格式附后）；</w:t>
      </w:r>
    </w:p>
    <w:p w14:paraId="3DD3B568">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6.投标供应商须提供参与本次项目采购活动前三年内，在经营活动中没有重大违法记录的《无重大违法记录声明函》（格式附后）；</w:t>
      </w:r>
    </w:p>
    <w:p w14:paraId="12FFCED1">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7.关于资格文件的声明函（格式附后）；</w:t>
      </w:r>
    </w:p>
    <w:p w14:paraId="32C570EC">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8.</w:t>
      </w:r>
      <w:r>
        <w:rPr>
          <w:rFonts w:ascii="宋体" w:hAnsi="宋体"/>
          <w:color w:val="auto"/>
          <w:szCs w:val="21"/>
          <w:highlight w:val="none"/>
        </w:rPr>
        <w:t>未被“信用中国”列入失信被执行人、重大税收违法案件当事人名单，未被“中国政府采购网”列入政府采购严重失信行为记录名单的网上查询截图；</w:t>
      </w:r>
    </w:p>
    <w:p w14:paraId="62187F76">
      <w:pPr>
        <w:spacing w:line="360" w:lineRule="auto"/>
        <w:ind w:firstLine="420" w:firstLineChars="200"/>
        <w:rPr>
          <w:rFonts w:hint="eastAsia" w:ascii="宋体" w:hAnsi="宋体" w:cs="宋体"/>
          <w:color w:val="auto"/>
          <w:szCs w:val="21"/>
          <w:highlight w:val="none"/>
        </w:rPr>
      </w:pPr>
      <w:r>
        <w:rPr>
          <w:rFonts w:hint="eastAsia" w:ascii="宋体" w:hAnsi="宋体"/>
          <w:color w:val="auto"/>
          <w:szCs w:val="21"/>
          <w:highlight w:val="none"/>
        </w:rPr>
        <w:t>9.投标供应商</w:t>
      </w:r>
      <w:r>
        <w:rPr>
          <w:rFonts w:hint="eastAsia" w:ascii="宋体" w:hAnsi="宋体" w:cs="宋体"/>
          <w:snapToGrid w:val="0"/>
          <w:color w:val="auto"/>
          <w:szCs w:val="21"/>
          <w:highlight w:val="none"/>
        </w:rPr>
        <w:t>市政公用工程施工总承包叁级及以上资质证书、</w:t>
      </w:r>
      <w:r>
        <w:rPr>
          <w:rFonts w:ascii="宋体" w:hAnsi="宋体"/>
          <w:color w:val="auto"/>
          <w:szCs w:val="21"/>
          <w:highlight w:val="none"/>
        </w:rPr>
        <w:t>安全生产许可证</w:t>
      </w:r>
      <w:r>
        <w:rPr>
          <w:rFonts w:hint="eastAsia" w:ascii="宋体" w:hAnsi="宋体"/>
          <w:color w:val="auto"/>
          <w:szCs w:val="21"/>
          <w:highlight w:val="none"/>
        </w:rPr>
        <w:t>复印件或扫描打印件；</w:t>
      </w:r>
    </w:p>
    <w:p w14:paraId="4D50AE7B">
      <w:pPr>
        <w:snapToGrid w:val="0"/>
        <w:spacing w:line="360" w:lineRule="auto"/>
        <w:ind w:right="-107" w:firstLine="420" w:firstLineChars="200"/>
        <w:rPr>
          <w:rFonts w:hint="eastAsia" w:ascii="宋体" w:hAnsi="宋体"/>
          <w:color w:val="auto"/>
          <w:szCs w:val="21"/>
          <w:highlight w:val="none"/>
        </w:rPr>
      </w:pPr>
      <w:r>
        <w:rPr>
          <w:rFonts w:hint="eastAsia" w:ascii="宋体" w:hAnsi="宋体" w:cs="宋体"/>
          <w:color w:val="auto"/>
          <w:szCs w:val="21"/>
          <w:highlight w:val="none"/>
        </w:rPr>
        <w:t>10.拟派项目负责人</w:t>
      </w:r>
      <w:r>
        <w:rPr>
          <w:rFonts w:hint="eastAsia" w:ascii="宋体" w:hAnsi="宋体"/>
          <w:color w:val="auto"/>
          <w:szCs w:val="21"/>
          <w:highlight w:val="none"/>
        </w:rPr>
        <w:t>市政公用专业贰级及以上注册建造师证书、安全生产考核合格证（B证）复印件或扫描打印件；</w:t>
      </w:r>
    </w:p>
    <w:p w14:paraId="61A97833">
      <w:pPr>
        <w:widowControl/>
        <w:snapToGrid w:val="0"/>
        <w:spacing w:line="360" w:lineRule="auto"/>
        <w:ind w:firstLine="420" w:firstLineChars="200"/>
        <w:jc w:val="left"/>
        <w:rPr>
          <w:rFonts w:hint="eastAsia" w:ascii="宋体" w:hAnsi="宋体" w:cs="宋体"/>
          <w:color w:val="auto"/>
          <w:szCs w:val="21"/>
          <w:highlight w:val="none"/>
        </w:rPr>
      </w:pPr>
      <w:r>
        <w:rPr>
          <w:rFonts w:hint="eastAsia" w:ascii="宋体" w:hAnsi="宋体" w:cs="宋体"/>
          <w:color w:val="auto"/>
          <w:szCs w:val="21"/>
          <w:highlight w:val="none"/>
        </w:rPr>
        <w:t>11.拟派项目负责人为投标企业正式人员</w:t>
      </w:r>
      <w:r>
        <w:rPr>
          <w:rFonts w:hint="eastAsia" w:ascii="宋体" w:hAnsi="宋体"/>
          <w:color w:val="auto"/>
          <w:szCs w:val="21"/>
          <w:highlight w:val="none"/>
        </w:rPr>
        <w:t>【提供①与投标供应商签订的有效劳动合同复印件或扫描打印件；②</w:t>
      </w:r>
      <w:r>
        <w:rPr>
          <w:rFonts w:hint="eastAsia" w:ascii="宋体" w:hAnsi="宋体" w:cs="宋体"/>
          <w:color w:val="auto"/>
          <w:kern w:val="0"/>
          <w:szCs w:val="21"/>
          <w:highlight w:val="none"/>
        </w:rPr>
        <w:t>投标供应商为其缴纳的自本公告发布日前近1个月的社保缴费清单</w:t>
      </w:r>
      <w:r>
        <w:rPr>
          <w:rFonts w:hint="eastAsia" w:ascii="宋体" w:hAnsi="宋体"/>
          <w:color w:val="auto"/>
          <w:szCs w:val="21"/>
          <w:highlight w:val="none"/>
        </w:rPr>
        <w:t>】；</w:t>
      </w:r>
    </w:p>
    <w:p w14:paraId="556FF174">
      <w:pPr>
        <w:adjustRightInd w:val="0"/>
        <w:snapToGrid w:val="0"/>
        <w:spacing w:line="360" w:lineRule="auto"/>
        <w:ind w:firstLine="424" w:firstLineChars="202"/>
        <w:rPr>
          <w:rFonts w:hint="eastAsia" w:ascii="宋体" w:hAnsi="宋体" w:cs="宋体"/>
          <w:color w:val="auto"/>
          <w:szCs w:val="21"/>
          <w:highlight w:val="none"/>
        </w:rPr>
      </w:pPr>
      <w:r>
        <w:rPr>
          <w:rFonts w:hint="eastAsia" w:ascii="宋体" w:hAnsi="宋体" w:cs="宋体"/>
          <w:color w:val="auto"/>
          <w:szCs w:val="21"/>
          <w:highlight w:val="none"/>
        </w:rPr>
        <w:t>12.诚信承诺书；</w:t>
      </w:r>
    </w:p>
    <w:p w14:paraId="0F011BDA">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13.投标供应商法定代表人参加投标的，必须提供法定代表人身份证明（格式参见第七章）；</w:t>
      </w:r>
    </w:p>
    <w:p w14:paraId="26AF942E">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非法定代表人参加的，必须提供①法定代表人身份证明（格式参见第七章）、②法定代表人签字或盖章的授权委托书（格式参见第七章）、被授权人为投标供应商正式人员证明材料【提供①与投标供应商签订的有效劳动合同复印件或扫描打印件；②</w:t>
      </w:r>
      <w:r>
        <w:rPr>
          <w:rFonts w:hint="eastAsia" w:ascii="宋体" w:hAnsi="宋体" w:cs="宋体"/>
          <w:color w:val="auto"/>
          <w:kern w:val="0"/>
          <w:szCs w:val="21"/>
          <w:highlight w:val="none"/>
        </w:rPr>
        <w:t>投标供应商为其缴纳的自本公告发布日前近1个月的社保缴费清单</w:t>
      </w:r>
      <w:r>
        <w:rPr>
          <w:rFonts w:hint="eastAsia" w:ascii="宋体" w:hAnsi="宋体"/>
          <w:color w:val="auto"/>
          <w:szCs w:val="21"/>
          <w:highlight w:val="none"/>
        </w:rPr>
        <w:t>。】。</w:t>
      </w:r>
    </w:p>
    <w:p w14:paraId="02605C89">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14.本项目不接受联合体投标，中标后不得分包、转包；</w:t>
      </w:r>
    </w:p>
    <w:p w14:paraId="2C11ACBE">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15.</w:t>
      </w:r>
      <w:r>
        <w:rPr>
          <w:rFonts w:ascii="宋体" w:hAnsi="宋体"/>
          <w:color w:val="auto"/>
          <w:szCs w:val="21"/>
          <w:highlight w:val="none"/>
        </w:rPr>
        <w:t>投标供应商根据</w:t>
      </w:r>
      <w:r>
        <w:rPr>
          <w:rFonts w:hint="eastAsia" w:ascii="宋体" w:hAnsi="宋体"/>
          <w:color w:val="auto"/>
          <w:szCs w:val="21"/>
          <w:highlight w:val="none"/>
          <w:lang w:eastAsia="zh-CN"/>
        </w:rPr>
        <w:t>采购文件</w:t>
      </w:r>
      <w:r>
        <w:rPr>
          <w:rFonts w:hint="eastAsia" w:ascii="宋体" w:hAnsi="宋体"/>
          <w:color w:val="auto"/>
          <w:szCs w:val="21"/>
          <w:highlight w:val="none"/>
        </w:rPr>
        <w:t>要求</w:t>
      </w:r>
      <w:r>
        <w:rPr>
          <w:rFonts w:ascii="宋体" w:hAnsi="宋体"/>
          <w:color w:val="auto"/>
          <w:szCs w:val="21"/>
          <w:highlight w:val="none"/>
        </w:rPr>
        <w:t>认为需要提交的其他</w:t>
      </w:r>
      <w:r>
        <w:rPr>
          <w:rFonts w:hint="eastAsia" w:ascii="宋体" w:hAnsi="宋体"/>
          <w:color w:val="auto"/>
          <w:szCs w:val="21"/>
          <w:highlight w:val="none"/>
        </w:rPr>
        <w:t>材料</w:t>
      </w:r>
      <w:r>
        <w:rPr>
          <w:rFonts w:ascii="宋体" w:hAnsi="宋体"/>
          <w:color w:val="auto"/>
          <w:szCs w:val="21"/>
          <w:highlight w:val="none"/>
        </w:rPr>
        <w:t>。</w:t>
      </w:r>
    </w:p>
    <w:p w14:paraId="026C1F88">
      <w:pPr>
        <w:snapToGrid w:val="0"/>
        <w:spacing w:line="360" w:lineRule="auto"/>
        <w:ind w:firstLine="422" w:firstLineChars="200"/>
        <w:jc w:val="left"/>
        <w:outlineLvl w:val="1"/>
        <w:rPr>
          <w:rFonts w:hint="eastAsia" w:ascii="宋体" w:hAnsi="宋体"/>
          <w:b/>
          <w:color w:val="auto"/>
          <w:szCs w:val="21"/>
          <w:highlight w:val="none"/>
        </w:rPr>
      </w:pPr>
      <w:r>
        <w:rPr>
          <w:rFonts w:hint="eastAsia" w:ascii="宋体" w:hAnsi="宋体"/>
          <w:b/>
          <w:color w:val="auto"/>
          <w:szCs w:val="21"/>
          <w:highlight w:val="none"/>
        </w:rPr>
        <w:t>注：以上所提供证明材料若为复印件或扫描件均须加盖投标供应商公章。</w:t>
      </w:r>
    </w:p>
    <w:p w14:paraId="2E1B6497">
      <w:pPr>
        <w:snapToGrid w:val="0"/>
        <w:spacing w:line="360" w:lineRule="auto"/>
        <w:ind w:firstLine="422" w:firstLineChars="200"/>
        <w:jc w:val="left"/>
        <w:outlineLvl w:val="1"/>
        <w:rPr>
          <w:rFonts w:hint="eastAsia" w:ascii="宋体" w:hAnsi="宋体"/>
          <w:b/>
          <w:color w:val="auto"/>
          <w:szCs w:val="21"/>
          <w:highlight w:val="none"/>
        </w:rPr>
      </w:pPr>
      <w:r>
        <w:rPr>
          <w:rFonts w:ascii="宋体" w:hAnsi="宋体"/>
          <w:b/>
          <w:color w:val="auto"/>
          <w:szCs w:val="21"/>
          <w:highlight w:val="none"/>
        </w:rPr>
        <w:t>二、技术标</w:t>
      </w:r>
    </w:p>
    <w:p w14:paraId="5C9A45BC">
      <w:pPr>
        <w:spacing w:line="360" w:lineRule="auto"/>
        <w:ind w:firstLine="420" w:firstLineChars="200"/>
        <w:rPr>
          <w:rFonts w:hint="eastAsia" w:ascii="宋体" w:hAnsi="宋体"/>
          <w:bCs/>
          <w:color w:val="auto"/>
          <w:szCs w:val="21"/>
          <w:highlight w:val="none"/>
        </w:rPr>
      </w:pPr>
      <w:r>
        <w:rPr>
          <w:rFonts w:hint="eastAsia" w:ascii="宋体" w:hAnsi="宋体"/>
          <w:bCs/>
          <w:color w:val="auto"/>
          <w:szCs w:val="21"/>
          <w:highlight w:val="none"/>
        </w:rPr>
        <w:t>投标供应商</w:t>
      </w:r>
      <w:r>
        <w:rPr>
          <w:rFonts w:ascii="宋体" w:hAnsi="宋体"/>
          <w:bCs/>
          <w:color w:val="auto"/>
          <w:szCs w:val="21"/>
          <w:highlight w:val="none"/>
        </w:rPr>
        <w:t>应根据本</w:t>
      </w:r>
      <w:r>
        <w:rPr>
          <w:rFonts w:hint="eastAsia" w:ascii="宋体" w:hAnsi="宋体"/>
          <w:bCs/>
          <w:color w:val="auto"/>
          <w:szCs w:val="21"/>
          <w:highlight w:val="none"/>
          <w:lang w:eastAsia="zh-CN"/>
        </w:rPr>
        <w:t>采购文件</w:t>
      </w:r>
      <w:r>
        <w:rPr>
          <w:rFonts w:ascii="宋体" w:hAnsi="宋体"/>
          <w:bCs/>
          <w:color w:val="auto"/>
          <w:szCs w:val="21"/>
          <w:highlight w:val="none"/>
        </w:rPr>
        <w:t>第三章项目需求</w:t>
      </w:r>
      <w:r>
        <w:rPr>
          <w:rFonts w:hint="eastAsia" w:ascii="宋体" w:hAnsi="宋体"/>
          <w:bCs/>
          <w:color w:val="auto"/>
          <w:szCs w:val="21"/>
          <w:highlight w:val="none"/>
        </w:rPr>
        <w:t>及第五章合同条款所列的</w:t>
      </w:r>
      <w:r>
        <w:rPr>
          <w:rFonts w:ascii="宋体" w:hAnsi="宋体"/>
          <w:bCs/>
          <w:color w:val="auto"/>
          <w:szCs w:val="21"/>
          <w:highlight w:val="none"/>
        </w:rPr>
        <w:t>主要技术规范，服务要求标准等，仔细阅读并在理解的基础上结合第四章“评审方法和程序”内的评审细则，编写编制技术投标响应文件。以下技术响应文件的内容，不得有缺项或漏项。否则将有可能被视为未实质性响应</w:t>
      </w:r>
      <w:r>
        <w:rPr>
          <w:rFonts w:hint="eastAsia" w:ascii="宋体" w:hAnsi="宋体"/>
          <w:bCs/>
          <w:color w:val="auto"/>
          <w:szCs w:val="21"/>
          <w:highlight w:val="none"/>
          <w:lang w:eastAsia="zh-CN"/>
        </w:rPr>
        <w:t>采购文件</w:t>
      </w:r>
      <w:r>
        <w:rPr>
          <w:rFonts w:ascii="宋体" w:hAnsi="宋体"/>
          <w:bCs/>
          <w:color w:val="auto"/>
          <w:szCs w:val="21"/>
          <w:highlight w:val="none"/>
        </w:rPr>
        <w:t>要求而作无效投标处理，或可能直接影响技术评审的得分</w:t>
      </w:r>
      <w:r>
        <w:rPr>
          <w:rFonts w:hint="eastAsia" w:ascii="宋体" w:hAnsi="宋体"/>
          <w:bCs/>
          <w:color w:val="auto"/>
          <w:szCs w:val="21"/>
          <w:highlight w:val="none"/>
        </w:rPr>
        <w:t>：</w:t>
      </w:r>
    </w:p>
    <w:p w14:paraId="1715ECB8">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1.技术条款响应一览表、计划投入的主要养护机械设备表、市政设施养护维修项目部主要养护人员表；（格式附后）</w:t>
      </w:r>
    </w:p>
    <w:p w14:paraId="5E1653CB">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2.技术标评分标准</w:t>
      </w:r>
      <w:r>
        <w:rPr>
          <w:rFonts w:ascii="宋体" w:hAnsi="宋体"/>
          <w:color w:val="auto"/>
          <w:szCs w:val="21"/>
          <w:highlight w:val="none"/>
        </w:rPr>
        <w:t>中所涉及的事项需提供的所有资料；</w:t>
      </w:r>
    </w:p>
    <w:p w14:paraId="4EE80D17">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olor w:val="auto"/>
          <w:szCs w:val="21"/>
          <w:highlight w:val="none"/>
          <w:lang w:eastAsia="zh-CN"/>
        </w:rPr>
        <w:t>采购文件</w:t>
      </w:r>
      <w:r>
        <w:rPr>
          <w:rFonts w:ascii="宋体" w:hAnsi="宋体"/>
          <w:color w:val="auto"/>
          <w:szCs w:val="21"/>
          <w:highlight w:val="none"/>
        </w:rPr>
        <w:t>中未涉及的事项，投标供应商认为需要提交的其他资料。</w:t>
      </w:r>
    </w:p>
    <w:p w14:paraId="6F853DAB">
      <w:pPr>
        <w:snapToGrid w:val="0"/>
        <w:spacing w:line="360" w:lineRule="auto"/>
        <w:ind w:firstLine="422" w:firstLineChars="200"/>
        <w:outlineLvl w:val="1"/>
        <w:rPr>
          <w:rFonts w:hint="eastAsia" w:ascii="宋体" w:hAnsi="宋体"/>
          <w:b/>
          <w:color w:val="auto"/>
          <w:szCs w:val="21"/>
          <w:highlight w:val="none"/>
        </w:rPr>
      </w:pPr>
      <w:r>
        <w:rPr>
          <w:rFonts w:hint="eastAsia" w:ascii="宋体" w:hAnsi="宋体"/>
          <w:b/>
          <w:color w:val="auto"/>
          <w:szCs w:val="21"/>
          <w:highlight w:val="none"/>
        </w:rPr>
        <w:t>三</w:t>
      </w:r>
      <w:r>
        <w:rPr>
          <w:rFonts w:ascii="宋体" w:hAnsi="宋体"/>
          <w:b/>
          <w:color w:val="auto"/>
          <w:szCs w:val="21"/>
          <w:highlight w:val="none"/>
        </w:rPr>
        <w:t>、价格标</w:t>
      </w:r>
    </w:p>
    <w:p w14:paraId="32B067E6">
      <w:pPr>
        <w:autoSpaceDE w:val="0"/>
        <w:autoSpaceDN w:val="0"/>
        <w:adjustRightIn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.开标一览表（格式附后）</w:t>
      </w:r>
      <w:r>
        <w:rPr>
          <w:rFonts w:ascii="宋体" w:hAnsi="宋体"/>
          <w:color w:val="auto"/>
          <w:szCs w:val="21"/>
          <w:highlight w:val="none"/>
        </w:rPr>
        <w:t>；</w:t>
      </w:r>
    </w:p>
    <w:p w14:paraId="0CFF27F0">
      <w:pPr>
        <w:autoSpaceDE w:val="0"/>
        <w:autoSpaceDN w:val="0"/>
        <w:adjustRightInd w:val="0"/>
        <w:spacing w:line="360" w:lineRule="auto"/>
        <w:ind w:firstLine="420" w:firstLineChars="200"/>
        <w:rPr>
          <w:rFonts w:hint="eastAsia" w:ascii="宋体" w:hAnsi="宋体"/>
          <w:b/>
          <w:bCs/>
          <w:color w:val="auto"/>
          <w:sz w:val="28"/>
          <w:szCs w:val="28"/>
          <w:highlight w:val="none"/>
        </w:rPr>
      </w:pPr>
      <w:r>
        <w:rPr>
          <w:rFonts w:hint="eastAsia" w:ascii="宋体" w:hAnsi="宋体"/>
          <w:color w:val="auto"/>
          <w:szCs w:val="21"/>
          <w:highlight w:val="none"/>
        </w:rPr>
        <w:t>2.中型</w:t>
      </w:r>
      <w:r>
        <w:rPr>
          <w:rFonts w:ascii="宋体" w:hAnsi="宋体"/>
          <w:color w:val="auto"/>
          <w:szCs w:val="21"/>
          <w:highlight w:val="none"/>
        </w:rPr>
        <w:t>、</w:t>
      </w:r>
      <w:r>
        <w:rPr>
          <w:rFonts w:hint="eastAsia" w:ascii="宋体" w:hAnsi="宋体"/>
          <w:color w:val="auto"/>
          <w:szCs w:val="21"/>
          <w:highlight w:val="none"/>
        </w:rPr>
        <w:t>小型</w:t>
      </w:r>
      <w:r>
        <w:rPr>
          <w:rFonts w:ascii="宋体" w:hAnsi="宋体"/>
          <w:color w:val="auto"/>
          <w:szCs w:val="21"/>
          <w:highlight w:val="none"/>
        </w:rPr>
        <w:t>企业声明函和残疾人福利性单位声明函（如有）</w:t>
      </w:r>
      <w:r>
        <w:rPr>
          <w:rFonts w:hint="eastAsia" w:ascii="宋体" w:hAnsi="宋体"/>
          <w:color w:val="auto"/>
          <w:szCs w:val="21"/>
          <w:highlight w:val="none"/>
        </w:rPr>
        <w:t>。</w:t>
      </w:r>
      <w:r>
        <w:rPr>
          <w:rFonts w:hint="eastAsia" w:ascii="宋体" w:hAnsi="宋体"/>
          <w:color w:val="auto"/>
          <w:sz w:val="24"/>
          <w:highlight w:val="none"/>
        </w:rPr>
        <w:br w:type="page"/>
      </w:r>
      <w:r>
        <w:rPr>
          <w:rFonts w:ascii="宋体" w:hAnsi="宋体"/>
          <w:b/>
          <w:color w:val="auto"/>
          <w:sz w:val="24"/>
          <w:highlight w:val="none"/>
        </w:rPr>
        <w:t>附件：</w:t>
      </w:r>
    </w:p>
    <w:p w14:paraId="21BDC54F">
      <w:pPr>
        <w:spacing w:line="360" w:lineRule="auto"/>
        <w:jc w:val="center"/>
        <w:rPr>
          <w:rFonts w:hint="eastAsia" w:ascii="宋体" w:hAnsi="宋体"/>
          <w:b/>
          <w:bCs/>
          <w:color w:val="auto"/>
          <w:sz w:val="28"/>
          <w:szCs w:val="28"/>
          <w:highlight w:val="none"/>
        </w:rPr>
      </w:pPr>
      <w:r>
        <w:rPr>
          <w:rFonts w:ascii="宋体" w:hAnsi="宋体"/>
          <w:b/>
          <w:bCs/>
          <w:color w:val="auto"/>
          <w:sz w:val="28"/>
          <w:szCs w:val="28"/>
          <w:highlight w:val="none"/>
        </w:rPr>
        <w:t>法定代表人身份证明</w:t>
      </w:r>
    </w:p>
    <w:p w14:paraId="7439492A">
      <w:pPr>
        <w:spacing w:line="360" w:lineRule="auto"/>
        <w:rPr>
          <w:rFonts w:hint="eastAsia" w:ascii="宋体" w:hAnsi="宋体"/>
          <w:color w:val="auto"/>
          <w:szCs w:val="21"/>
          <w:highlight w:val="none"/>
        </w:rPr>
      </w:pPr>
      <w:r>
        <w:rPr>
          <w:rFonts w:hint="eastAsia" w:ascii="宋体" w:hAnsi="宋体"/>
          <w:color w:val="auto"/>
          <w:szCs w:val="21"/>
          <w:highlight w:val="none"/>
          <w:u w:val="single"/>
        </w:rPr>
        <w:t>南通市崇川区城市工程建设管理中心</w:t>
      </w:r>
      <w:r>
        <w:rPr>
          <w:rFonts w:ascii="宋体" w:hAnsi="宋体"/>
          <w:color w:val="auto"/>
          <w:szCs w:val="21"/>
          <w:highlight w:val="none"/>
        </w:rPr>
        <w:t xml:space="preserve">： </w:t>
      </w:r>
    </w:p>
    <w:p w14:paraId="000777F6">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我公司法定代表人</w:t>
      </w:r>
      <w:r>
        <w:rPr>
          <w:rFonts w:ascii="宋体" w:hAnsi="宋体"/>
          <w:color w:val="auto"/>
          <w:szCs w:val="21"/>
          <w:highlight w:val="none"/>
          <w:u w:val="single"/>
        </w:rPr>
        <w:t xml:space="preserve">     　　　   </w:t>
      </w:r>
      <w:r>
        <w:rPr>
          <w:rFonts w:ascii="宋体" w:hAnsi="宋体"/>
          <w:color w:val="auto"/>
          <w:szCs w:val="21"/>
          <w:highlight w:val="none"/>
        </w:rPr>
        <w:t>参加贵单位组织的</w:t>
      </w:r>
      <w:r>
        <w:rPr>
          <w:rFonts w:hint="eastAsia" w:ascii="宋体" w:hAnsi="宋体"/>
          <w:color w:val="auto"/>
          <w:szCs w:val="21"/>
          <w:highlight w:val="none"/>
          <w:u w:val="single"/>
        </w:rPr>
        <w:t xml:space="preserve">                       </w:t>
      </w:r>
      <w:r>
        <w:rPr>
          <w:rFonts w:ascii="宋体" w:hAnsi="宋体"/>
          <w:color w:val="auto"/>
          <w:szCs w:val="21"/>
          <w:highlight w:val="none"/>
        </w:rPr>
        <w:t>项目公开招标采购活动，全权代表我公司处理投标的有关事宜。</w:t>
      </w:r>
    </w:p>
    <w:p w14:paraId="2C8C821B">
      <w:pPr>
        <w:spacing w:line="360" w:lineRule="auto"/>
        <w:rPr>
          <w:rFonts w:hint="eastAsia" w:ascii="宋体" w:hAnsi="宋体"/>
          <w:color w:val="auto"/>
          <w:szCs w:val="21"/>
          <w:highlight w:val="none"/>
        </w:rPr>
      </w:pPr>
      <w:r>
        <w:rPr>
          <w:rFonts w:ascii="宋体" w:hAnsi="宋体"/>
          <w:color w:val="auto"/>
          <w:szCs w:val="21"/>
          <w:highlight w:val="none"/>
        </w:rPr>
        <w:t>附：法定代表人情况：</w:t>
      </w:r>
    </w:p>
    <w:p w14:paraId="5496B277">
      <w:pPr>
        <w:spacing w:line="360" w:lineRule="auto"/>
        <w:rPr>
          <w:rFonts w:hint="eastAsia" w:ascii="宋体" w:hAnsi="宋体"/>
          <w:color w:val="auto"/>
          <w:szCs w:val="21"/>
          <w:highlight w:val="none"/>
          <w:u w:val="single"/>
        </w:rPr>
      </w:pPr>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年龄：</w:t>
      </w:r>
      <w:r>
        <w:rPr>
          <w:rFonts w:ascii="宋体" w:hAnsi="宋体"/>
          <w:color w:val="auto"/>
          <w:szCs w:val="21"/>
          <w:highlight w:val="none"/>
          <w:u w:val="single"/>
        </w:rPr>
        <w:t xml:space="preserve">      </w:t>
      </w:r>
      <w:r>
        <w:rPr>
          <w:rFonts w:ascii="宋体" w:hAnsi="宋体"/>
          <w:color w:val="auto"/>
          <w:szCs w:val="21"/>
          <w:highlight w:val="none"/>
        </w:rPr>
        <w:t>职务：</w:t>
      </w:r>
      <w:r>
        <w:rPr>
          <w:rFonts w:ascii="宋体" w:hAnsi="宋体"/>
          <w:color w:val="auto"/>
          <w:szCs w:val="21"/>
          <w:highlight w:val="none"/>
          <w:u w:val="single"/>
        </w:rPr>
        <w:t xml:space="preserve">          </w:t>
      </w:r>
    </w:p>
    <w:p w14:paraId="2927E357">
      <w:pPr>
        <w:spacing w:line="360" w:lineRule="auto"/>
        <w:rPr>
          <w:rFonts w:hint="eastAsia" w:ascii="宋体" w:hAnsi="宋体"/>
          <w:color w:val="auto"/>
          <w:szCs w:val="21"/>
          <w:highlight w:val="none"/>
        </w:rPr>
      </w:pPr>
      <w:r>
        <w:rPr>
          <w:rFonts w:ascii="宋体" w:hAnsi="宋体"/>
          <w:color w:val="auto"/>
          <w:szCs w:val="21"/>
          <w:highlight w:val="none"/>
        </w:rPr>
        <w:t>身份证号码：</w:t>
      </w:r>
      <w:r>
        <w:rPr>
          <w:rFonts w:ascii="宋体" w:hAnsi="宋体"/>
          <w:color w:val="auto"/>
          <w:szCs w:val="21"/>
          <w:highlight w:val="none"/>
          <w:u w:val="single"/>
        </w:rPr>
        <w:t xml:space="preserve">                                          </w:t>
      </w:r>
    </w:p>
    <w:p w14:paraId="6BA4F674">
      <w:pPr>
        <w:spacing w:line="360" w:lineRule="auto"/>
        <w:rPr>
          <w:rFonts w:hint="eastAsia" w:ascii="宋体" w:hAnsi="宋体"/>
          <w:color w:val="auto"/>
          <w:szCs w:val="21"/>
          <w:highlight w:val="none"/>
        </w:rPr>
      </w:pPr>
      <w:r>
        <w:rPr>
          <w:rFonts w:ascii="宋体" w:hAnsi="宋体"/>
          <w:color w:val="auto"/>
          <w:szCs w:val="21"/>
          <w:highlight w:val="none"/>
        </w:rPr>
        <w:t>手机：</w:t>
      </w:r>
      <w:r>
        <w:rPr>
          <w:rFonts w:ascii="宋体" w:hAnsi="宋体"/>
          <w:color w:val="auto"/>
          <w:szCs w:val="21"/>
          <w:highlight w:val="none"/>
          <w:u w:val="single"/>
        </w:rPr>
        <w:t xml:space="preserve">                 </w:t>
      </w:r>
      <w:r>
        <w:rPr>
          <w:rFonts w:ascii="宋体" w:hAnsi="宋体"/>
          <w:color w:val="auto"/>
          <w:szCs w:val="21"/>
          <w:highlight w:val="none"/>
        </w:rPr>
        <w:t>传真：</w:t>
      </w:r>
      <w:r>
        <w:rPr>
          <w:rFonts w:ascii="宋体" w:hAnsi="宋体"/>
          <w:color w:val="auto"/>
          <w:szCs w:val="21"/>
          <w:highlight w:val="none"/>
          <w:u w:val="single"/>
        </w:rPr>
        <w:t xml:space="preserve">                         </w:t>
      </w:r>
    </w:p>
    <w:p w14:paraId="78D956A4">
      <w:pPr>
        <w:spacing w:line="360" w:lineRule="auto"/>
        <w:rPr>
          <w:rFonts w:hint="eastAsia" w:ascii="宋体" w:hAnsi="宋体"/>
          <w:color w:val="auto"/>
          <w:szCs w:val="21"/>
          <w:highlight w:val="none"/>
        </w:rPr>
      </w:pPr>
    </w:p>
    <w:p w14:paraId="16FB75A4">
      <w:pPr>
        <w:spacing w:line="360" w:lineRule="auto"/>
        <w:rPr>
          <w:rFonts w:hint="eastAsia" w:ascii="宋体" w:hAnsi="宋体"/>
          <w:color w:val="auto"/>
          <w:szCs w:val="21"/>
          <w:highlight w:val="none"/>
        </w:rPr>
      </w:pPr>
      <w:r>
        <w:rPr>
          <w:rFonts w:hint="eastAsia" w:ascii="宋体" w:hAnsi="宋体"/>
          <w:color w:val="auto"/>
          <w:szCs w:val="21"/>
          <w:highlight w:val="none"/>
        </w:rPr>
        <w:t>投标供应商</w:t>
      </w:r>
      <w:r>
        <w:rPr>
          <w:rFonts w:ascii="宋体" w:hAnsi="宋体"/>
          <w:color w:val="auto"/>
          <w:szCs w:val="21"/>
          <w:highlight w:val="none"/>
        </w:rPr>
        <w:t xml:space="preserve">（公章）             法定代表人（签字或盖章） </w:t>
      </w:r>
    </w:p>
    <w:p w14:paraId="3CE9C1A3">
      <w:pPr>
        <w:spacing w:line="360" w:lineRule="auto"/>
        <w:ind w:firstLine="1050" w:firstLineChars="500"/>
        <w:rPr>
          <w:rFonts w:hint="eastAsia" w:ascii="宋体" w:hAnsi="宋体"/>
          <w:color w:val="auto"/>
          <w:szCs w:val="21"/>
          <w:highlight w:val="none"/>
        </w:rPr>
      </w:pPr>
      <w:r>
        <w:rPr>
          <w:rFonts w:ascii="宋体" w:hAnsi="宋体"/>
          <w:color w:val="auto"/>
          <w:szCs w:val="21"/>
          <w:highlight w:val="none"/>
        </w:rPr>
        <w:t xml:space="preserve">年   月   日                 年   月    日  </w:t>
      </w:r>
    </w:p>
    <w:p w14:paraId="4E6A4333">
      <w:pPr>
        <w:spacing w:line="360" w:lineRule="auto"/>
        <w:rPr>
          <w:rFonts w:hint="eastAsia" w:ascii="宋体" w:hAnsi="宋体"/>
          <w:color w:val="auto"/>
          <w:szCs w:val="21"/>
          <w:highlight w:val="none"/>
        </w:rPr>
      </w:pPr>
      <w:r>
        <w:rPr>
          <w:rFonts w:ascii="宋体" w:hAnsi="宋体"/>
          <w:color w:val="auto"/>
          <w:szCs w:val="21"/>
          <w:highlight w:val="none"/>
        </w:rPr>
        <w:t>法定代表人身份证复印件</w:t>
      </w:r>
    </w:p>
    <w:p w14:paraId="72CFB4C9">
      <w:pPr>
        <w:spacing w:line="360" w:lineRule="auto"/>
        <w:rPr>
          <w:rFonts w:hint="eastAsia" w:ascii="宋体" w:hAnsi="宋体"/>
          <w:color w:val="auto"/>
          <w:szCs w:val="21"/>
          <w:highlight w:val="none"/>
        </w:rPr>
      </w:pPr>
      <w:r>
        <w:rPr>
          <w:rFonts w:ascii="宋体" w:hAnsi="宋体"/>
          <w:color w:val="auto"/>
          <w:szCs w:val="21"/>
          <w:highlight w:val="none"/>
        </w:rPr>
        <w:t xml:space="preserve"> </w:t>
      </w:r>
    </w:p>
    <w:p w14:paraId="60BEAB7B">
      <w:pPr>
        <w:spacing w:line="360" w:lineRule="auto"/>
        <w:rPr>
          <w:rFonts w:hint="eastAsia" w:ascii="宋体" w:hAnsi="宋体"/>
          <w:color w:val="auto"/>
          <w:szCs w:val="21"/>
          <w:highlight w:val="none"/>
        </w:rPr>
      </w:pPr>
    </w:p>
    <w:p w14:paraId="7C999E96">
      <w:pPr>
        <w:spacing w:line="360" w:lineRule="auto"/>
        <w:ind w:firstLine="2730" w:firstLineChars="1300"/>
        <w:rPr>
          <w:rFonts w:hint="eastAsia" w:ascii="宋体" w:hAnsi="宋体"/>
          <w:color w:val="auto"/>
          <w:szCs w:val="21"/>
          <w:highlight w:val="none"/>
        </w:rPr>
      </w:pPr>
      <w:r>
        <w:rPr>
          <w:rFonts w:ascii="宋体" w:hAnsi="宋体"/>
          <w:color w:val="auto"/>
          <w:szCs w:val="21"/>
          <w:highlight w:val="none"/>
        </w:rPr>
        <w:t>（粘贴此处）</w:t>
      </w:r>
    </w:p>
    <w:p w14:paraId="46F80378">
      <w:pPr>
        <w:spacing w:line="360" w:lineRule="auto"/>
        <w:ind w:firstLine="2003" w:firstLineChars="950"/>
        <w:rPr>
          <w:rFonts w:hint="eastAsia" w:ascii="宋体" w:hAnsi="宋体"/>
          <w:b/>
          <w:bCs/>
          <w:color w:val="auto"/>
          <w:szCs w:val="21"/>
          <w:highlight w:val="none"/>
        </w:rPr>
      </w:pPr>
    </w:p>
    <w:p w14:paraId="26205A24">
      <w:pPr>
        <w:spacing w:line="360" w:lineRule="auto"/>
        <w:rPr>
          <w:rFonts w:hint="eastAsia" w:ascii="宋体" w:hAnsi="宋体"/>
          <w:b/>
          <w:bCs/>
          <w:color w:val="auto"/>
          <w:sz w:val="24"/>
          <w:highlight w:val="none"/>
        </w:rPr>
      </w:pPr>
    </w:p>
    <w:p w14:paraId="6E4505CF">
      <w:pPr>
        <w:spacing w:line="360" w:lineRule="auto"/>
        <w:jc w:val="center"/>
        <w:rPr>
          <w:rFonts w:hint="eastAsia" w:ascii="宋体" w:hAnsi="宋体"/>
          <w:b/>
          <w:bCs/>
          <w:color w:val="auto"/>
          <w:sz w:val="24"/>
          <w:highlight w:val="none"/>
        </w:rPr>
      </w:pPr>
      <w:r>
        <w:rPr>
          <w:rFonts w:ascii="宋体" w:hAnsi="宋体"/>
          <w:b/>
          <w:bCs/>
          <w:color w:val="auto"/>
          <w:sz w:val="24"/>
          <w:highlight w:val="none"/>
        </w:rPr>
        <w:br w:type="page"/>
      </w:r>
    </w:p>
    <w:p w14:paraId="29943D10">
      <w:pPr>
        <w:spacing w:line="360" w:lineRule="auto"/>
        <w:jc w:val="center"/>
        <w:rPr>
          <w:rFonts w:hint="eastAsia" w:ascii="宋体" w:hAnsi="宋体"/>
          <w:b/>
          <w:bCs/>
          <w:color w:val="auto"/>
          <w:sz w:val="28"/>
          <w:szCs w:val="28"/>
          <w:highlight w:val="none"/>
        </w:rPr>
      </w:pPr>
      <w:r>
        <w:rPr>
          <w:rFonts w:ascii="宋体" w:hAnsi="宋体"/>
          <w:b/>
          <w:bCs/>
          <w:color w:val="auto"/>
          <w:sz w:val="28"/>
          <w:szCs w:val="28"/>
          <w:highlight w:val="none"/>
        </w:rPr>
        <w:t>授权委托书</w:t>
      </w:r>
    </w:p>
    <w:p w14:paraId="1BC666BA">
      <w:pPr>
        <w:spacing w:line="360" w:lineRule="auto"/>
        <w:rPr>
          <w:rFonts w:hint="eastAsia" w:ascii="宋体" w:hAnsi="宋体"/>
          <w:color w:val="auto"/>
          <w:szCs w:val="21"/>
          <w:highlight w:val="none"/>
        </w:rPr>
      </w:pPr>
      <w:r>
        <w:rPr>
          <w:rFonts w:hint="eastAsia" w:ascii="宋体" w:hAnsi="宋体"/>
          <w:color w:val="auto"/>
          <w:szCs w:val="21"/>
          <w:highlight w:val="none"/>
          <w:u w:val="single"/>
        </w:rPr>
        <w:t>南通市崇川区城市工程建设管理中心</w:t>
      </w:r>
      <w:r>
        <w:rPr>
          <w:rFonts w:ascii="宋体" w:hAnsi="宋体"/>
          <w:color w:val="auto"/>
          <w:szCs w:val="21"/>
          <w:highlight w:val="none"/>
        </w:rPr>
        <w:t xml:space="preserve">： </w:t>
      </w:r>
    </w:p>
    <w:p w14:paraId="1EBB5426">
      <w:pPr>
        <w:spacing w:line="360" w:lineRule="auto"/>
        <w:ind w:firstLine="630" w:firstLineChars="300"/>
        <w:jc w:val="left"/>
        <w:rPr>
          <w:rFonts w:hint="eastAsia" w:ascii="宋体" w:hAnsi="宋体"/>
          <w:color w:val="auto"/>
          <w:szCs w:val="21"/>
          <w:highlight w:val="none"/>
        </w:rPr>
      </w:pPr>
      <w:r>
        <w:rPr>
          <w:rFonts w:ascii="宋体" w:hAnsi="宋体"/>
          <w:color w:val="auto"/>
          <w:szCs w:val="21"/>
          <w:highlight w:val="none"/>
        </w:rPr>
        <w:t>兹授权</w:t>
      </w:r>
      <w:r>
        <w:rPr>
          <w:rFonts w:ascii="宋体" w:hAnsi="宋体"/>
          <w:color w:val="auto"/>
          <w:szCs w:val="21"/>
          <w:highlight w:val="none"/>
          <w:u w:val="single"/>
        </w:rPr>
        <w:t xml:space="preserve">         </w:t>
      </w:r>
      <w:r>
        <w:rPr>
          <w:rFonts w:ascii="宋体" w:hAnsi="宋体"/>
          <w:color w:val="auto"/>
          <w:szCs w:val="21"/>
          <w:highlight w:val="none"/>
        </w:rPr>
        <w:t>（被授权人的姓名）代表我公司参加</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rPr>
        <w:t>项目的政府采购活动，全权处理一切与该项目公开招标有关的事务。其在办理上述事宜过程中所签署的所有文件我公司均予以承认。</w:t>
      </w:r>
    </w:p>
    <w:p w14:paraId="6BABE778">
      <w:pPr>
        <w:spacing w:line="360" w:lineRule="auto"/>
        <w:ind w:firstLine="630" w:firstLineChars="300"/>
        <w:jc w:val="left"/>
        <w:rPr>
          <w:rFonts w:hint="eastAsia" w:ascii="宋体" w:hAnsi="宋体"/>
          <w:color w:val="auto"/>
          <w:szCs w:val="21"/>
          <w:highlight w:val="none"/>
        </w:rPr>
      </w:pPr>
      <w:r>
        <w:rPr>
          <w:rFonts w:ascii="宋体" w:hAnsi="宋体"/>
          <w:color w:val="auto"/>
          <w:szCs w:val="21"/>
          <w:highlight w:val="none"/>
        </w:rPr>
        <w:t xml:space="preserve">被授权人无转委托权。特此委托。  </w:t>
      </w:r>
    </w:p>
    <w:p w14:paraId="4E2BBA74">
      <w:pPr>
        <w:snapToGrid w:val="0"/>
        <w:spacing w:line="360" w:lineRule="auto"/>
        <w:ind w:firstLine="420" w:firstLineChars="200"/>
        <w:rPr>
          <w:rFonts w:hint="eastAsia" w:ascii="宋体" w:hAnsi="宋体"/>
          <w:color w:val="auto"/>
          <w:szCs w:val="21"/>
          <w:highlight w:val="none"/>
        </w:rPr>
      </w:pPr>
    </w:p>
    <w:p w14:paraId="2AA277F4">
      <w:pPr>
        <w:spacing w:line="360" w:lineRule="auto"/>
        <w:rPr>
          <w:rFonts w:hint="eastAsia" w:ascii="宋体" w:hAnsi="宋体"/>
          <w:color w:val="auto"/>
          <w:szCs w:val="21"/>
          <w:highlight w:val="none"/>
        </w:rPr>
      </w:pPr>
      <w:r>
        <w:rPr>
          <w:rFonts w:ascii="宋体" w:hAnsi="宋体"/>
          <w:color w:val="auto"/>
          <w:szCs w:val="21"/>
          <w:highlight w:val="none"/>
        </w:rPr>
        <w:t xml:space="preserve">附：被授权人情况：  </w:t>
      </w:r>
    </w:p>
    <w:p w14:paraId="79B0058F">
      <w:pPr>
        <w:spacing w:line="360" w:lineRule="auto"/>
        <w:rPr>
          <w:rFonts w:hint="eastAsia" w:ascii="宋体" w:hAnsi="宋体"/>
          <w:color w:val="auto"/>
          <w:szCs w:val="21"/>
          <w:highlight w:val="none"/>
          <w:u w:val="single"/>
        </w:rPr>
      </w:pPr>
      <w:r>
        <w:rPr>
          <w:rFonts w:ascii="宋体" w:hAnsi="宋体"/>
          <w:color w:val="auto"/>
          <w:szCs w:val="21"/>
          <w:highlight w:val="none"/>
        </w:rPr>
        <w:t>姓名：</w:t>
      </w:r>
      <w:r>
        <w:rPr>
          <w:rFonts w:ascii="宋体" w:hAnsi="宋体"/>
          <w:color w:val="auto"/>
          <w:szCs w:val="21"/>
          <w:highlight w:val="none"/>
          <w:u w:val="single"/>
        </w:rPr>
        <w:t xml:space="preserve">         </w:t>
      </w:r>
      <w:r>
        <w:rPr>
          <w:rFonts w:ascii="宋体" w:hAnsi="宋体"/>
          <w:color w:val="auto"/>
          <w:szCs w:val="21"/>
          <w:highlight w:val="none"/>
        </w:rPr>
        <w:t xml:space="preserve"> 性别：</w:t>
      </w:r>
      <w:r>
        <w:rPr>
          <w:rFonts w:ascii="宋体" w:hAnsi="宋体"/>
          <w:color w:val="auto"/>
          <w:szCs w:val="21"/>
          <w:highlight w:val="none"/>
          <w:u w:val="single"/>
        </w:rPr>
        <w:t xml:space="preserve">    </w:t>
      </w:r>
      <w:r>
        <w:rPr>
          <w:rFonts w:ascii="宋体" w:hAnsi="宋体"/>
          <w:color w:val="auto"/>
          <w:szCs w:val="21"/>
          <w:highlight w:val="none"/>
        </w:rPr>
        <w:t>年龄：</w:t>
      </w:r>
      <w:r>
        <w:rPr>
          <w:rFonts w:ascii="宋体" w:hAnsi="宋体"/>
          <w:color w:val="auto"/>
          <w:szCs w:val="21"/>
          <w:highlight w:val="none"/>
          <w:u w:val="single"/>
        </w:rPr>
        <w:t xml:space="preserve">      </w:t>
      </w:r>
      <w:r>
        <w:rPr>
          <w:rFonts w:ascii="宋体" w:hAnsi="宋体"/>
          <w:color w:val="auto"/>
          <w:szCs w:val="21"/>
          <w:highlight w:val="none"/>
        </w:rPr>
        <w:t>职务：</w:t>
      </w:r>
      <w:r>
        <w:rPr>
          <w:rFonts w:ascii="宋体" w:hAnsi="宋体"/>
          <w:color w:val="auto"/>
          <w:szCs w:val="21"/>
          <w:highlight w:val="none"/>
          <w:u w:val="single"/>
        </w:rPr>
        <w:t xml:space="preserve">          </w:t>
      </w:r>
    </w:p>
    <w:p w14:paraId="435AE9ED">
      <w:pPr>
        <w:spacing w:line="360" w:lineRule="auto"/>
        <w:rPr>
          <w:rFonts w:hint="eastAsia" w:ascii="宋体" w:hAnsi="宋体"/>
          <w:color w:val="auto"/>
          <w:szCs w:val="21"/>
          <w:highlight w:val="none"/>
        </w:rPr>
      </w:pPr>
      <w:r>
        <w:rPr>
          <w:rFonts w:ascii="宋体" w:hAnsi="宋体"/>
          <w:color w:val="auto"/>
          <w:szCs w:val="21"/>
          <w:highlight w:val="none"/>
        </w:rPr>
        <w:t>身份证号码：</w:t>
      </w:r>
      <w:r>
        <w:rPr>
          <w:rFonts w:ascii="宋体" w:hAnsi="宋体"/>
          <w:color w:val="auto"/>
          <w:szCs w:val="21"/>
          <w:highlight w:val="none"/>
          <w:u w:val="single"/>
        </w:rPr>
        <w:t xml:space="preserve">                                          </w:t>
      </w:r>
    </w:p>
    <w:p w14:paraId="192795C1">
      <w:pPr>
        <w:spacing w:line="360" w:lineRule="auto"/>
        <w:rPr>
          <w:rFonts w:hint="eastAsia" w:ascii="宋体" w:hAnsi="宋体"/>
          <w:color w:val="auto"/>
          <w:szCs w:val="21"/>
          <w:highlight w:val="none"/>
        </w:rPr>
      </w:pPr>
      <w:r>
        <w:rPr>
          <w:rFonts w:ascii="宋体" w:hAnsi="宋体"/>
          <w:color w:val="auto"/>
          <w:szCs w:val="21"/>
          <w:highlight w:val="none"/>
        </w:rPr>
        <w:t>手机：</w:t>
      </w:r>
      <w:r>
        <w:rPr>
          <w:rFonts w:ascii="宋体" w:hAnsi="宋体"/>
          <w:color w:val="auto"/>
          <w:szCs w:val="21"/>
          <w:highlight w:val="none"/>
          <w:u w:val="single"/>
        </w:rPr>
        <w:t xml:space="preserve">                 </w:t>
      </w:r>
      <w:r>
        <w:rPr>
          <w:rFonts w:ascii="宋体" w:hAnsi="宋体"/>
          <w:color w:val="auto"/>
          <w:szCs w:val="21"/>
          <w:highlight w:val="none"/>
        </w:rPr>
        <w:t>传真：</w:t>
      </w:r>
      <w:r>
        <w:rPr>
          <w:rFonts w:ascii="宋体" w:hAnsi="宋体"/>
          <w:color w:val="auto"/>
          <w:szCs w:val="21"/>
          <w:highlight w:val="none"/>
          <w:u w:val="single"/>
        </w:rPr>
        <w:t xml:space="preserve">                         </w:t>
      </w:r>
    </w:p>
    <w:p w14:paraId="68B2D718">
      <w:pPr>
        <w:spacing w:line="360" w:lineRule="auto"/>
        <w:rPr>
          <w:rFonts w:hint="eastAsia" w:ascii="宋体" w:hAnsi="宋体"/>
          <w:color w:val="auto"/>
          <w:szCs w:val="21"/>
          <w:highlight w:val="none"/>
        </w:rPr>
      </w:pPr>
    </w:p>
    <w:p w14:paraId="6CAB2CE8">
      <w:pPr>
        <w:spacing w:line="360" w:lineRule="auto"/>
        <w:rPr>
          <w:rFonts w:hint="eastAsia" w:ascii="宋体" w:hAnsi="宋体"/>
          <w:color w:val="auto"/>
          <w:szCs w:val="21"/>
          <w:highlight w:val="none"/>
        </w:rPr>
      </w:pPr>
      <w:r>
        <w:rPr>
          <w:rFonts w:hint="eastAsia" w:ascii="宋体" w:hAnsi="宋体"/>
          <w:color w:val="auto"/>
          <w:szCs w:val="21"/>
          <w:highlight w:val="none"/>
        </w:rPr>
        <w:t>投标供应商</w:t>
      </w:r>
      <w:r>
        <w:rPr>
          <w:rFonts w:ascii="宋体" w:hAnsi="宋体"/>
          <w:color w:val="auto"/>
          <w:szCs w:val="21"/>
          <w:highlight w:val="none"/>
        </w:rPr>
        <w:t xml:space="preserve">（公章）          </w:t>
      </w:r>
      <w:r>
        <w:rPr>
          <w:rFonts w:hint="eastAsia" w:ascii="宋体" w:hAnsi="宋体"/>
          <w:color w:val="auto"/>
          <w:szCs w:val="21"/>
          <w:highlight w:val="none"/>
        </w:rPr>
        <w:t xml:space="preserve"> </w:t>
      </w:r>
      <w:r>
        <w:rPr>
          <w:rFonts w:ascii="宋体" w:hAnsi="宋体"/>
          <w:color w:val="auto"/>
          <w:szCs w:val="21"/>
          <w:highlight w:val="none"/>
        </w:rPr>
        <w:t xml:space="preserve">   法定代表人（签字或盖章）</w:t>
      </w:r>
    </w:p>
    <w:p w14:paraId="6F6AC4AD">
      <w:pPr>
        <w:spacing w:line="360" w:lineRule="auto"/>
        <w:ind w:firstLine="1050" w:firstLineChars="500"/>
        <w:rPr>
          <w:rFonts w:hint="eastAsia" w:ascii="宋体" w:hAnsi="宋体"/>
          <w:color w:val="auto"/>
          <w:szCs w:val="21"/>
          <w:highlight w:val="none"/>
        </w:rPr>
      </w:pPr>
      <w:r>
        <w:rPr>
          <w:rFonts w:ascii="宋体" w:hAnsi="宋体"/>
          <w:color w:val="auto"/>
          <w:szCs w:val="21"/>
          <w:highlight w:val="none"/>
        </w:rPr>
        <w:t xml:space="preserve">年   月   日                 年   月    日  </w:t>
      </w:r>
    </w:p>
    <w:p w14:paraId="583CE509">
      <w:pPr>
        <w:spacing w:line="360" w:lineRule="auto"/>
        <w:rPr>
          <w:rFonts w:hint="eastAsia" w:ascii="宋体" w:hAnsi="宋体"/>
          <w:color w:val="auto"/>
          <w:szCs w:val="21"/>
          <w:highlight w:val="none"/>
        </w:rPr>
      </w:pPr>
    </w:p>
    <w:p w14:paraId="02CF5964">
      <w:pPr>
        <w:spacing w:line="360" w:lineRule="auto"/>
        <w:rPr>
          <w:rFonts w:hint="eastAsia" w:ascii="宋体" w:hAnsi="宋体"/>
          <w:color w:val="auto"/>
          <w:szCs w:val="21"/>
          <w:highlight w:val="none"/>
        </w:rPr>
      </w:pPr>
    </w:p>
    <w:p w14:paraId="0D125A86">
      <w:pPr>
        <w:spacing w:line="360" w:lineRule="auto"/>
        <w:rPr>
          <w:rFonts w:hint="eastAsia" w:ascii="宋体" w:hAnsi="宋体"/>
          <w:color w:val="auto"/>
          <w:szCs w:val="21"/>
          <w:highlight w:val="none"/>
        </w:rPr>
      </w:pPr>
    </w:p>
    <w:p w14:paraId="2EA50834">
      <w:pPr>
        <w:spacing w:line="360" w:lineRule="auto"/>
        <w:rPr>
          <w:rFonts w:hint="eastAsia" w:ascii="宋体" w:hAnsi="宋体"/>
          <w:color w:val="auto"/>
          <w:szCs w:val="21"/>
          <w:highlight w:val="none"/>
        </w:rPr>
      </w:pPr>
      <w:r>
        <w:rPr>
          <w:rFonts w:hint="eastAsia" w:ascii="宋体" w:hAnsi="宋体"/>
          <w:color w:val="auto"/>
          <w:szCs w:val="21"/>
          <w:highlight w:val="none"/>
        </w:rPr>
        <w:t>法定代表人</w:t>
      </w:r>
      <w:r>
        <w:rPr>
          <w:rFonts w:ascii="宋体" w:hAnsi="宋体"/>
          <w:color w:val="auto"/>
          <w:szCs w:val="21"/>
          <w:highlight w:val="none"/>
        </w:rPr>
        <w:t>身份证复印件</w:t>
      </w:r>
    </w:p>
    <w:p w14:paraId="5AB6E723">
      <w:pPr>
        <w:spacing w:line="360" w:lineRule="auto"/>
        <w:rPr>
          <w:rFonts w:hint="eastAsia" w:ascii="宋体" w:hAnsi="宋体"/>
          <w:color w:val="auto"/>
          <w:szCs w:val="21"/>
          <w:highlight w:val="none"/>
        </w:rPr>
      </w:pPr>
    </w:p>
    <w:p w14:paraId="475E484C">
      <w:pPr>
        <w:pStyle w:val="23"/>
        <w:spacing w:line="360" w:lineRule="auto"/>
        <w:ind w:firstLine="210"/>
        <w:rPr>
          <w:rFonts w:hint="eastAsia" w:ascii="宋体" w:eastAsia="宋体"/>
          <w:color w:val="auto"/>
          <w:sz w:val="21"/>
          <w:szCs w:val="21"/>
          <w:highlight w:val="none"/>
        </w:rPr>
      </w:pPr>
    </w:p>
    <w:p w14:paraId="2B1733AA">
      <w:pPr>
        <w:spacing w:line="360" w:lineRule="auto"/>
        <w:rPr>
          <w:rFonts w:hint="eastAsia" w:ascii="宋体" w:hAnsi="宋体"/>
          <w:color w:val="auto"/>
          <w:szCs w:val="21"/>
          <w:highlight w:val="none"/>
        </w:rPr>
      </w:pPr>
      <w:r>
        <w:rPr>
          <w:rFonts w:ascii="宋体" w:hAnsi="宋体"/>
          <w:color w:val="auto"/>
          <w:szCs w:val="21"/>
          <w:highlight w:val="none"/>
        </w:rPr>
        <w:t>被授权人身份证复印件</w:t>
      </w:r>
    </w:p>
    <w:p w14:paraId="19AC0A00">
      <w:pPr>
        <w:spacing w:line="360" w:lineRule="auto"/>
        <w:ind w:firstLine="422" w:firstLineChars="200"/>
        <w:rPr>
          <w:rFonts w:hint="eastAsia" w:ascii="宋体" w:hAnsi="宋体"/>
          <w:b/>
          <w:bCs/>
          <w:color w:val="auto"/>
          <w:szCs w:val="21"/>
          <w:highlight w:val="none"/>
        </w:rPr>
      </w:pPr>
    </w:p>
    <w:p w14:paraId="6A673407">
      <w:pPr>
        <w:spacing w:line="360" w:lineRule="auto"/>
        <w:ind w:firstLine="422" w:firstLineChars="200"/>
        <w:rPr>
          <w:rFonts w:hint="eastAsia" w:ascii="宋体" w:hAnsi="宋体"/>
          <w:b/>
          <w:bCs/>
          <w:color w:val="auto"/>
          <w:szCs w:val="21"/>
          <w:highlight w:val="none"/>
        </w:rPr>
      </w:pPr>
    </w:p>
    <w:p w14:paraId="4272DFB3">
      <w:pPr>
        <w:spacing w:line="360" w:lineRule="auto"/>
        <w:ind w:firstLine="2730" w:firstLineChars="1300"/>
        <w:rPr>
          <w:rFonts w:hint="eastAsia" w:ascii="宋体" w:hAnsi="宋体"/>
          <w:b/>
          <w:bCs/>
          <w:color w:val="auto"/>
          <w:szCs w:val="21"/>
          <w:highlight w:val="none"/>
        </w:rPr>
      </w:pPr>
      <w:r>
        <w:rPr>
          <w:rFonts w:ascii="宋体" w:hAnsi="宋体"/>
          <w:color w:val="auto"/>
          <w:szCs w:val="21"/>
          <w:highlight w:val="none"/>
        </w:rPr>
        <w:t>（粘贴此处）</w:t>
      </w:r>
    </w:p>
    <w:p w14:paraId="7971CFCE">
      <w:pPr>
        <w:spacing w:line="360" w:lineRule="auto"/>
        <w:ind w:firstLine="422" w:firstLineChars="200"/>
        <w:rPr>
          <w:rFonts w:hint="eastAsia" w:ascii="宋体" w:hAnsi="宋体"/>
          <w:b/>
          <w:bCs/>
          <w:color w:val="auto"/>
          <w:szCs w:val="21"/>
          <w:highlight w:val="none"/>
        </w:rPr>
      </w:pPr>
    </w:p>
    <w:p w14:paraId="5F2D67F1">
      <w:pPr>
        <w:spacing w:line="360" w:lineRule="auto"/>
        <w:ind w:firstLine="422" w:firstLineChars="200"/>
        <w:rPr>
          <w:rFonts w:hint="eastAsia" w:ascii="宋体" w:hAnsi="宋体"/>
          <w:b/>
          <w:bCs/>
          <w:color w:val="auto"/>
          <w:szCs w:val="21"/>
          <w:highlight w:val="none"/>
        </w:rPr>
      </w:pPr>
    </w:p>
    <w:p w14:paraId="3A32F7A2">
      <w:pPr>
        <w:spacing w:line="360" w:lineRule="auto"/>
        <w:rPr>
          <w:rFonts w:hint="eastAsia" w:ascii="宋体" w:hAnsi="宋体"/>
          <w:b/>
          <w:bCs/>
          <w:color w:val="auto"/>
          <w:sz w:val="28"/>
          <w:szCs w:val="28"/>
          <w:highlight w:val="none"/>
        </w:rPr>
      </w:pPr>
      <w:r>
        <w:rPr>
          <w:rFonts w:ascii="宋体" w:hAnsi="宋体"/>
          <w:b/>
          <w:bCs/>
          <w:color w:val="auto"/>
          <w:sz w:val="28"/>
          <w:szCs w:val="28"/>
          <w:highlight w:val="none"/>
        </w:rPr>
        <w:br w:type="page"/>
      </w:r>
    </w:p>
    <w:p w14:paraId="48875500">
      <w:pPr>
        <w:spacing w:line="360" w:lineRule="auto"/>
        <w:jc w:val="center"/>
        <w:rPr>
          <w:rFonts w:hint="eastAsia" w:ascii="宋体" w:hAnsi="宋体"/>
          <w:b/>
          <w:bCs/>
          <w:color w:val="auto"/>
          <w:sz w:val="28"/>
          <w:szCs w:val="28"/>
          <w:highlight w:val="none"/>
        </w:rPr>
      </w:pPr>
      <w:bookmarkStart w:id="29" w:name="_Hlk44927189"/>
      <w:r>
        <w:rPr>
          <w:rFonts w:ascii="宋体" w:hAnsi="宋体"/>
          <w:b/>
          <w:bCs/>
          <w:color w:val="auto"/>
          <w:sz w:val="28"/>
          <w:szCs w:val="28"/>
          <w:highlight w:val="none"/>
        </w:rPr>
        <w:t>投标响应函</w:t>
      </w:r>
      <w:bookmarkEnd w:id="29"/>
    </w:p>
    <w:p w14:paraId="33006363">
      <w:pPr>
        <w:spacing w:line="360" w:lineRule="auto"/>
        <w:rPr>
          <w:rFonts w:hint="eastAsia" w:ascii="宋体" w:hAnsi="宋体"/>
          <w:color w:val="auto"/>
          <w:szCs w:val="21"/>
          <w:highlight w:val="none"/>
        </w:rPr>
      </w:pPr>
      <w:r>
        <w:rPr>
          <w:rFonts w:hint="eastAsia" w:ascii="宋体" w:hAnsi="宋体"/>
          <w:color w:val="auto"/>
          <w:szCs w:val="21"/>
          <w:highlight w:val="none"/>
          <w:u w:val="single"/>
        </w:rPr>
        <w:t>南通市崇川区城市工程建设管理中心</w:t>
      </w:r>
      <w:r>
        <w:rPr>
          <w:rFonts w:ascii="宋体" w:hAnsi="宋体"/>
          <w:color w:val="auto"/>
          <w:szCs w:val="21"/>
          <w:highlight w:val="none"/>
        </w:rPr>
        <w:t xml:space="preserve">：  </w:t>
      </w:r>
    </w:p>
    <w:p w14:paraId="7F2C5F6D">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依据贵单位</w:t>
      </w:r>
      <w:r>
        <w:rPr>
          <w:rFonts w:hint="eastAsia" w:ascii="宋体" w:hAnsi="宋体"/>
          <w:color w:val="auto"/>
          <w:szCs w:val="21"/>
          <w:highlight w:val="none"/>
          <w:u w:val="single"/>
        </w:rPr>
        <w:t xml:space="preserve">                   </w:t>
      </w:r>
      <w:r>
        <w:rPr>
          <w:rFonts w:ascii="宋体" w:hAnsi="宋体"/>
          <w:color w:val="auto"/>
          <w:szCs w:val="21"/>
          <w:highlight w:val="none"/>
        </w:rPr>
        <w:t>（项目名称）项目公开招标采购的邀请，我方授权</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（姓名）</w:t>
      </w:r>
      <w:r>
        <w:rPr>
          <w:rFonts w:ascii="宋体" w:hAnsi="宋体"/>
          <w:color w:val="auto"/>
          <w:szCs w:val="21"/>
          <w:highlight w:val="none"/>
          <w:u w:val="single"/>
        </w:rPr>
        <w:t xml:space="preserve">  </w:t>
      </w:r>
      <w:r>
        <w:rPr>
          <w:rFonts w:hint="eastAsia" w:ascii="宋体" w:hAnsi="宋体"/>
          <w:color w:val="auto"/>
          <w:szCs w:val="21"/>
          <w:highlight w:val="none"/>
          <w:u w:val="single"/>
        </w:rPr>
        <w:t xml:space="preserve">  </w:t>
      </w:r>
      <w:r>
        <w:rPr>
          <w:rFonts w:ascii="宋体" w:hAnsi="宋体"/>
          <w:color w:val="auto"/>
          <w:szCs w:val="21"/>
          <w:highlight w:val="none"/>
          <w:u w:val="single"/>
        </w:rPr>
        <w:t xml:space="preserve">  </w:t>
      </w:r>
      <w:r>
        <w:rPr>
          <w:rFonts w:ascii="宋体" w:hAnsi="宋体"/>
          <w:color w:val="auto"/>
          <w:szCs w:val="21"/>
          <w:highlight w:val="none"/>
        </w:rPr>
        <w:t>（职务）为全权代表参加该项目的投标，全权处理本次投标的有关事宜。同时，我公司声明如下：</w:t>
      </w:r>
    </w:p>
    <w:p w14:paraId="15B329FE">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1</w:t>
      </w:r>
      <w:r>
        <w:rPr>
          <w:rFonts w:hint="eastAsia" w:ascii="宋体" w:hAnsi="宋体"/>
          <w:color w:val="auto"/>
          <w:szCs w:val="21"/>
          <w:highlight w:val="none"/>
        </w:rPr>
        <w:t>.</w:t>
      </w:r>
      <w:r>
        <w:rPr>
          <w:rFonts w:ascii="宋体" w:hAnsi="宋体"/>
          <w:color w:val="auto"/>
          <w:szCs w:val="21"/>
          <w:highlight w:val="none"/>
        </w:rPr>
        <w:t>同意并接受</w:t>
      </w:r>
      <w:r>
        <w:rPr>
          <w:rFonts w:hint="eastAsia" w:ascii="宋体" w:hAnsi="宋体"/>
          <w:color w:val="auto"/>
          <w:szCs w:val="21"/>
          <w:highlight w:val="none"/>
          <w:lang w:eastAsia="zh-CN"/>
        </w:rPr>
        <w:t>采购文件</w:t>
      </w:r>
      <w:r>
        <w:rPr>
          <w:rFonts w:ascii="宋体" w:hAnsi="宋体"/>
          <w:color w:val="auto"/>
          <w:szCs w:val="21"/>
          <w:highlight w:val="none"/>
        </w:rPr>
        <w:t>的各项要求，遵守</w:t>
      </w:r>
      <w:r>
        <w:rPr>
          <w:rFonts w:hint="eastAsia" w:ascii="宋体" w:hAnsi="宋体"/>
          <w:color w:val="auto"/>
          <w:szCs w:val="21"/>
          <w:highlight w:val="none"/>
          <w:lang w:eastAsia="zh-CN"/>
        </w:rPr>
        <w:t>采购文件</w:t>
      </w:r>
      <w:r>
        <w:rPr>
          <w:rFonts w:ascii="宋体" w:hAnsi="宋体"/>
          <w:color w:val="auto"/>
          <w:szCs w:val="21"/>
          <w:highlight w:val="none"/>
        </w:rPr>
        <w:t>中的各项规定，按</w:t>
      </w:r>
      <w:r>
        <w:rPr>
          <w:rFonts w:hint="eastAsia" w:ascii="宋体" w:hAnsi="宋体"/>
          <w:color w:val="auto"/>
          <w:szCs w:val="21"/>
          <w:highlight w:val="none"/>
          <w:lang w:eastAsia="zh-CN"/>
        </w:rPr>
        <w:t>采购文件</w:t>
      </w:r>
      <w:r>
        <w:rPr>
          <w:rFonts w:ascii="宋体" w:hAnsi="宋体"/>
          <w:color w:val="auto"/>
          <w:szCs w:val="21"/>
          <w:highlight w:val="none"/>
        </w:rPr>
        <w:t>的要求提供报价。</w:t>
      </w:r>
    </w:p>
    <w:p w14:paraId="31A9C643">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2</w:t>
      </w:r>
      <w:r>
        <w:rPr>
          <w:rFonts w:hint="eastAsia" w:ascii="宋体" w:hAnsi="宋体"/>
          <w:color w:val="auto"/>
          <w:szCs w:val="21"/>
          <w:highlight w:val="none"/>
        </w:rPr>
        <w:t>.</w:t>
      </w:r>
      <w:r>
        <w:rPr>
          <w:rFonts w:ascii="宋体" w:hAnsi="宋体"/>
          <w:color w:val="auto"/>
          <w:szCs w:val="21"/>
          <w:highlight w:val="none"/>
        </w:rPr>
        <w:t>我公司已经详细阅读了全部</w:t>
      </w:r>
      <w:r>
        <w:rPr>
          <w:rFonts w:hint="eastAsia" w:ascii="宋体" w:hAnsi="宋体"/>
          <w:color w:val="auto"/>
          <w:szCs w:val="21"/>
          <w:highlight w:val="none"/>
          <w:lang w:eastAsia="zh-CN"/>
        </w:rPr>
        <w:t>采购文件</w:t>
      </w:r>
      <w:r>
        <w:rPr>
          <w:rFonts w:ascii="宋体" w:hAnsi="宋体"/>
          <w:color w:val="auto"/>
          <w:szCs w:val="21"/>
          <w:highlight w:val="none"/>
        </w:rPr>
        <w:t>及其附件，我方已完全清晰理解</w:t>
      </w:r>
      <w:r>
        <w:rPr>
          <w:rFonts w:hint="eastAsia" w:ascii="宋体" w:hAnsi="宋体"/>
          <w:color w:val="auto"/>
          <w:szCs w:val="21"/>
          <w:highlight w:val="none"/>
          <w:lang w:eastAsia="zh-CN"/>
        </w:rPr>
        <w:t>采购文件</w:t>
      </w:r>
      <w:r>
        <w:rPr>
          <w:rFonts w:ascii="宋体" w:hAnsi="宋体"/>
          <w:color w:val="auto"/>
          <w:szCs w:val="21"/>
          <w:highlight w:val="none"/>
        </w:rPr>
        <w:t>的要求，不存在任何含糊不清和误解之处，同意放弃对这些文件所提出的异议和质疑的权利。</w:t>
      </w:r>
    </w:p>
    <w:p w14:paraId="3E7EF2BD">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3</w:t>
      </w:r>
      <w:r>
        <w:rPr>
          <w:rFonts w:hint="eastAsia" w:ascii="宋体" w:hAnsi="宋体"/>
          <w:color w:val="auto"/>
          <w:szCs w:val="21"/>
          <w:highlight w:val="none"/>
        </w:rPr>
        <w:t>.</w:t>
      </w:r>
      <w:r>
        <w:rPr>
          <w:rFonts w:ascii="宋体" w:hAnsi="宋体"/>
          <w:color w:val="auto"/>
          <w:szCs w:val="21"/>
          <w:highlight w:val="none"/>
        </w:rPr>
        <w:t>我公司已毫无保留地向贵方提供一切所需的证明材料。</w:t>
      </w:r>
    </w:p>
    <w:p w14:paraId="28B31890">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4</w:t>
      </w:r>
      <w:r>
        <w:rPr>
          <w:rFonts w:hint="eastAsia" w:ascii="宋体" w:hAnsi="宋体"/>
          <w:color w:val="auto"/>
          <w:szCs w:val="21"/>
          <w:highlight w:val="none"/>
        </w:rPr>
        <w:t>.</w:t>
      </w:r>
      <w:r>
        <w:rPr>
          <w:rFonts w:ascii="宋体" w:hAnsi="宋体"/>
          <w:color w:val="auto"/>
          <w:szCs w:val="21"/>
          <w:highlight w:val="none"/>
        </w:rPr>
        <w:t>我公司承诺在本次招标响应中提供的一切文件，无论是原件还是复印件均真实有效，绝无任何虚假、伪造和夸大的成份。否则，愿承担相应的后果和法律责任。</w:t>
      </w:r>
    </w:p>
    <w:p w14:paraId="5918FAB1">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5</w:t>
      </w:r>
      <w:r>
        <w:rPr>
          <w:rFonts w:hint="eastAsia" w:ascii="宋体" w:hAnsi="宋体"/>
          <w:color w:val="auto"/>
          <w:szCs w:val="21"/>
          <w:highlight w:val="none"/>
        </w:rPr>
        <w:t>.</w:t>
      </w:r>
      <w:r>
        <w:rPr>
          <w:rFonts w:ascii="宋体" w:hAnsi="宋体"/>
          <w:color w:val="auto"/>
          <w:szCs w:val="21"/>
          <w:highlight w:val="none"/>
        </w:rPr>
        <w:t>我公司尊重评标委员会所作的评定结果，同时清楚理解到报价最低并非意味着必定获得成交资格。</w:t>
      </w:r>
    </w:p>
    <w:p w14:paraId="05EF9EBA">
      <w:pPr>
        <w:snapToGrid w:val="0"/>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6</w:t>
      </w:r>
      <w:r>
        <w:rPr>
          <w:rFonts w:hint="eastAsia" w:ascii="宋体" w:hAnsi="宋体"/>
          <w:color w:val="auto"/>
          <w:szCs w:val="21"/>
          <w:highlight w:val="none"/>
        </w:rPr>
        <w:t>.</w:t>
      </w:r>
      <w:r>
        <w:rPr>
          <w:rFonts w:ascii="宋体" w:hAnsi="宋体"/>
          <w:color w:val="auto"/>
          <w:szCs w:val="21"/>
          <w:highlight w:val="none"/>
        </w:rPr>
        <w:t>一旦我方成交,我方承诺将根据项目服务要求与贵方签订项目服务协议书。</w:t>
      </w:r>
    </w:p>
    <w:p w14:paraId="0AC4B98D">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7</w:t>
      </w:r>
      <w:r>
        <w:rPr>
          <w:rFonts w:hint="eastAsia" w:ascii="宋体" w:hAnsi="宋体"/>
          <w:color w:val="auto"/>
          <w:szCs w:val="21"/>
          <w:highlight w:val="none"/>
        </w:rPr>
        <w:t>.</w:t>
      </w:r>
      <w:r>
        <w:rPr>
          <w:rFonts w:ascii="宋体" w:hAnsi="宋体"/>
          <w:color w:val="auto"/>
          <w:szCs w:val="21"/>
          <w:highlight w:val="none"/>
        </w:rPr>
        <w:t>一旦我方成交, 我方承诺在服务过程中，负责安排好各专业相关人员完成服务工作。</w:t>
      </w:r>
    </w:p>
    <w:p w14:paraId="356CF4C4">
      <w:pPr>
        <w:spacing w:line="360" w:lineRule="auto"/>
        <w:ind w:firstLine="420" w:firstLineChars="200"/>
        <w:rPr>
          <w:rFonts w:hint="eastAsia" w:ascii="宋体" w:hAnsi="宋体"/>
          <w:color w:val="auto"/>
          <w:szCs w:val="21"/>
          <w:highlight w:val="none"/>
        </w:rPr>
      </w:pPr>
      <w:r>
        <w:rPr>
          <w:rFonts w:ascii="宋体" w:hAnsi="宋体"/>
          <w:color w:val="auto"/>
          <w:szCs w:val="21"/>
          <w:highlight w:val="none"/>
        </w:rPr>
        <w:t>8</w:t>
      </w:r>
      <w:r>
        <w:rPr>
          <w:rFonts w:hint="eastAsia" w:ascii="宋体" w:hAnsi="宋体"/>
          <w:color w:val="auto"/>
          <w:szCs w:val="21"/>
          <w:highlight w:val="none"/>
        </w:rPr>
        <w:t>.</w:t>
      </w:r>
      <w:r>
        <w:rPr>
          <w:rFonts w:ascii="宋体" w:hAnsi="宋体"/>
          <w:color w:val="auto"/>
          <w:szCs w:val="21"/>
          <w:highlight w:val="none"/>
        </w:rPr>
        <w:t>一旦我方成交,我方将根据</w:t>
      </w:r>
      <w:r>
        <w:rPr>
          <w:rFonts w:hint="eastAsia" w:ascii="宋体" w:hAnsi="宋体"/>
          <w:color w:val="auto"/>
          <w:szCs w:val="21"/>
          <w:highlight w:val="none"/>
          <w:lang w:eastAsia="zh-CN"/>
        </w:rPr>
        <w:t>采购文件</w:t>
      </w:r>
      <w:r>
        <w:rPr>
          <w:rFonts w:ascii="宋体" w:hAnsi="宋体"/>
          <w:color w:val="auto"/>
          <w:szCs w:val="21"/>
          <w:highlight w:val="none"/>
        </w:rPr>
        <w:t>的要求和</w:t>
      </w:r>
      <w:r>
        <w:rPr>
          <w:rFonts w:hint="eastAsia" w:ascii="宋体" w:hAnsi="宋体"/>
          <w:color w:val="auto"/>
          <w:szCs w:val="21"/>
          <w:highlight w:val="none"/>
          <w:lang w:eastAsia="zh-CN"/>
        </w:rPr>
        <w:t>响应文件</w:t>
      </w:r>
      <w:r>
        <w:rPr>
          <w:rFonts w:ascii="宋体" w:hAnsi="宋体"/>
          <w:color w:val="auto"/>
          <w:szCs w:val="21"/>
          <w:highlight w:val="none"/>
        </w:rPr>
        <w:t>的承诺签订合同，严格履行合同的责任和义务,并保证在</w:t>
      </w:r>
      <w:r>
        <w:rPr>
          <w:rFonts w:hint="eastAsia" w:ascii="宋体" w:hAnsi="宋体"/>
          <w:color w:val="auto"/>
          <w:szCs w:val="21"/>
          <w:highlight w:val="none"/>
          <w:lang w:eastAsia="zh-CN"/>
        </w:rPr>
        <w:t>采购文件</w:t>
      </w:r>
      <w:r>
        <w:rPr>
          <w:rFonts w:ascii="宋体" w:hAnsi="宋体"/>
          <w:color w:val="auto"/>
          <w:szCs w:val="21"/>
          <w:highlight w:val="none"/>
        </w:rPr>
        <w:t>规定的时间完成项目，交付采购人验收、使用。</w:t>
      </w:r>
    </w:p>
    <w:p w14:paraId="7EEB9BBD">
      <w:pPr>
        <w:spacing w:line="360" w:lineRule="auto"/>
        <w:ind w:firstLine="420" w:firstLineChars="200"/>
        <w:rPr>
          <w:rFonts w:hint="eastAsia" w:ascii="宋体" w:hAnsi="宋体"/>
          <w:color w:val="auto"/>
          <w:szCs w:val="21"/>
          <w:highlight w:val="none"/>
        </w:rPr>
      </w:pPr>
    </w:p>
    <w:p w14:paraId="2FFA3AAC">
      <w:pPr>
        <w:spacing w:line="360" w:lineRule="auto"/>
        <w:ind w:firstLine="1680" w:firstLineChars="800"/>
        <w:rPr>
          <w:rFonts w:hint="eastAsia" w:ascii="宋体" w:hAnsi="宋体"/>
          <w:color w:val="auto"/>
          <w:szCs w:val="21"/>
          <w:highlight w:val="none"/>
        </w:rPr>
      </w:pPr>
      <w:r>
        <w:rPr>
          <w:rFonts w:hint="eastAsia" w:ascii="宋体" w:hAnsi="宋体"/>
          <w:color w:val="auto"/>
          <w:szCs w:val="21"/>
          <w:highlight w:val="none"/>
        </w:rPr>
        <w:t>投标供应商</w:t>
      </w:r>
      <w:r>
        <w:rPr>
          <w:rFonts w:ascii="宋体" w:hAnsi="宋体"/>
          <w:color w:val="auto"/>
          <w:szCs w:val="21"/>
          <w:highlight w:val="none"/>
        </w:rPr>
        <w:t>：（加盖公章）</w:t>
      </w:r>
    </w:p>
    <w:p w14:paraId="60CFDB2F">
      <w:pPr>
        <w:spacing w:line="360" w:lineRule="auto"/>
        <w:ind w:firstLine="1680" w:firstLineChars="800"/>
        <w:rPr>
          <w:rFonts w:hint="eastAsia" w:ascii="宋体" w:hAnsi="宋体"/>
          <w:color w:val="auto"/>
          <w:szCs w:val="21"/>
          <w:highlight w:val="none"/>
        </w:rPr>
      </w:pPr>
      <w:r>
        <w:rPr>
          <w:rFonts w:ascii="宋体" w:hAnsi="宋体"/>
          <w:color w:val="auto"/>
          <w:szCs w:val="21"/>
          <w:highlight w:val="none"/>
        </w:rPr>
        <w:t>法定代表人或被授权人：（签字或盖章）</w:t>
      </w:r>
    </w:p>
    <w:p w14:paraId="5510EC8B">
      <w:pPr>
        <w:spacing w:line="360" w:lineRule="auto"/>
        <w:ind w:firstLine="1680" w:firstLineChars="800"/>
        <w:rPr>
          <w:rFonts w:hint="eastAsia" w:ascii="宋体" w:hAnsi="宋体"/>
          <w:color w:val="auto"/>
          <w:szCs w:val="21"/>
          <w:highlight w:val="none"/>
        </w:rPr>
      </w:pPr>
      <w:r>
        <w:rPr>
          <w:rFonts w:hint="eastAsia" w:ascii="宋体" w:hAnsi="宋体"/>
          <w:color w:val="auto"/>
          <w:szCs w:val="21"/>
          <w:highlight w:val="none"/>
        </w:rPr>
        <w:t>年  月  日</w:t>
      </w:r>
    </w:p>
    <w:p w14:paraId="33EA7A76">
      <w:pPr>
        <w:snapToGrid w:val="0"/>
        <w:spacing w:line="360" w:lineRule="auto"/>
        <w:jc w:val="center"/>
        <w:rPr>
          <w:rFonts w:hint="eastAsia" w:ascii="宋体" w:hAnsi="宋体"/>
          <w:b/>
          <w:bCs/>
          <w:color w:val="auto"/>
          <w:sz w:val="28"/>
          <w:szCs w:val="28"/>
          <w:highlight w:val="none"/>
        </w:rPr>
      </w:pPr>
      <w:r>
        <w:rPr>
          <w:rFonts w:ascii="宋体" w:hAnsi="宋体"/>
          <w:b/>
          <w:bCs/>
          <w:color w:val="auto"/>
          <w:sz w:val="28"/>
          <w:szCs w:val="28"/>
          <w:highlight w:val="none"/>
        </w:rPr>
        <w:br w:type="page"/>
      </w:r>
      <w:r>
        <w:rPr>
          <w:rFonts w:hint="eastAsia" w:ascii="宋体" w:hAnsi="宋体"/>
          <w:b/>
          <w:bCs/>
          <w:color w:val="auto"/>
          <w:sz w:val="28"/>
          <w:szCs w:val="28"/>
          <w:highlight w:val="none"/>
        </w:rPr>
        <w:t>具有履行合同所必需的设备和专业技术能力的书面声明</w:t>
      </w:r>
    </w:p>
    <w:p w14:paraId="28EE5E1B">
      <w:pPr>
        <w:snapToGrid w:val="0"/>
        <w:spacing w:line="360" w:lineRule="auto"/>
        <w:textAlignment w:val="baseline"/>
        <w:rPr>
          <w:rFonts w:hint="eastAsia" w:ascii="宋体" w:hAnsi="宋体"/>
          <w:color w:val="auto"/>
          <w:szCs w:val="21"/>
          <w:highlight w:val="none"/>
        </w:rPr>
      </w:pPr>
      <w:r>
        <w:rPr>
          <w:rFonts w:hint="eastAsia" w:ascii="宋体" w:hAnsi="宋体" w:cs="微软雅黑"/>
          <w:color w:val="auto"/>
          <w:szCs w:val="21"/>
          <w:highlight w:val="none"/>
          <w:u w:val="single" w:color="000000"/>
        </w:rPr>
        <w:t>南通市崇川区城市工程建设管理中心</w:t>
      </w:r>
      <w:r>
        <w:rPr>
          <w:rFonts w:hint="eastAsia" w:ascii="宋体" w:hAnsi="宋体" w:cs="宋体"/>
          <w:color w:val="auto"/>
          <w:szCs w:val="21"/>
          <w:highlight w:val="none"/>
        </w:rPr>
        <w:t xml:space="preserve">： </w:t>
      </w:r>
    </w:p>
    <w:p w14:paraId="0C2AC763">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我单位</w:t>
      </w:r>
      <w:r>
        <w:rPr>
          <w:rFonts w:hint="eastAsia" w:ascii="宋体" w:hAnsi="宋体"/>
          <w:color w:val="auto"/>
          <w:szCs w:val="21"/>
          <w:highlight w:val="none"/>
          <w:u w:val="single"/>
        </w:rPr>
        <w:t xml:space="preserve">        （投标供应商名称）</w:t>
      </w:r>
      <w:r>
        <w:rPr>
          <w:rFonts w:hint="eastAsia" w:ascii="宋体" w:hAnsi="宋体"/>
          <w:color w:val="auto"/>
          <w:szCs w:val="21"/>
          <w:highlight w:val="none"/>
        </w:rPr>
        <w:t>郑重声明：</w:t>
      </w:r>
    </w:p>
    <w:p w14:paraId="151288DF">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我公司在完全理解本项目的技术要求、商务条款及其他内容后，决定参与该项目的投标活动，并声明，如成交，我公司将提供足够的设备和专业技术能力保证合同履行。质量和服务均满足</w:t>
      </w:r>
      <w:r>
        <w:rPr>
          <w:rFonts w:hint="eastAsia" w:ascii="宋体" w:hAnsi="宋体"/>
          <w:color w:val="auto"/>
          <w:szCs w:val="21"/>
          <w:highlight w:val="none"/>
          <w:lang w:eastAsia="zh-CN"/>
        </w:rPr>
        <w:t>采购文件</w:t>
      </w:r>
      <w:r>
        <w:rPr>
          <w:rFonts w:hint="eastAsia" w:ascii="宋体" w:hAnsi="宋体"/>
          <w:color w:val="auto"/>
          <w:szCs w:val="21"/>
          <w:highlight w:val="none"/>
        </w:rPr>
        <w:t>中的要求。</w:t>
      </w:r>
    </w:p>
    <w:p w14:paraId="2614A84E">
      <w:pPr>
        <w:spacing w:line="360" w:lineRule="auto"/>
        <w:ind w:firstLine="420" w:firstLineChars="200"/>
        <w:rPr>
          <w:rFonts w:hint="eastAsia" w:ascii="宋体" w:hAnsi="宋体"/>
          <w:color w:val="auto"/>
          <w:szCs w:val="21"/>
          <w:highlight w:val="none"/>
        </w:rPr>
      </w:pPr>
      <w:r>
        <w:rPr>
          <w:rFonts w:hint="eastAsia" w:ascii="宋体" w:hAnsi="宋体"/>
          <w:color w:val="auto"/>
          <w:szCs w:val="21"/>
          <w:highlight w:val="none"/>
        </w:rPr>
        <w:t>本公司对上述声明的真实性负责。如有虚假，我公司同意按我方合同违约处理，并依法承担相应法律责任。</w:t>
      </w:r>
    </w:p>
    <w:p w14:paraId="4D3A4D3C">
      <w:pPr>
        <w:spacing w:line="360" w:lineRule="auto"/>
        <w:ind w:firstLine="420" w:firstLineChars="200"/>
        <w:rPr>
          <w:rFonts w:hint="eastAsia" w:ascii="宋体" w:hAnsi="宋体"/>
          <w:color w:val="auto"/>
          <w:szCs w:val="21"/>
          <w:highlight w:val="none"/>
        </w:rPr>
      </w:pPr>
    </w:p>
    <w:p w14:paraId="346CE0A3">
      <w:pPr>
        <w:spacing w:line="360" w:lineRule="auto"/>
        <w:ind w:firstLine="420" w:firstLineChars="200"/>
        <w:rPr>
          <w:rFonts w:hint="eastAsia" w:ascii="宋体" w:hAnsi="宋体"/>
          <w:color w:val="auto"/>
          <w:szCs w:val="21"/>
          <w:highlight w:val="none"/>
        </w:rPr>
      </w:pPr>
    </w:p>
    <w:p w14:paraId="70C387DB">
      <w:pPr>
        <w:spacing w:line="360" w:lineRule="auto"/>
        <w:ind w:firstLine="420" w:firstLineChars="200"/>
        <w:rPr>
          <w:rFonts w:hint="eastAsia" w:ascii="宋体" w:hAnsi="宋体"/>
          <w:color w:val="auto"/>
          <w:szCs w:val="21"/>
          <w:highlight w:val="none"/>
        </w:rPr>
      </w:pPr>
    </w:p>
    <w:p w14:paraId="0320523C">
      <w:pPr>
        <w:spacing w:line="360" w:lineRule="auto"/>
        <w:ind w:firstLine="5880" w:firstLineChars="2800"/>
        <w:rPr>
          <w:rFonts w:hint="eastAsia" w:ascii="宋体" w:hAnsi="宋体"/>
          <w:color w:val="auto"/>
          <w:szCs w:val="21"/>
          <w:highlight w:val="none"/>
        </w:rPr>
      </w:pPr>
      <w:r>
        <w:rPr>
          <w:rFonts w:ascii="宋体" w:hAnsi="宋体"/>
          <w:color w:val="auto"/>
          <w:szCs w:val="21"/>
          <w:highlight w:val="none"/>
        </w:rPr>
        <w:t>声明人：（公章）</w:t>
      </w:r>
    </w:p>
    <w:p w14:paraId="3AA64A44">
      <w:pPr>
        <w:spacing w:line="360" w:lineRule="auto"/>
        <w:jc w:val="center"/>
        <w:rPr>
          <w:rFonts w:hint="eastAsia" w:ascii="宋体" w:hAnsi="宋体"/>
          <w:color w:val="auto"/>
          <w:szCs w:val="21"/>
          <w:highlight w:val="none"/>
        </w:rPr>
      </w:pPr>
      <w:r>
        <w:rPr>
          <w:rFonts w:ascii="宋体" w:hAnsi="宋体"/>
          <w:color w:val="auto"/>
          <w:szCs w:val="21"/>
          <w:highlight w:val="none"/>
        </w:rPr>
        <w:t xml:space="preserve">                              </w:t>
      </w:r>
      <w:r>
        <w:rPr>
          <w:rFonts w:hint="eastAsia" w:ascii="宋体" w:hAnsi="宋体"/>
          <w:color w:val="auto"/>
          <w:szCs w:val="21"/>
          <w:highlight w:val="none"/>
        </w:rPr>
        <w:t>日期</w:t>
      </w:r>
      <w:r>
        <w:rPr>
          <w:rFonts w:ascii="宋体" w:hAnsi="宋体"/>
          <w:color w:val="auto"/>
          <w:szCs w:val="21"/>
          <w:highlight w:val="none"/>
        </w:rPr>
        <w:t>：</w:t>
      </w:r>
    </w:p>
    <w:p w14:paraId="6216F4F3">
      <w:pPr>
        <w:snapToGrid w:val="0"/>
        <w:spacing w:line="360" w:lineRule="auto"/>
        <w:jc w:val="center"/>
        <w:outlineLvl w:val="4"/>
        <w:rPr>
          <w:rFonts w:hint="eastAsia" w:ascii="宋体" w:hAnsi="宋体"/>
          <w:b/>
          <w:bCs/>
          <w:color w:val="auto"/>
          <w:highlight w:val="none"/>
        </w:rPr>
      </w:pPr>
    </w:p>
    <w:p w14:paraId="61E83ADD">
      <w:pPr>
        <w:spacing w:line="360" w:lineRule="auto"/>
        <w:jc w:val="center"/>
        <w:rPr>
          <w:rFonts w:hint="eastAsia" w:ascii="宋体" w:hAnsi="宋体"/>
          <w:b/>
          <w:bCs/>
          <w:color w:val="auto"/>
          <w:sz w:val="28"/>
          <w:szCs w:val="28"/>
          <w:highlight w:val="none"/>
        </w:rPr>
      </w:pPr>
      <w:r>
        <w:rPr>
          <w:rFonts w:hint="eastAsia" w:ascii="宋体" w:hAnsi="宋体"/>
          <w:b/>
          <w:bCs/>
          <w:color w:val="auto"/>
          <w:sz w:val="28"/>
          <w:szCs w:val="28"/>
          <w:highlight w:val="none"/>
        </w:rPr>
        <w:br w:type="page"/>
      </w:r>
      <w:r>
        <w:rPr>
          <w:rFonts w:ascii="宋体" w:hAnsi="宋体"/>
          <w:b/>
          <w:bCs/>
          <w:color w:val="auto"/>
          <w:sz w:val="28"/>
          <w:szCs w:val="28"/>
          <w:highlight w:val="none"/>
        </w:rPr>
        <w:t>无重大违法记录声明</w:t>
      </w:r>
    </w:p>
    <w:p w14:paraId="48F9B4DB">
      <w:pPr>
        <w:spacing w:line="360" w:lineRule="auto"/>
        <w:jc w:val="left"/>
        <w:rPr>
          <w:rFonts w:hint="eastAsia" w:ascii="宋体" w:hAnsi="宋体"/>
          <w:b/>
          <w:bCs/>
          <w:color w:val="auto"/>
          <w:szCs w:val="21"/>
          <w:highlight w:val="none"/>
        </w:rPr>
      </w:pPr>
      <w:r>
        <w:rPr>
          <w:rFonts w:hint="eastAsia" w:ascii="宋体" w:hAnsi="宋体"/>
          <w:color w:val="auto"/>
          <w:szCs w:val="21"/>
          <w:highlight w:val="none"/>
          <w:u w:val="single"/>
        </w:rPr>
        <w:t>南通市崇川区城市工程建设管理中心</w:t>
      </w:r>
      <w:r>
        <w:rPr>
          <w:rFonts w:hint="eastAsia" w:ascii="宋体" w:hAnsi="宋体"/>
          <w:color w:val="auto"/>
          <w:szCs w:val="21"/>
          <w:highlight w:val="none"/>
        </w:rPr>
        <w:t>：</w:t>
      </w:r>
    </w:p>
    <w:p w14:paraId="43D266D8">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我单位</w:t>
      </w:r>
      <w:r>
        <w:rPr>
          <w:rFonts w:ascii="宋体" w:hAnsi="宋体"/>
          <w:color w:val="auto"/>
          <w:szCs w:val="21"/>
          <w:highlight w:val="none"/>
          <w:u w:val="single"/>
        </w:rPr>
        <w:t xml:space="preserve">                  </w:t>
      </w:r>
      <w:r>
        <w:rPr>
          <w:rFonts w:ascii="宋体" w:hAnsi="宋体"/>
          <w:color w:val="auto"/>
          <w:szCs w:val="21"/>
          <w:highlight w:val="none"/>
        </w:rPr>
        <w:t>（</w:t>
      </w:r>
      <w:r>
        <w:rPr>
          <w:rFonts w:hint="eastAsia" w:ascii="宋体" w:hAnsi="宋体"/>
          <w:color w:val="auto"/>
          <w:szCs w:val="21"/>
          <w:highlight w:val="none"/>
        </w:rPr>
        <w:t>投标供应商</w:t>
      </w:r>
      <w:r>
        <w:rPr>
          <w:rFonts w:ascii="宋体" w:hAnsi="宋体"/>
          <w:color w:val="auto"/>
          <w:szCs w:val="21"/>
          <w:highlight w:val="none"/>
        </w:rPr>
        <w:t>名称）郑重声明：</w:t>
      </w:r>
    </w:p>
    <w:p w14:paraId="3BB92515">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参加政府采购活动前3年内在经营活动中</w:t>
      </w:r>
      <w:r>
        <w:rPr>
          <w:rFonts w:ascii="宋体" w:hAnsi="宋体"/>
          <w:color w:val="auto"/>
          <w:szCs w:val="21"/>
          <w:highlight w:val="none"/>
          <w:u w:val="single"/>
        </w:rPr>
        <w:t xml:space="preserve">        </w:t>
      </w:r>
      <w:r>
        <w:rPr>
          <w:rFonts w:ascii="宋体" w:hAnsi="宋体"/>
          <w:color w:val="auto"/>
          <w:szCs w:val="21"/>
          <w:highlight w:val="none"/>
        </w:rPr>
        <w:t>（在下划线上如实填写：有或没有）重大违法记录。</w:t>
      </w:r>
    </w:p>
    <w:p w14:paraId="3DB9D92D">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 xml:space="preserve"> （说明：政府采购法第二十二条第一款第五项所称重大违法记录，是指</w:t>
      </w:r>
      <w:r>
        <w:rPr>
          <w:rFonts w:hint="eastAsia" w:ascii="宋体" w:hAnsi="宋体"/>
          <w:color w:val="auto"/>
          <w:szCs w:val="21"/>
          <w:highlight w:val="none"/>
        </w:rPr>
        <w:t>投标供应商</w:t>
      </w:r>
      <w:r>
        <w:rPr>
          <w:rFonts w:ascii="宋体" w:hAnsi="宋体"/>
          <w:color w:val="auto"/>
          <w:szCs w:val="21"/>
          <w:highlight w:val="none"/>
        </w:rPr>
        <w:t>因违法经营受到刑事处罚或者责令停产停业、吊销许可证或者执照、较大数额罚款等行政处罚。）</w:t>
      </w:r>
    </w:p>
    <w:p w14:paraId="30B25E8D">
      <w:pPr>
        <w:pStyle w:val="23"/>
        <w:spacing w:line="360" w:lineRule="auto"/>
        <w:ind w:firstLine="210"/>
        <w:rPr>
          <w:rFonts w:hint="eastAsia" w:ascii="宋体" w:eastAsia="宋体"/>
          <w:color w:val="auto"/>
          <w:sz w:val="21"/>
          <w:szCs w:val="21"/>
          <w:highlight w:val="none"/>
        </w:rPr>
      </w:pPr>
    </w:p>
    <w:p w14:paraId="1C02F86D">
      <w:pPr>
        <w:pStyle w:val="23"/>
        <w:spacing w:line="360" w:lineRule="auto"/>
        <w:ind w:firstLine="210"/>
        <w:rPr>
          <w:rFonts w:hint="eastAsia" w:ascii="宋体" w:eastAsia="宋体"/>
          <w:color w:val="auto"/>
          <w:sz w:val="21"/>
          <w:szCs w:val="21"/>
          <w:highlight w:val="none"/>
        </w:rPr>
      </w:pPr>
    </w:p>
    <w:p w14:paraId="10CA651B">
      <w:pPr>
        <w:spacing w:line="360" w:lineRule="auto"/>
        <w:jc w:val="right"/>
        <w:rPr>
          <w:rFonts w:hint="eastAsia" w:ascii="宋体" w:hAnsi="宋体"/>
          <w:color w:val="auto"/>
          <w:szCs w:val="21"/>
          <w:highlight w:val="none"/>
        </w:rPr>
      </w:pPr>
      <w:r>
        <w:rPr>
          <w:rFonts w:ascii="宋体" w:hAnsi="宋体"/>
          <w:b/>
          <w:color w:val="auto"/>
          <w:szCs w:val="21"/>
          <w:highlight w:val="none"/>
        </w:rPr>
        <w:t xml:space="preserve">                                       </w:t>
      </w:r>
      <w:r>
        <w:rPr>
          <w:rFonts w:ascii="宋体" w:hAnsi="宋体"/>
          <w:color w:val="auto"/>
          <w:szCs w:val="21"/>
          <w:highlight w:val="none"/>
        </w:rPr>
        <w:t>声明人：（公章）</w:t>
      </w:r>
    </w:p>
    <w:p w14:paraId="2310A5E3">
      <w:pPr>
        <w:spacing w:line="360" w:lineRule="auto"/>
        <w:ind w:right="420" w:firstLine="7770" w:firstLineChars="3700"/>
        <w:rPr>
          <w:rFonts w:hint="eastAsia" w:ascii="宋体" w:hAnsi="宋体"/>
          <w:color w:val="auto"/>
          <w:szCs w:val="21"/>
          <w:highlight w:val="none"/>
        </w:rPr>
      </w:pPr>
      <w:r>
        <w:rPr>
          <w:rFonts w:hint="eastAsia" w:ascii="宋体" w:hAnsi="宋体"/>
          <w:color w:val="auto"/>
          <w:szCs w:val="21"/>
          <w:highlight w:val="none"/>
        </w:rPr>
        <w:t>日期</w:t>
      </w:r>
      <w:r>
        <w:rPr>
          <w:rFonts w:ascii="宋体" w:hAnsi="宋体"/>
          <w:color w:val="auto"/>
          <w:szCs w:val="21"/>
          <w:highlight w:val="none"/>
        </w:rPr>
        <w:t xml:space="preserve">： </w:t>
      </w:r>
    </w:p>
    <w:p w14:paraId="2804538E">
      <w:pPr>
        <w:snapToGrid w:val="0"/>
        <w:spacing w:line="360" w:lineRule="auto"/>
        <w:jc w:val="center"/>
        <w:outlineLvl w:val="4"/>
        <w:rPr>
          <w:rFonts w:hint="eastAsia" w:ascii="宋体" w:hAnsi="宋体"/>
          <w:b/>
          <w:bCs/>
          <w:color w:val="auto"/>
          <w:highlight w:val="none"/>
        </w:rPr>
      </w:pPr>
    </w:p>
    <w:p w14:paraId="3F8EB8DD">
      <w:pPr>
        <w:snapToGrid w:val="0"/>
        <w:spacing w:line="360" w:lineRule="auto"/>
        <w:jc w:val="center"/>
        <w:outlineLvl w:val="4"/>
        <w:rPr>
          <w:rFonts w:hint="eastAsia" w:ascii="宋体" w:hAnsi="宋体"/>
          <w:b/>
          <w:bCs/>
          <w:color w:val="auto"/>
          <w:highlight w:val="none"/>
        </w:rPr>
      </w:pPr>
    </w:p>
    <w:p w14:paraId="1E7C4E49">
      <w:pPr>
        <w:pStyle w:val="12"/>
        <w:spacing w:line="360" w:lineRule="auto"/>
        <w:rPr>
          <w:rFonts w:hint="eastAsia" w:ascii="宋体" w:eastAsia="宋体"/>
          <w:color w:val="auto"/>
          <w:highlight w:val="none"/>
        </w:rPr>
      </w:pPr>
    </w:p>
    <w:p w14:paraId="3E753789">
      <w:pPr>
        <w:snapToGrid w:val="0"/>
        <w:spacing w:line="360" w:lineRule="auto"/>
        <w:jc w:val="center"/>
        <w:rPr>
          <w:rFonts w:hint="eastAsia" w:ascii="宋体" w:hAnsi="宋体" w:cs="宋体"/>
          <w:b/>
          <w:bCs/>
          <w:color w:val="auto"/>
          <w:sz w:val="28"/>
          <w:szCs w:val="28"/>
          <w:highlight w:val="none"/>
        </w:rPr>
      </w:pPr>
      <w:r>
        <w:rPr>
          <w:rFonts w:hint="eastAsia" w:ascii="宋体" w:hAnsi="宋体" w:cs="宋体"/>
          <w:b/>
          <w:bCs/>
          <w:color w:val="auto"/>
          <w:sz w:val="28"/>
          <w:szCs w:val="28"/>
          <w:highlight w:val="none"/>
        </w:rPr>
        <w:br w:type="page"/>
      </w:r>
      <w:r>
        <w:rPr>
          <w:rFonts w:hint="eastAsia" w:ascii="宋体" w:hAnsi="宋体" w:cs="宋体"/>
          <w:b/>
          <w:bCs/>
          <w:color w:val="auto"/>
          <w:sz w:val="28"/>
          <w:szCs w:val="28"/>
          <w:highlight w:val="none"/>
        </w:rPr>
        <w:t>关于资格文件的声明函</w:t>
      </w:r>
    </w:p>
    <w:p w14:paraId="19D42BC1">
      <w:pPr>
        <w:pStyle w:val="10"/>
        <w:overflowPunct w:val="0"/>
        <w:spacing w:line="360" w:lineRule="auto"/>
        <w:ind w:firstLine="0" w:firstLineChars="0"/>
        <w:rPr>
          <w:rFonts w:hint="eastAsia" w:ascii="宋体" w:hAnsi="宋体" w:cs="宋体"/>
          <w:color w:val="auto"/>
          <w:sz w:val="21"/>
          <w:szCs w:val="21"/>
          <w:highlight w:val="none"/>
        </w:rPr>
      </w:pPr>
      <w:r>
        <w:rPr>
          <w:rFonts w:hint="eastAsia" w:ascii="宋体" w:hAnsi="宋体" w:cs="宋体"/>
          <w:color w:val="auto"/>
          <w:sz w:val="21"/>
          <w:szCs w:val="21"/>
          <w:highlight w:val="none"/>
          <w:u w:val="single"/>
        </w:rPr>
        <w:t>南通市崇川区城市工程建设管理中心</w:t>
      </w:r>
      <w:r>
        <w:rPr>
          <w:rFonts w:hint="eastAsia" w:ascii="宋体" w:hAnsi="宋体" w:cs="宋体"/>
          <w:color w:val="auto"/>
          <w:sz w:val="21"/>
          <w:szCs w:val="21"/>
          <w:highlight w:val="none"/>
        </w:rPr>
        <w:t>：</w:t>
      </w:r>
    </w:p>
    <w:p w14:paraId="1EB87370">
      <w:pPr>
        <w:pStyle w:val="10"/>
        <w:overflowPunct w:val="0"/>
        <w:spacing w:line="360" w:lineRule="auto"/>
        <w:rPr>
          <w:rFonts w:hint="eastAsia" w:ascii="宋体" w:hAnsi="宋体" w:cs="宋体"/>
          <w:color w:val="auto"/>
          <w:sz w:val="21"/>
          <w:szCs w:val="21"/>
          <w:highlight w:val="none"/>
        </w:rPr>
      </w:pPr>
      <w:r>
        <w:rPr>
          <w:rFonts w:hint="eastAsia" w:ascii="宋体" w:hAnsi="宋体" w:cs="宋体"/>
          <w:color w:val="auto"/>
          <w:sz w:val="21"/>
          <w:szCs w:val="21"/>
          <w:highlight w:val="none"/>
        </w:rPr>
        <w:t>本公司愿就由贵单位组织实施的</w:t>
      </w:r>
      <w:r>
        <w:rPr>
          <w:rFonts w:hint="eastAsia" w:ascii="宋体" w:hAnsi="宋体" w:cs="宋体"/>
          <w:color w:val="auto"/>
          <w:sz w:val="21"/>
          <w:szCs w:val="21"/>
          <w:highlight w:val="none"/>
          <w:u w:val="single"/>
        </w:rPr>
        <w:t xml:space="preserve">            </w:t>
      </w:r>
      <w:r>
        <w:rPr>
          <w:rFonts w:hint="eastAsia" w:ascii="宋体" w:hAnsi="宋体" w:cs="宋体"/>
          <w:color w:val="auto"/>
          <w:sz w:val="21"/>
          <w:szCs w:val="21"/>
          <w:highlight w:val="none"/>
        </w:rPr>
        <w:t>（招标项目名称)招标活动进行投标。本公司所提交的</w:t>
      </w:r>
      <w:r>
        <w:rPr>
          <w:rFonts w:hint="eastAsia" w:ascii="宋体" w:hAnsi="宋体" w:cs="宋体"/>
          <w:color w:val="auto"/>
          <w:sz w:val="21"/>
          <w:szCs w:val="21"/>
          <w:highlight w:val="none"/>
          <w:lang w:eastAsia="zh-CN"/>
        </w:rPr>
        <w:t>响应文件</w:t>
      </w:r>
      <w:r>
        <w:rPr>
          <w:rFonts w:hint="eastAsia" w:ascii="宋体" w:hAnsi="宋体" w:cs="宋体"/>
          <w:color w:val="auto"/>
          <w:sz w:val="21"/>
          <w:szCs w:val="21"/>
          <w:highlight w:val="none"/>
        </w:rPr>
        <w:t>中所有关于投标资格的文件、证明和陈述均是真实的、准确的。若与真实情况不符，本公司愿意承担由此而产生的一切后果。</w:t>
      </w:r>
    </w:p>
    <w:p w14:paraId="67F4F5C4">
      <w:pPr>
        <w:pStyle w:val="10"/>
        <w:overflowPunct w:val="0"/>
        <w:spacing w:line="360" w:lineRule="auto"/>
        <w:rPr>
          <w:rFonts w:hint="eastAsia" w:ascii="宋体" w:hAnsi="宋体" w:cs="宋体"/>
          <w:color w:val="auto"/>
          <w:sz w:val="21"/>
          <w:szCs w:val="21"/>
          <w:highlight w:val="none"/>
        </w:rPr>
      </w:pPr>
    </w:p>
    <w:p w14:paraId="365EF4C7">
      <w:pPr>
        <w:pStyle w:val="10"/>
        <w:overflowPunct w:val="0"/>
        <w:spacing w:line="360" w:lineRule="auto"/>
        <w:rPr>
          <w:rFonts w:hint="eastAsia" w:ascii="宋体" w:hAnsi="宋体" w:cs="宋体"/>
          <w:color w:val="auto"/>
          <w:sz w:val="21"/>
          <w:szCs w:val="21"/>
          <w:highlight w:val="none"/>
        </w:rPr>
      </w:pPr>
    </w:p>
    <w:p w14:paraId="02BF05AD">
      <w:pPr>
        <w:pStyle w:val="10"/>
        <w:overflowPunct w:val="0"/>
        <w:spacing w:line="360" w:lineRule="auto"/>
        <w:rPr>
          <w:rFonts w:hint="eastAsia" w:ascii="宋体" w:hAnsi="宋体" w:cs="宋体"/>
          <w:color w:val="auto"/>
          <w:sz w:val="21"/>
          <w:szCs w:val="21"/>
          <w:highlight w:val="none"/>
        </w:rPr>
      </w:pPr>
    </w:p>
    <w:p w14:paraId="2CAFF82D">
      <w:pPr>
        <w:snapToGrid w:val="0"/>
        <w:spacing w:line="360" w:lineRule="auto"/>
        <w:ind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 xml:space="preserve"> </w:t>
      </w:r>
      <w:r>
        <w:rPr>
          <w:rFonts w:hint="eastAsia" w:ascii="宋体" w:hAnsi="宋体" w:cs="宋体"/>
          <w:color w:val="auto"/>
          <w:szCs w:val="21"/>
          <w:highlight w:val="none"/>
        </w:rPr>
        <w:tab/>
      </w:r>
      <w:r>
        <w:rPr>
          <w:rFonts w:hint="eastAsia" w:ascii="宋体" w:hAnsi="宋体" w:cs="宋体"/>
          <w:color w:val="auto"/>
          <w:szCs w:val="21"/>
          <w:highlight w:val="none"/>
        </w:rPr>
        <w:tab/>
      </w:r>
      <w:r>
        <w:rPr>
          <w:rFonts w:hint="eastAsia" w:ascii="宋体" w:hAnsi="宋体" w:cs="宋体"/>
          <w:color w:val="auto"/>
          <w:szCs w:val="21"/>
          <w:highlight w:val="none"/>
        </w:rPr>
        <w:tab/>
      </w:r>
    </w:p>
    <w:p w14:paraId="4BD782D0">
      <w:pPr>
        <w:snapToGrid w:val="0"/>
        <w:spacing w:line="360" w:lineRule="auto"/>
        <w:ind w:right="210"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投标供应商：（加盖公章）</w:t>
      </w:r>
    </w:p>
    <w:p w14:paraId="317999CA">
      <w:pPr>
        <w:snapToGrid w:val="0"/>
        <w:spacing w:line="360" w:lineRule="auto"/>
        <w:ind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法定代表人或被授权人：（签字或盖章）</w:t>
      </w:r>
    </w:p>
    <w:p w14:paraId="424EDB27">
      <w:pPr>
        <w:snapToGrid w:val="0"/>
        <w:spacing w:line="360" w:lineRule="auto"/>
        <w:ind w:right="420" w:firstLine="7140" w:firstLineChars="3400"/>
        <w:rPr>
          <w:rFonts w:hint="eastAsia" w:ascii="宋体" w:hAnsi="宋体" w:cs="宋体"/>
          <w:color w:val="auto"/>
          <w:szCs w:val="21"/>
          <w:highlight w:val="none"/>
        </w:rPr>
      </w:pPr>
      <w:r>
        <w:rPr>
          <w:rFonts w:hint="eastAsia" w:ascii="宋体" w:hAnsi="宋体" w:cs="宋体"/>
          <w:color w:val="auto"/>
          <w:szCs w:val="21"/>
          <w:highlight w:val="none"/>
        </w:rPr>
        <w:t>日期</w:t>
      </w:r>
      <w:r>
        <w:rPr>
          <w:rFonts w:ascii="宋体" w:hAnsi="宋体" w:cs="宋体"/>
          <w:color w:val="auto"/>
          <w:szCs w:val="21"/>
          <w:highlight w:val="none"/>
        </w:rPr>
        <w:t>：</w:t>
      </w:r>
    </w:p>
    <w:p w14:paraId="56212D6A">
      <w:pPr>
        <w:wordWrap w:val="0"/>
        <w:overflowPunct w:val="0"/>
        <w:adjustRightInd w:val="0"/>
        <w:spacing w:line="360" w:lineRule="auto"/>
        <w:jc w:val="center"/>
        <w:textAlignment w:val="baseline"/>
        <w:rPr>
          <w:rFonts w:hint="eastAsia" w:ascii="宋体" w:hAnsi="宋体"/>
          <w:color w:val="auto"/>
          <w:highlight w:val="none"/>
        </w:rPr>
      </w:pPr>
      <w:r>
        <w:rPr>
          <w:rFonts w:hint="eastAsia" w:ascii="宋体" w:hAnsi="宋体" w:cs="宋体"/>
          <w:color w:val="auto"/>
          <w:sz w:val="24"/>
          <w:highlight w:val="none"/>
        </w:rPr>
        <w:br w:type="page"/>
      </w:r>
      <w:r>
        <w:rPr>
          <w:rFonts w:hint="eastAsia" w:ascii="宋体" w:hAnsi="宋体" w:cs="宋体"/>
          <w:b/>
          <w:bCs/>
          <w:color w:val="auto"/>
          <w:sz w:val="28"/>
          <w:szCs w:val="28"/>
          <w:highlight w:val="none"/>
        </w:rPr>
        <w:t>技术条款响应一览表</w:t>
      </w:r>
    </w:p>
    <w:p w14:paraId="16C30343">
      <w:pPr>
        <w:snapToGrid w:val="0"/>
        <w:spacing w:line="360" w:lineRule="auto"/>
        <w:jc w:val="left"/>
        <w:rPr>
          <w:rFonts w:hint="eastAsia" w:ascii="宋体" w:hAnsi="宋体" w:cs="宋体"/>
          <w:b/>
          <w:bCs/>
          <w:color w:val="auto"/>
          <w:szCs w:val="21"/>
          <w:highlight w:val="none"/>
        </w:rPr>
      </w:pPr>
      <w:r>
        <w:rPr>
          <w:rFonts w:hint="eastAsia" w:ascii="宋体" w:hAnsi="宋体" w:cs="宋体"/>
          <w:color w:val="auto"/>
          <w:szCs w:val="21"/>
          <w:highlight w:val="none"/>
        </w:rPr>
        <w:t>项目名称：</w:t>
      </w:r>
      <w:r>
        <w:rPr>
          <w:rFonts w:hint="eastAsia" w:ascii="宋体" w:hAnsi="宋体"/>
          <w:color w:val="auto"/>
          <w:szCs w:val="21"/>
          <w:highlight w:val="none"/>
          <w:u w:val="single"/>
        </w:rPr>
        <w:t xml:space="preserve">                             </w:t>
      </w:r>
    </w:p>
    <w:tbl>
      <w:tblPr>
        <w:tblStyle w:val="2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3"/>
        <w:gridCol w:w="4360"/>
        <w:gridCol w:w="2549"/>
        <w:gridCol w:w="1891"/>
      </w:tblGrid>
      <w:tr w14:paraId="6AF08B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exact"/>
          <w:jc w:val="center"/>
        </w:trPr>
        <w:tc>
          <w:tcPr>
            <w:tcW w:w="743" w:type="dxa"/>
            <w:tcBorders>
              <w:top w:val="single" w:color="auto" w:sz="8" w:space="0"/>
              <w:left w:val="single" w:color="auto" w:sz="8" w:space="0"/>
              <w:bottom w:val="single" w:color="auto" w:sz="8" w:space="0"/>
              <w:right w:val="single" w:color="auto" w:sz="4" w:space="0"/>
            </w:tcBorders>
            <w:vAlign w:val="center"/>
          </w:tcPr>
          <w:p w14:paraId="689064F0">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4360" w:type="dxa"/>
            <w:tcBorders>
              <w:top w:val="single" w:color="auto" w:sz="8" w:space="0"/>
              <w:left w:val="single" w:color="auto" w:sz="4" w:space="0"/>
              <w:bottom w:val="single" w:color="auto" w:sz="8" w:space="0"/>
              <w:right w:val="single" w:color="auto" w:sz="4" w:space="0"/>
            </w:tcBorders>
            <w:vAlign w:val="center"/>
          </w:tcPr>
          <w:p w14:paraId="0E199919">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要求</w:t>
            </w:r>
          </w:p>
        </w:tc>
        <w:tc>
          <w:tcPr>
            <w:tcW w:w="2549" w:type="dxa"/>
            <w:tcBorders>
              <w:top w:val="single" w:color="auto" w:sz="8" w:space="0"/>
              <w:left w:val="single" w:color="auto" w:sz="4" w:space="0"/>
              <w:bottom w:val="single" w:color="auto" w:sz="8" w:space="0"/>
              <w:right w:val="single" w:color="auto" w:sz="4" w:space="0"/>
            </w:tcBorders>
            <w:vAlign w:val="center"/>
          </w:tcPr>
          <w:p w14:paraId="20C6155C">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偏离/响应</w:t>
            </w:r>
          </w:p>
        </w:tc>
        <w:tc>
          <w:tcPr>
            <w:tcW w:w="1891" w:type="dxa"/>
            <w:tcBorders>
              <w:top w:val="single" w:color="auto" w:sz="8" w:space="0"/>
              <w:left w:val="single" w:color="auto" w:sz="4" w:space="0"/>
              <w:bottom w:val="single" w:color="auto" w:sz="8" w:space="0"/>
              <w:right w:val="single" w:color="auto" w:sz="8" w:space="0"/>
            </w:tcBorders>
            <w:vAlign w:val="center"/>
          </w:tcPr>
          <w:p w14:paraId="7D2A4AC8">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说明</w:t>
            </w:r>
          </w:p>
        </w:tc>
      </w:tr>
      <w:tr w14:paraId="1223B6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exact"/>
          <w:jc w:val="center"/>
        </w:trPr>
        <w:tc>
          <w:tcPr>
            <w:tcW w:w="743" w:type="dxa"/>
            <w:tcBorders>
              <w:top w:val="single" w:color="auto" w:sz="8" w:space="0"/>
              <w:left w:val="single" w:color="auto" w:sz="8" w:space="0"/>
              <w:bottom w:val="single" w:color="auto" w:sz="8" w:space="0"/>
              <w:right w:val="single" w:color="auto" w:sz="4" w:space="0"/>
            </w:tcBorders>
            <w:vAlign w:val="center"/>
          </w:tcPr>
          <w:p w14:paraId="09AA3DF9">
            <w:pPr>
              <w:snapToGrid w:val="0"/>
              <w:spacing w:line="360" w:lineRule="auto"/>
              <w:jc w:val="center"/>
              <w:rPr>
                <w:rFonts w:hint="eastAsia" w:ascii="宋体" w:hAnsi="宋体" w:cs="宋体"/>
                <w:color w:val="auto"/>
                <w:szCs w:val="21"/>
                <w:highlight w:val="none"/>
              </w:rPr>
            </w:pPr>
          </w:p>
        </w:tc>
        <w:tc>
          <w:tcPr>
            <w:tcW w:w="4360" w:type="dxa"/>
            <w:tcBorders>
              <w:top w:val="single" w:color="auto" w:sz="8" w:space="0"/>
              <w:left w:val="single" w:color="auto" w:sz="4" w:space="0"/>
              <w:bottom w:val="single" w:color="auto" w:sz="8" w:space="0"/>
              <w:right w:val="single" w:color="auto" w:sz="4" w:space="0"/>
            </w:tcBorders>
            <w:vAlign w:val="center"/>
          </w:tcPr>
          <w:p w14:paraId="676E90DB">
            <w:pPr>
              <w:snapToGrid w:val="0"/>
              <w:spacing w:line="360" w:lineRule="auto"/>
              <w:jc w:val="center"/>
              <w:rPr>
                <w:rFonts w:hint="eastAsia" w:ascii="宋体" w:hAnsi="宋体" w:cs="宋体"/>
                <w:color w:val="auto"/>
                <w:szCs w:val="21"/>
                <w:highlight w:val="none"/>
              </w:rPr>
            </w:pPr>
          </w:p>
        </w:tc>
        <w:tc>
          <w:tcPr>
            <w:tcW w:w="2549" w:type="dxa"/>
            <w:tcBorders>
              <w:top w:val="single" w:color="auto" w:sz="8" w:space="0"/>
              <w:left w:val="single" w:color="auto" w:sz="4" w:space="0"/>
              <w:bottom w:val="single" w:color="auto" w:sz="8" w:space="0"/>
              <w:right w:val="single" w:color="auto" w:sz="4" w:space="0"/>
            </w:tcBorders>
            <w:vAlign w:val="center"/>
          </w:tcPr>
          <w:p w14:paraId="2E7C9DDD">
            <w:pPr>
              <w:snapToGrid w:val="0"/>
              <w:spacing w:line="360" w:lineRule="auto"/>
              <w:jc w:val="center"/>
              <w:rPr>
                <w:rFonts w:hint="eastAsia" w:ascii="宋体" w:hAnsi="宋体" w:cs="宋体"/>
                <w:color w:val="auto"/>
                <w:szCs w:val="21"/>
                <w:highlight w:val="none"/>
              </w:rPr>
            </w:pPr>
          </w:p>
        </w:tc>
        <w:tc>
          <w:tcPr>
            <w:tcW w:w="1891" w:type="dxa"/>
            <w:tcBorders>
              <w:top w:val="single" w:color="auto" w:sz="8" w:space="0"/>
              <w:left w:val="single" w:color="auto" w:sz="4" w:space="0"/>
              <w:bottom w:val="single" w:color="auto" w:sz="8" w:space="0"/>
              <w:right w:val="single" w:color="auto" w:sz="8" w:space="0"/>
            </w:tcBorders>
            <w:vAlign w:val="center"/>
          </w:tcPr>
          <w:p w14:paraId="1D8CBAAE">
            <w:pPr>
              <w:snapToGrid w:val="0"/>
              <w:spacing w:line="360" w:lineRule="auto"/>
              <w:jc w:val="center"/>
              <w:rPr>
                <w:rFonts w:hint="eastAsia" w:ascii="宋体" w:hAnsi="宋体" w:cs="宋体"/>
                <w:color w:val="auto"/>
                <w:szCs w:val="21"/>
                <w:highlight w:val="none"/>
              </w:rPr>
            </w:pPr>
          </w:p>
        </w:tc>
      </w:tr>
      <w:tr w14:paraId="7D389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exact"/>
          <w:jc w:val="center"/>
        </w:trPr>
        <w:tc>
          <w:tcPr>
            <w:tcW w:w="743" w:type="dxa"/>
            <w:tcBorders>
              <w:top w:val="single" w:color="auto" w:sz="8" w:space="0"/>
              <w:left w:val="single" w:color="auto" w:sz="8" w:space="0"/>
              <w:bottom w:val="single" w:color="auto" w:sz="8" w:space="0"/>
              <w:right w:val="single" w:color="auto" w:sz="4" w:space="0"/>
            </w:tcBorders>
            <w:vAlign w:val="center"/>
          </w:tcPr>
          <w:p w14:paraId="07E3A737">
            <w:pPr>
              <w:snapToGrid w:val="0"/>
              <w:spacing w:line="360" w:lineRule="auto"/>
              <w:jc w:val="center"/>
              <w:rPr>
                <w:rFonts w:hint="eastAsia" w:ascii="宋体" w:hAnsi="宋体" w:cs="宋体"/>
                <w:color w:val="auto"/>
                <w:szCs w:val="21"/>
                <w:highlight w:val="none"/>
              </w:rPr>
            </w:pPr>
          </w:p>
        </w:tc>
        <w:tc>
          <w:tcPr>
            <w:tcW w:w="4360" w:type="dxa"/>
            <w:tcBorders>
              <w:top w:val="single" w:color="auto" w:sz="8" w:space="0"/>
              <w:left w:val="single" w:color="auto" w:sz="4" w:space="0"/>
              <w:bottom w:val="single" w:color="auto" w:sz="8" w:space="0"/>
              <w:right w:val="single" w:color="auto" w:sz="4" w:space="0"/>
            </w:tcBorders>
            <w:vAlign w:val="center"/>
          </w:tcPr>
          <w:p w14:paraId="0023A218">
            <w:pPr>
              <w:snapToGrid w:val="0"/>
              <w:spacing w:line="360" w:lineRule="auto"/>
              <w:jc w:val="center"/>
              <w:rPr>
                <w:rFonts w:hint="eastAsia" w:ascii="宋体" w:hAnsi="宋体" w:cs="宋体"/>
                <w:color w:val="auto"/>
                <w:szCs w:val="21"/>
                <w:highlight w:val="none"/>
              </w:rPr>
            </w:pPr>
          </w:p>
        </w:tc>
        <w:tc>
          <w:tcPr>
            <w:tcW w:w="2549" w:type="dxa"/>
            <w:tcBorders>
              <w:top w:val="single" w:color="auto" w:sz="8" w:space="0"/>
              <w:left w:val="single" w:color="auto" w:sz="4" w:space="0"/>
              <w:bottom w:val="single" w:color="auto" w:sz="8" w:space="0"/>
              <w:right w:val="single" w:color="auto" w:sz="4" w:space="0"/>
            </w:tcBorders>
            <w:vAlign w:val="center"/>
          </w:tcPr>
          <w:p w14:paraId="4A0E18AA">
            <w:pPr>
              <w:snapToGrid w:val="0"/>
              <w:spacing w:line="360" w:lineRule="auto"/>
              <w:jc w:val="center"/>
              <w:rPr>
                <w:rFonts w:hint="eastAsia" w:ascii="宋体" w:hAnsi="宋体" w:cs="宋体"/>
                <w:color w:val="auto"/>
                <w:szCs w:val="21"/>
                <w:highlight w:val="none"/>
              </w:rPr>
            </w:pPr>
          </w:p>
        </w:tc>
        <w:tc>
          <w:tcPr>
            <w:tcW w:w="1891" w:type="dxa"/>
            <w:tcBorders>
              <w:top w:val="single" w:color="auto" w:sz="8" w:space="0"/>
              <w:left w:val="single" w:color="auto" w:sz="4" w:space="0"/>
              <w:bottom w:val="single" w:color="auto" w:sz="8" w:space="0"/>
              <w:right w:val="single" w:color="auto" w:sz="8" w:space="0"/>
            </w:tcBorders>
            <w:vAlign w:val="center"/>
          </w:tcPr>
          <w:p w14:paraId="66107629">
            <w:pPr>
              <w:snapToGrid w:val="0"/>
              <w:spacing w:line="360" w:lineRule="auto"/>
              <w:jc w:val="center"/>
              <w:rPr>
                <w:rFonts w:hint="eastAsia" w:ascii="宋体" w:hAnsi="宋体" w:cs="宋体"/>
                <w:color w:val="auto"/>
                <w:szCs w:val="21"/>
                <w:highlight w:val="none"/>
              </w:rPr>
            </w:pPr>
          </w:p>
        </w:tc>
      </w:tr>
      <w:tr w14:paraId="50F761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exact"/>
          <w:jc w:val="center"/>
        </w:trPr>
        <w:tc>
          <w:tcPr>
            <w:tcW w:w="743" w:type="dxa"/>
            <w:tcBorders>
              <w:top w:val="single" w:color="auto" w:sz="8" w:space="0"/>
              <w:left w:val="single" w:color="auto" w:sz="8" w:space="0"/>
              <w:bottom w:val="single" w:color="auto" w:sz="8" w:space="0"/>
              <w:right w:val="single" w:color="auto" w:sz="4" w:space="0"/>
            </w:tcBorders>
            <w:vAlign w:val="center"/>
          </w:tcPr>
          <w:p w14:paraId="272C7087">
            <w:pPr>
              <w:snapToGrid w:val="0"/>
              <w:spacing w:line="360" w:lineRule="auto"/>
              <w:jc w:val="center"/>
              <w:rPr>
                <w:rFonts w:hint="eastAsia" w:ascii="宋体" w:hAnsi="宋体" w:cs="宋体"/>
                <w:color w:val="auto"/>
                <w:szCs w:val="21"/>
                <w:highlight w:val="none"/>
              </w:rPr>
            </w:pPr>
          </w:p>
        </w:tc>
        <w:tc>
          <w:tcPr>
            <w:tcW w:w="4360" w:type="dxa"/>
            <w:tcBorders>
              <w:top w:val="single" w:color="auto" w:sz="8" w:space="0"/>
              <w:left w:val="single" w:color="auto" w:sz="4" w:space="0"/>
              <w:bottom w:val="single" w:color="auto" w:sz="8" w:space="0"/>
              <w:right w:val="single" w:color="auto" w:sz="4" w:space="0"/>
            </w:tcBorders>
            <w:vAlign w:val="center"/>
          </w:tcPr>
          <w:p w14:paraId="6880B32E">
            <w:pPr>
              <w:snapToGrid w:val="0"/>
              <w:spacing w:line="360" w:lineRule="auto"/>
              <w:jc w:val="center"/>
              <w:rPr>
                <w:rFonts w:hint="eastAsia" w:ascii="宋体" w:hAnsi="宋体" w:cs="宋体"/>
                <w:color w:val="auto"/>
                <w:szCs w:val="21"/>
                <w:highlight w:val="none"/>
              </w:rPr>
            </w:pPr>
          </w:p>
        </w:tc>
        <w:tc>
          <w:tcPr>
            <w:tcW w:w="2549" w:type="dxa"/>
            <w:tcBorders>
              <w:top w:val="single" w:color="auto" w:sz="8" w:space="0"/>
              <w:left w:val="single" w:color="auto" w:sz="4" w:space="0"/>
              <w:bottom w:val="single" w:color="auto" w:sz="8" w:space="0"/>
              <w:right w:val="single" w:color="auto" w:sz="4" w:space="0"/>
            </w:tcBorders>
            <w:vAlign w:val="center"/>
          </w:tcPr>
          <w:p w14:paraId="5BE50477">
            <w:pPr>
              <w:snapToGrid w:val="0"/>
              <w:spacing w:line="360" w:lineRule="auto"/>
              <w:jc w:val="center"/>
              <w:rPr>
                <w:rFonts w:hint="eastAsia" w:ascii="宋体" w:hAnsi="宋体" w:cs="宋体"/>
                <w:color w:val="auto"/>
                <w:szCs w:val="21"/>
                <w:highlight w:val="none"/>
              </w:rPr>
            </w:pPr>
          </w:p>
        </w:tc>
        <w:tc>
          <w:tcPr>
            <w:tcW w:w="1891" w:type="dxa"/>
            <w:tcBorders>
              <w:top w:val="single" w:color="auto" w:sz="8" w:space="0"/>
              <w:left w:val="single" w:color="auto" w:sz="4" w:space="0"/>
              <w:bottom w:val="single" w:color="auto" w:sz="8" w:space="0"/>
              <w:right w:val="single" w:color="auto" w:sz="8" w:space="0"/>
            </w:tcBorders>
            <w:vAlign w:val="center"/>
          </w:tcPr>
          <w:p w14:paraId="6636B132">
            <w:pPr>
              <w:snapToGrid w:val="0"/>
              <w:spacing w:line="360" w:lineRule="auto"/>
              <w:jc w:val="center"/>
              <w:rPr>
                <w:rFonts w:hint="eastAsia" w:ascii="宋体" w:hAnsi="宋体" w:cs="宋体"/>
                <w:color w:val="auto"/>
                <w:szCs w:val="21"/>
                <w:highlight w:val="none"/>
              </w:rPr>
            </w:pPr>
          </w:p>
        </w:tc>
      </w:tr>
      <w:tr w14:paraId="76D6DA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66" w:hRule="exact"/>
          <w:jc w:val="center"/>
        </w:trPr>
        <w:tc>
          <w:tcPr>
            <w:tcW w:w="743" w:type="dxa"/>
            <w:tcBorders>
              <w:top w:val="single" w:color="auto" w:sz="8" w:space="0"/>
              <w:left w:val="single" w:color="auto" w:sz="8" w:space="0"/>
              <w:bottom w:val="single" w:color="auto" w:sz="4" w:space="0"/>
              <w:right w:val="single" w:color="auto" w:sz="4" w:space="0"/>
            </w:tcBorders>
            <w:vAlign w:val="center"/>
          </w:tcPr>
          <w:p w14:paraId="424AF9AB">
            <w:pPr>
              <w:snapToGrid w:val="0"/>
              <w:spacing w:line="360" w:lineRule="auto"/>
              <w:jc w:val="center"/>
              <w:rPr>
                <w:rFonts w:hint="eastAsia" w:ascii="宋体" w:hAnsi="宋体" w:cs="宋体"/>
                <w:color w:val="auto"/>
                <w:szCs w:val="21"/>
                <w:highlight w:val="none"/>
              </w:rPr>
            </w:pPr>
            <w:r>
              <w:rPr>
                <w:rFonts w:hint="eastAsia" w:ascii="宋体" w:hAnsi="宋体" w:cs="宋体"/>
                <w:color w:val="auto"/>
                <w:szCs w:val="21"/>
                <w:highlight w:val="none"/>
              </w:rPr>
              <w:t>……</w:t>
            </w:r>
          </w:p>
        </w:tc>
        <w:tc>
          <w:tcPr>
            <w:tcW w:w="4360" w:type="dxa"/>
            <w:tcBorders>
              <w:top w:val="single" w:color="auto" w:sz="8" w:space="0"/>
              <w:left w:val="single" w:color="auto" w:sz="4" w:space="0"/>
              <w:bottom w:val="single" w:color="auto" w:sz="4" w:space="0"/>
              <w:right w:val="single" w:color="auto" w:sz="4" w:space="0"/>
            </w:tcBorders>
            <w:vAlign w:val="center"/>
          </w:tcPr>
          <w:p w14:paraId="53B0C9F9">
            <w:pPr>
              <w:snapToGrid w:val="0"/>
              <w:spacing w:line="360" w:lineRule="auto"/>
              <w:jc w:val="center"/>
              <w:rPr>
                <w:rFonts w:hint="eastAsia" w:ascii="宋体" w:hAnsi="宋体" w:cs="宋体"/>
                <w:color w:val="auto"/>
                <w:szCs w:val="21"/>
                <w:highlight w:val="none"/>
              </w:rPr>
            </w:pPr>
          </w:p>
        </w:tc>
        <w:tc>
          <w:tcPr>
            <w:tcW w:w="2549" w:type="dxa"/>
            <w:tcBorders>
              <w:top w:val="single" w:color="auto" w:sz="8" w:space="0"/>
              <w:left w:val="single" w:color="auto" w:sz="4" w:space="0"/>
              <w:bottom w:val="single" w:color="auto" w:sz="4" w:space="0"/>
              <w:right w:val="single" w:color="auto" w:sz="4" w:space="0"/>
            </w:tcBorders>
            <w:vAlign w:val="center"/>
          </w:tcPr>
          <w:p w14:paraId="6EE39E13">
            <w:pPr>
              <w:snapToGrid w:val="0"/>
              <w:spacing w:line="360" w:lineRule="auto"/>
              <w:jc w:val="center"/>
              <w:rPr>
                <w:rFonts w:hint="eastAsia" w:ascii="宋体" w:hAnsi="宋体" w:cs="宋体"/>
                <w:color w:val="auto"/>
                <w:szCs w:val="21"/>
                <w:highlight w:val="none"/>
              </w:rPr>
            </w:pPr>
          </w:p>
        </w:tc>
        <w:tc>
          <w:tcPr>
            <w:tcW w:w="1891" w:type="dxa"/>
            <w:tcBorders>
              <w:top w:val="single" w:color="auto" w:sz="8" w:space="0"/>
              <w:left w:val="single" w:color="auto" w:sz="4" w:space="0"/>
              <w:bottom w:val="single" w:color="auto" w:sz="4" w:space="0"/>
              <w:right w:val="single" w:color="auto" w:sz="8" w:space="0"/>
            </w:tcBorders>
            <w:vAlign w:val="center"/>
          </w:tcPr>
          <w:p w14:paraId="7F6D2039">
            <w:pPr>
              <w:snapToGrid w:val="0"/>
              <w:spacing w:line="360" w:lineRule="auto"/>
              <w:jc w:val="center"/>
              <w:rPr>
                <w:rFonts w:hint="eastAsia" w:ascii="宋体" w:hAnsi="宋体" w:cs="宋体"/>
                <w:color w:val="auto"/>
                <w:szCs w:val="21"/>
                <w:highlight w:val="none"/>
              </w:rPr>
            </w:pPr>
          </w:p>
        </w:tc>
      </w:tr>
    </w:tbl>
    <w:p w14:paraId="537679DF">
      <w:pPr>
        <w:spacing w:line="360" w:lineRule="auto"/>
        <w:ind w:firstLine="420" w:firstLineChars="200"/>
        <w:rPr>
          <w:rFonts w:hint="eastAsia" w:ascii="宋体" w:hAnsi="宋体" w:cs="宋体"/>
          <w:color w:val="auto"/>
          <w:szCs w:val="21"/>
          <w:highlight w:val="none"/>
        </w:rPr>
      </w:pPr>
    </w:p>
    <w:p w14:paraId="0F62E7EA">
      <w:pPr>
        <w:spacing w:line="360" w:lineRule="auto"/>
        <w:ind w:firstLine="420" w:firstLineChars="200"/>
        <w:rPr>
          <w:rFonts w:hint="eastAsia" w:ascii="宋体" w:hAnsi="宋体" w:cs="宋体"/>
          <w:color w:val="auto"/>
          <w:szCs w:val="21"/>
          <w:highlight w:val="none"/>
        </w:rPr>
      </w:pPr>
    </w:p>
    <w:p w14:paraId="4CAB26BD">
      <w:pPr>
        <w:numPr>
          <w:ilvl w:val="0"/>
          <w:numId w:val="8"/>
        </w:num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投标供应商应对照</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第三章项目需求及第五章合同条款内的要求，逐一填写，与</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规定的服务要求有偏离的，应在此表中申明偏离情况，如有例外请说明；如能完全响应本</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要求，则填写“无偏离”或不填写本表。</w:t>
      </w:r>
    </w:p>
    <w:p w14:paraId="314D8F96">
      <w:pPr>
        <w:numPr>
          <w:ilvl w:val="0"/>
          <w:numId w:val="8"/>
        </w:num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本项目不接受负偏离，否则作无效投标处理。</w:t>
      </w:r>
    </w:p>
    <w:p w14:paraId="3377177F">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3、投标供应商如果虚假响应，将承担一切可能的风险。</w:t>
      </w:r>
    </w:p>
    <w:p w14:paraId="4D4C0E4C">
      <w:pPr>
        <w:spacing w:line="360" w:lineRule="auto"/>
        <w:jc w:val="center"/>
        <w:rPr>
          <w:rFonts w:hint="eastAsia" w:ascii="宋体" w:hAnsi="宋体"/>
          <w:b/>
          <w:color w:val="auto"/>
          <w:szCs w:val="21"/>
          <w:highlight w:val="none"/>
        </w:rPr>
      </w:pPr>
    </w:p>
    <w:p w14:paraId="297F362F">
      <w:pPr>
        <w:snapToGrid w:val="0"/>
        <w:spacing w:line="360" w:lineRule="auto"/>
        <w:ind w:right="210"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投标供应商：（加盖公章）</w:t>
      </w:r>
    </w:p>
    <w:p w14:paraId="0275569C">
      <w:pPr>
        <w:snapToGrid w:val="0"/>
        <w:spacing w:line="360" w:lineRule="auto"/>
        <w:ind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 xml:space="preserve">法定代表人或被授权人：（签字或盖章）                                </w:t>
      </w:r>
    </w:p>
    <w:p w14:paraId="24B0AE67">
      <w:pPr>
        <w:snapToGrid w:val="0"/>
        <w:spacing w:line="360" w:lineRule="auto"/>
        <w:ind w:right="420" w:firstLine="7140" w:firstLineChars="3400"/>
        <w:rPr>
          <w:rFonts w:hint="eastAsia" w:ascii="宋体" w:hAnsi="宋体" w:cs="宋体"/>
          <w:color w:val="auto"/>
          <w:szCs w:val="21"/>
          <w:highlight w:val="none"/>
        </w:rPr>
      </w:pPr>
      <w:r>
        <w:rPr>
          <w:rFonts w:hint="eastAsia" w:ascii="宋体" w:hAnsi="宋体" w:cs="宋体"/>
          <w:color w:val="auto"/>
          <w:szCs w:val="21"/>
          <w:highlight w:val="none"/>
        </w:rPr>
        <w:t>日期</w:t>
      </w:r>
      <w:r>
        <w:rPr>
          <w:rFonts w:ascii="宋体" w:hAnsi="宋体" w:cs="宋体"/>
          <w:color w:val="auto"/>
          <w:szCs w:val="21"/>
          <w:highlight w:val="none"/>
        </w:rPr>
        <w:t>：</w:t>
      </w:r>
    </w:p>
    <w:p w14:paraId="5EA9058E">
      <w:pPr>
        <w:spacing w:line="360" w:lineRule="auto"/>
        <w:jc w:val="center"/>
        <w:rPr>
          <w:rFonts w:hint="eastAsia" w:ascii="宋体" w:hAnsi="宋体"/>
          <w:b/>
          <w:color w:val="auto"/>
          <w:sz w:val="28"/>
          <w:szCs w:val="28"/>
          <w:highlight w:val="none"/>
        </w:rPr>
      </w:pPr>
      <w:r>
        <w:rPr>
          <w:rFonts w:hint="eastAsia" w:ascii="宋体" w:hAnsi="宋体" w:cs="宋体"/>
          <w:color w:val="auto"/>
          <w:sz w:val="24"/>
          <w:highlight w:val="none"/>
        </w:rPr>
        <w:br w:type="page"/>
      </w:r>
      <w:r>
        <w:rPr>
          <w:rFonts w:hint="eastAsia" w:ascii="宋体" w:hAnsi="宋体"/>
          <w:b/>
          <w:color w:val="auto"/>
          <w:sz w:val="28"/>
          <w:szCs w:val="28"/>
          <w:highlight w:val="none"/>
        </w:rPr>
        <w:t>计划投入的主要养护机械设备表</w:t>
      </w:r>
    </w:p>
    <w:tbl>
      <w:tblPr>
        <w:tblStyle w:val="25"/>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222"/>
        <w:gridCol w:w="876"/>
        <w:gridCol w:w="876"/>
        <w:gridCol w:w="1164"/>
        <w:gridCol w:w="1134"/>
        <w:gridCol w:w="1243"/>
        <w:gridCol w:w="1444"/>
      </w:tblGrid>
      <w:tr w14:paraId="64E9DD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 w:hRule="atLeast"/>
          <w:jc w:val="center"/>
        </w:trPr>
        <w:tc>
          <w:tcPr>
            <w:tcW w:w="2222" w:type="dxa"/>
            <w:tcBorders>
              <w:top w:val="single" w:color="auto" w:sz="4" w:space="0"/>
              <w:left w:val="single" w:color="auto" w:sz="4" w:space="0"/>
              <w:bottom w:val="single" w:color="auto" w:sz="4" w:space="0"/>
              <w:right w:val="single" w:color="auto" w:sz="4" w:space="0"/>
            </w:tcBorders>
            <w:vAlign w:val="center"/>
          </w:tcPr>
          <w:p w14:paraId="03DBA4D5">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机械或设备名称</w:t>
            </w:r>
          </w:p>
        </w:tc>
        <w:tc>
          <w:tcPr>
            <w:tcW w:w="876" w:type="dxa"/>
            <w:tcBorders>
              <w:top w:val="single" w:color="auto" w:sz="4" w:space="0"/>
              <w:left w:val="single" w:color="auto" w:sz="4" w:space="0"/>
              <w:bottom w:val="single" w:color="auto" w:sz="4" w:space="0"/>
              <w:right w:val="single" w:color="auto" w:sz="4" w:space="0"/>
            </w:tcBorders>
            <w:vAlign w:val="center"/>
          </w:tcPr>
          <w:p w14:paraId="7AB0E081">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单位</w:t>
            </w:r>
          </w:p>
        </w:tc>
        <w:tc>
          <w:tcPr>
            <w:tcW w:w="876" w:type="dxa"/>
            <w:tcBorders>
              <w:top w:val="single" w:color="auto" w:sz="4" w:space="0"/>
              <w:left w:val="single" w:color="auto" w:sz="4" w:space="0"/>
              <w:bottom w:val="single" w:color="auto" w:sz="4" w:space="0"/>
              <w:right w:val="single" w:color="auto" w:sz="4" w:space="0"/>
            </w:tcBorders>
            <w:vAlign w:val="center"/>
          </w:tcPr>
          <w:p w14:paraId="6E114243">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数量</w:t>
            </w:r>
          </w:p>
        </w:tc>
        <w:tc>
          <w:tcPr>
            <w:tcW w:w="1164" w:type="dxa"/>
            <w:tcBorders>
              <w:top w:val="single" w:color="auto" w:sz="4" w:space="0"/>
              <w:left w:val="single" w:color="auto" w:sz="4" w:space="0"/>
              <w:bottom w:val="single" w:color="auto" w:sz="4" w:space="0"/>
              <w:right w:val="single" w:color="auto" w:sz="4" w:space="0"/>
            </w:tcBorders>
            <w:vAlign w:val="center"/>
          </w:tcPr>
          <w:p w14:paraId="39F6A339">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品牌</w:t>
            </w:r>
          </w:p>
        </w:tc>
        <w:tc>
          <w:tcPr>
            <w:tcW w:w="1134" w:type="dxa"/>
            <w:tcBorders>
              <w:top w:val="single" w:color="auto" w:sz="4" w:space="0"/>
              <w:left w:val="single" w:color="auto" w:sz="4" w:space="0"/>
              <w:bottom w:val="single" w:color="auto" w:sz="4" w:space="0"/>
              <w:right w:val="single" w:color="auto" w:sz="4" w:space="0"/>
            </w:tcBorders>
            <w:vAlign w:val="center"/>
          </w:tcPr>
          <w:p w14:paraId="10A9DEDD">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产地</w:t>
            </w:r>
          </w:p>
        </w:tc>
        <w:tc>
          <w:tcPr>
            <w:tcW w:w="1243" w:type="dxa"/>
            <w:tcBorders>
              <w:top w:val="single" w:color="auto" w:sz="4" w:space="0"/>
              <w:left w:val="single" w:color="auto" w:sz="4" w:space="0"/>
              <w:bottom w:val="single" w:color="auto" w:sz="4" w:space="0"/>
              <w:right w:val="single" w:color="auto" w:sz="4" w:space="0"/>
            </w:tcBorders>
            <w:vAlign w:val="center"/>
          </w:tcPr>
          <w:p w14:paraId="39E4617A">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型号规格</w:t>
            </w:r>
          </w:p>
        </w:tc>
        <w:tc>
          <w:tcPr>
            <w:tcW w:w="1444" w:type="dxa"/>
            <w:tcBorders>
              <w:top w:val="single" w:color="auto" w:sz="4" w:space="0"/>
              <w:left w:val="single" w:color="auto" w:sz="4" w:space="0"/>
              <w:bottom w:val="single" w:color="auto" w:sz="4" w:space="0"/>
            </w:tcBorders>
            <w:vAlign w:val="center"/>
          </w:tcPr>
          <w:p w14:paraId="6F7EE48F">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自有</w:t>
            </w:r>
            <w:r>
              <w:rPr>
                <w:rFonts w:ascii="宋体" w:hAnsi="宋体" w:cs="Calibri"/>
                <w:b/>
                <w:bCs/>
                <w:color w:val="auto"/>
                <w:szCs w:val="21"/>
                <w:highlight w:val="none"/>
              </w:rPr>
              <w:t>/</w:t>
            </w:r>
            <w:r>
              <w:rPr>
                <w:rFonts w:hint="eastAsia" w:ascii="宋体" w:hAnsi="宋体" w:cs="宋体"/>
                <w:b/>
                <w:bCs/>
                <w:color w:val="auto"/>
                <w:szCs w:val="21"/>
                <w:highlight w:val="none"/>
              </w:rPr>
              <w:t>租赁</w:t>
            </w:r>
          </w:p>
        </w:tc>
      </w:tr>
      <w:tr w14:paraId="2DAD21B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3D73E39C">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53201B37">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03FA5650">
            <w:pPr>
              <w:tabs>
                <w:tab w:val="left" w:pos="7920"/>
              </w:tabs>
              <w:spacing w:before="100" w:line="300" w:lineRule="exact"/>
              <w:jc w:val="center"/>
              <w:rPr>
                <w:rFonts w:hint="eastAsia" w:ascii="宋体" w:hAnsi="宋体" w:cs="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5A2D2044">
            <w:pPr>
              <w:tabs>
                <w:tab w:val="left" w:pos="7920"/>
              </w:tabs>
              <w:spacing w:before="100" w:line="300" w:lineRule="exact"/>
              <w:jc w:val="center"/>
              <w:rPr>
                <w:rFonts w:hint="eastAsia" w:ascii="宋体"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5F70CE2F">
            <w:pPr>
              <w:tabs>
                <w:tab w:val="left" w:pos="7920"/>
              </w:tabs>
              <w:spacing w:before="100" w:line="300" w:lineRule="exact"/>
              <w:jc w:val="center"/>
              <w:rPr>
                <w:rFonts w:hint="eastAsia" w:ascii="宋体" w:hAnsi="宋体" w:cs="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596FB7E6">
            <w:pPr>
              <w:tabs>
                <w:tab w:val="left" w:pos="7920"/>
              </w:tabs>
              <w:spacing w:before="100" w:line="300" w:lineRule="exact"/>
              <w:jc w:val="center"/>
              <w:rPr>
                <w:rFonts w:hint="eastAsia" w:ascii="宋体" w:hAnsi="宋体" w:cs="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311D0249">
            <w:pPr>
              <w:tabs>
                <w:tab w:val="left" w:pos="7920"/>
              </w:tabs>
              <w:spacing w:before="100" w:line="300" w:lineRule="exact"/>
              <w:jc w:val="center"/>
              <w:rPr>
                <w:rFonts w:hint="eastAsia" w:ascii="宋体" w:hAnsi="宋体" w:cs="宋体"/>
                <w:color w:val="auto"/>
                <w:szCs w:val="21"/>
                <w:highlight w:val="none"/>
              </w:rPr>
            </w:pPr>
          </w:p>
        </w:tc>
      </w:tr>
      <w:tr w14:paraId="62C43BC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4E8D74C3">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265424C6">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7A1082F0">
            <w:pPr>
              <w:tabs>
                <w:tab w:val="left" w:pos="7920"/>
              </w:tabs>
              <w:spacing w:before="100" w:line="300" w:lineRule="exact"/>
              <w:jc w:val="center"/>
              <w:rPr>
                <w:rFonts w:hint="eastAsia" w:ascii="宋体" w:hAnsi="宋体" w:cs="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7E8C7C22">
            <w:pPr>
              <w:tabs>
                <w:tab w:val="left" w:pos="7920"/>
              </w:tabs>
              <w:spacing w:before="100" w:line="300" w:lineRule="exact"/>
              <w:jc w:val="center"/>
              <w:rPr>
                <w:rFonts w:hint="eastAsia" w:ascii="宋体"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2016023B">
            <w:pPr>
              <w:tabs>
                <w:tab w:val="left" w:pos="7920"/>
              </w:tabs>
              <w:spacing w:before="100" w:line="300" w:lineRule="exact"/>
              <w:jc w:val="center"/>
              <w:rPr>
                <w:rFonts w:hint="eastAsia" w:ascii="宋体" w:hAnsi="宋体" w:cs="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0EDC24F8">
            <w:pPr>
              <w:tabs>
                <w:tab w:val="left" w:pos="7920"/>
              </w:tabs>
              <w:spacing w:before="100" w:line="300" w:lineRule="exact"/>
              <w:jc w:val="center"/>
              <w:rPr>
                <w:rFonts w:hint="eastAsia" w:ascii="宋体" w:hAnsi="宋体" w:cs="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11FF946F">
            <w:pPr>
              <w:tabs>
                <w:tab w:val="left" w:pos="7920"/>
              </w:tabs>
              <w:spacing w:before="100" w:line="300" w:lineRule="exact"/>
              <w:jc w:val="center"/>
              <w:rPr>
                <w:rFonts w:hint="eastAsia" w:ascii="宋体" w:hAnsi="宋体" w:cs="宋体"/>
                <w:color w:val="auto"/>
                <w:szCs w:val="21"/>
                <w:highlight w:val="none"/>
              </w:rPr>
            </w:pPr>
          </w:p>
        </w:tc>
      </w:tr>
      <w:tr w14:paraId="1893EDE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0C3877AF">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460CE3C9">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0E8F70FE">
            <w:pPr>
              <w:tabs>
                <w:tab w:val="left" w:pos="7920"/>
              </w:tabs>
              <w:spacing w:before="100" w:line="300" w:lineRule="exact"/>
              <w:jc w:val="center"/>
              <w:rPr>
                <w:rFonts w:hint="eastAsia" w:ascii="宋体" w:hAnsi="宋体" w:cs="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1C31391D">
            <w:pPr>
              <w:tabs>
                <w:tab w:val="left" w:pos="7920"/>
              </w:tabs>
              <w:spacing w:before="100" w:line="300" w:lineRule="exact"/>
              <w:jc w:val="center"/>
              <w:rPr>
                <w:rFonts w:hint="eastAsia" w:ascii="宋体" w:hAnsi="宋体" w:cs="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D2E1BE2">
            <w:pPr>
              <w:tabs>
                <w:tab w:val="left" w:pos="7920"/>
              </w:tabs>
              <w:spacing w:before="100" w:line="300" w:lineRule="exact"/>
              <w:jc w:val="center"/>
              <w:rPr>
                <w:rFonts w:hint="eastAsia" w:ascii="宋体" w:hAnsi="宋体" w:cs="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11369C25">
            <w:pPr>
              <w:tabs>
                <w:tab w:val="left" w:pos="7920"/>
              </w:tabs>
              <w:spacing w:before="100" w:line="300" w:lineRule="exact"/>
              <w:jc w:val="center"/>
              <w:rPr>
                <w:rFonts w:hint="eastAsia" w:ascii="宋体" w:hAnsi="宋体" w:cs="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7D0AEEBF">
            <w:pPr>
              <w:tabs>
                <w:tab w:val="left" w:pos="7920"/>
              </w:tabs>
              <w:spacing w:before="100" w:line="300" w:lineRule="exact"/>
              <w:jc w:val="center"/>
              <w:rPr>
                <w:rFonts w:hint="eastAsia" w:ascii="宋体" w:hAnsi="宋体" w:cs="宋体"/>
                <w:color w:val="auto"/>
                <w:szCs w:val="21"/>
                <w:highlight w:val="none"/>
              </w:rPr>
            </w:pPr>
          </w:p>
        </w:tc>
      </w:tr>
      <w:tr w14:paraId="7D9E5B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5CD5905C">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63251C1A">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58B611E2">
            <w:pPr>
              <w:tabs>
                <w:tab w:val="left" w:pos="7920"/>
              </w:tabs>
              <w:spacing w:before="100" w:line="300" w:lineRule="exact"/>
              <w:jc w:val="center"/>
              <w:rPr>
                <w:rFonts w:hint="eastAsia" w:ascii="宋体" w:hAnsi="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36761064">
            <w:pPr>
              <w:tabs>
                <w:tab w:val="left" w:pos="7920"/>
              </w:tabs>
              <w:spacing w:before="100" w:line="300" w:lineRule="exact"/>
              <w:jc w:val="center"/>
              <w:rPr>
                <w:rFonts w:hint="eastAsia"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0F319B09">
            <w:pPr>
              <w:tabs>
                <w:tab w:val="left" w:pos="7920"/>
              </w:tabs>
              <w:spacing w:before="100" w:line="300" w:lineRule="exact"/>
              <w:jc w:val="center"/>
              <w:rPr>
                <w:rFonts w:hint="eastAsia" w:ascii="宋体" w:hAnsi="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7C1DD9C9">
            <w:pPr>
              <w:tabs>
                <w:tab w:val="left" w:pos="7920"/>
              </w:tabs>
              <w:spacing w:before="100" w:line="300" w:lineRule="exact"/>
              <w:jc w:val="center"/>
              <w:rPr>
                <w:rFonts w:hint="eastAsia" w:ascii="宋体" w:hAnsi="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61126FD4">
            <w:pPr>
              <w:tabs>
                <w:tab w:val="left" w:pos="7920"/>
              </w:tabs>
              <w:spacing w:before="100" w:line="300" w:lineRule="exact"/>
              <w:jc w:val="center"/>
              <w:rPr>
                <w:rFonts w:hint="eastAsia" w:ascii="宋体" w:hAnsi="宋体"/>
                <w:color w:val="auto"/>
                <w:szCs w:val="21"/>
                <w:highlight w:val="none"/>
              </w:rPr>
            </w:pPr>
          </w:p>
        </w:tc>
      </w:tr>
      <w:tr w14:paraId="71B514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305FE762">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14CFF3D1">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61877A52">
            <w:pPr>
              <w:tabs>
                <w:tab w:val="left" w:pos="7920"/>
              </w:tabs>
              <w:spacing w:before="100" w:line="300" w:lineRule="exact"/>
              <w:jc w:val="center"/>
              <w:rPr>
                <w:rFonts w:hint="eastAsia" w:ascii="宋体" w:hAnsi="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705EC1FB">
            <w:pPr>
              <w:tabs>
                <w:tab w:val="left" w:pos="7920"/>
              </w:tabs>
              <w:spacing w:before="100" w:line="300" w:lineRule="exact"/>
              <w:jc w:val="center"/>
              <w:rPr>
                <w:rFonts w:hint="eastAsia"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857D63E">
            <w:pPr>
              <w:tabs>
                <w:tab w:val="left" w:pos="7920"/>
              </w:tabs>
              <w:spacing w:before="100" w:line="300" w:lineRule="exact"/>
              <w:jc w:val="center"/>
              <w:rPr>
                <w:rFonts w:hint="eastAsia" w:ascii="宋体" w:hAnsi="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0C6BBD22">
            <w:pPr>
              <w:tabs>
                <w:tab w:val="left" w:pos="7920"/>
              </w:tabs>
              <w:spacing w:before="100" w:line="300" w:lineRule="exact"/>
              <w:jc w:val="center"/>
              <w:rPr>
                <w:rFonts w:hint="eastAsia" w:ascii="宋体" w:hAnsi="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131AA79D">
            <w:pPr>
              <w:tabs>
                <w:tab w:val="left" w:pos="7920"/>
              </w:tabs>
              <w:spacing w:before="100" w:line="300" w:lineRule="exact"/>
              <w:jc w:val="center"/>
              <w:rPr>
                <w:rFonts w:hint="eastAsia" w:ascii="宋体" w:hAnsi="宋体"/>
                <w:color w:val="auto"/>
                <w:szCs w:val="21"/>
                <w:highlight w:val="none"/>
              </w:rPr>
            </w:pPr>
          </w:p>
        </w:tc>
      </w:tr>
      <w:tr w14:paraId="0AEB4F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2707BD1C">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448AAEDA">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60A66D3F">
            <w:pPr>
              <w:tabs>
                <w:tab w:val="left" w:pos="7920"/>
              </w:tabs>
              <w:spacing w:before="100" w:line="300" w:lineRule="exact"/>
              <w:jc w:val="center"/>
              <w:rPr>
                <w:rFonts w:hint="eastAsia" w:ascii="宋体" w:hAnsi="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2B6EBA2F">
            <w:pPr>
              <w:tabs>
                <w:tab w:val="left" w:pos="7920"/>
              </w:tabs>
              <w:spacing w:before="100" w:line="300" w:lineRule="exact"/>
              <w:jc w:val="center"/>
              <w:rPr>
                <w:rFonts w:hint="eastAsia"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7C35BCD5">
            <w:pPr>
              <w:tabs>
                <w:tab w:val="left" w:pos="7920"/>
              </w:tabs>
              <w:spacing w:before="100" w:line="300" w:lineRule="exact"/>
              <w:jc w:val="center"/>
              <w:rPr>
                <w:rFonts w:hint="eastAsia" w:ascii="宋体" w:hAnsi="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3955ED38">
            <w:pPr>
              <w:tabs>
                <w:tab w:val="left" w:pos="7920"/>
              </w:tabs>
              <w:spacing w:before="100" w:line="300" w:lineRule="exact"/>
              <w:jc w:val="center"/>
              <w:rPr>
                <w:rFonts w:hint="eastAsia" w:ascii="宋体" w:hAnsi="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1BB7262D">
            <w:pPr>
              <w:tabs>
                <w:tab w:val="left" w:pos="7920"/>
              </w:tabs>
              <w:spacing w:before="100" w:line="300" w:lineRule="exact"/>
              <w:jc w:val="center"/>
              <w:rPr>
                <w:rFonts w:hint="eastAsia" w:ascii="宋体" w:hAnsi="宋体"/>
                <w:color w:val="auto"/>
                <w:szCs w:val="21"/>
                <w:highlight w:val="none"/>
              </w:rPr>
            </w:pPr>
          </w:p>
        </w:tc>
      </w:tr>
      <w:tr w14:paraId="66DB37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0B9B1333">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487E0E92">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1C5D35B5">
            <w:pPr>
              <w:tabs>
                <w:tab w:val="left" w:pos="7920"/>
              </w:tabs>
              <w:spacing w:before="100" w:line="300" w:lineRule="exact"/>
              <w:jc w:val="center"/>
              <w:rPr>
                <w:rFonts w:hint="eastAsia" w:ascii="宋体" w:hAnsi="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007E7150">
            <w:pPr>
              <w:tabs>
                <w:tab w:val="left" w:pos="7920"/>
              </w:tabs>
              <w:spacing w:before="100" w:line="300" w:lineRule="exact"/>
              <w:jc w:val="center"/>
              <w:rPr>
                <w:rFonts w:hint="eastAsia"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42B2B813">
            <w:pPr>
              <w:tabs>
                <w:tab w:val="left" w:pos="7920"/>
              </w:tabs>
              <w:spacing w:before="100" w:line="300" w:lineRule="exact"/>
              <w:jc w:val="center"/>
              <w:rPr>
                <w:rFonts w:hint="eastAsia" w:ascii="宋体" w:hAnsi="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38681C3F">
            <w:pPr>
              <w:tabs>
                <w:tab w:val="left" w:pos="7920"/>
              </w:tabs>
              <w:spacing w:before="100" w:line="300" w:lineRule="exact"/>
              <w:jc w:val="center"/>
              <w:rPr>
                <w:rFonts w:hint="eastAsia" w:ascii="宋体" w:hAnsi="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23B03BF9">
            <w:pPr>
              <w:tabs>
                <w:tab w:val="left" w:pos="7920"/>
              </w:tabs>
              <w:spacing w:before="100" w:line="300" w:lineRule="exact"/>
              <w:jc w:val="center"/>
              <w:rPr>
                <w:rFonts w:hint="eastAsia" w:ascii="宋体" w:hAnsi="宋体"/>
                <w:color w:val="auto"/>
                <w:szCs w:val="21"/>
                <w:highlight w:val="none"/>
              </w:rPr>
            </w:pPr>
          </w:p>
        </w:tc>
      </w:tr>
      <w:tr w14:paraId="72B1000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jc w:val="center"/>
        </w:trPr>
        <w:tc>
          <w:tcPr>
            <w:tcW w:w="2222" w:type="dxa"/>
            <w:tcBorders>
              <w:top w:val="single" w:color="auto" w:sz="4" w:space="0"/>
              <w:left w:val="single" w:color="auto" w:sz="4" w:space="0"/>
              <w:bottom w:val="single" w:color="auto" w:sz="4" w:space="0"/>
              <w:right w:val="single" w:color="auto" w:sz="4" w:space="0"/>
            </w:tcBorders>
            <w:vAlign w:val="center"/>
          </w:tcPr>
          <w:p w14:paraId="6AE70312">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w:t>
            </w:r>
          </w:p>
        </w:tc>
        <w:tc>
          <w:tcPr>
            <w:tcW w:w="876" w:type="dxa"/>
            <w:tcBorders>
              <w:top w:val="single" w:color="auto" w:sz="4" w:space="0"/>
              <w:left w:val="single" w:color="auto" w:sz="4" w:space="0"/>
              <w:bottom w:val="single" w:color="auto" w:sz="4" w:space="0"/>
              <w:right w:val="single" w:color="auto" w:sz="4" w:space="0"/>
            </w:tcBorders>
            <w:vAlign w:val="center"/>
          </w:tcPr>
          <w:p w14:paraId="5FF44EB4">
            <w:pPr>
              <w:tabs>
                <w:tab w:val="left" w:pos="7920"/>
              </w:tabs>
              <w:spacing w:before="100" w:line="300" w:lineRule="exact"/>
              <w:jc w:val="center"/>
              <w:rPr>
                <w:rFonts w:hint="eastAsia" w:ascii="宋体" w:hAnsi="宋体"/>
                <w:color w:val="auto"/>
                <w:szCs w:val="21"/>
                <w:highlight w:val="none"/>
              </w:rPr>
            </w:pPr>
          </w:p>
        </w:tc>
        <w:tc>
          <w:tcPr>
            <w:tcW w:w="876" w:type="dxa"/>
            <w:tcBorders>
              <w:top w:val="single" w:color="auto" w:sz="4" w:space="0"/>
              <w:left w:val="single" w:color="auto" w:sz="4" w:space="0"/>
              <w:bottom w:val="single" w:color="auto" w:sz="4" w:space="0"/>
              <w:right w:val="single" w:color="auto" w:sz="4" w:space="0"/>
            </w:tcBorders>
            <w:vAlign w:val="center"/>
          </w:tcPr>
          <w:p w14:paraId="46F2457E">
            <w:pPr>
              <w:tabs>
                <w:tab w:val="left" w:pos="7920"/>
              </w:tabs>
              <w:spacing w:before="100" w:line="300" w:lineRule="exact"/>
              <w:jc w:val="center"/>
              <w:rPr>
                <w:rFonts w:hint="eastAsia" w:ascii="宋体" w:hAnsi="宋体"/>
                <w:color w:val="auto"/>
                <w:szCs w:val="21"/>
                <w:highlight w:val="none"/>
              </w:rPr>
            </w:pPr>
          </w:p>
        </w:tc>
        <w:tc>
          <w:tcPr>
            <w:tcW w:w="1164" w:type="dxa"/>
            <w:tcBorders>
              <w:top w:val="single" w:color="auto" w:sz="4" w:space="0"/>
              <w:left w:val="single" w:color="auto" w:sz="4" w:space="0"/>
              <w:bottom w:val="single" w:color="auto" w:sz="4" w:space="0"/>
              <w:right w:val="single" w:color="auto" w:sz="4" w:space="0"/>
            </w:tcBorders>
            <w:vAlign w:val="center"/>
          </w:tcPr>
          <w:p w14:paraId="15C20D26">
            <w:pPr>
              <w:tabs>
                <w:tab w:val="left" w:pos="7920"/>
              </w:tabs>
              <w:spacing w:before="100" w:line="300" w:lineRule="exact"/>
              <w:jc w:val="center"/>
              <w:rPr>
                <w:rFonts w:hint="eastAsia" w:ascii="宋体" w:hAnsi="宋体"/>
                <w:color w:val="auto"/>
                <w:szCs w:val="21"/>
                <w:highlight w:val="none"/>
              </w:rPr>
            </w:pPr>
          </w:p>
        </w:tc>
        <w:tc>
          <w:tcPr>
            <w:tcW w:w="1134" w:type="dxa"/>
            <w:tcBorders>
              <w:top w:val="single" w:color="auto" w:sz="4" w:space="0"/>
              <w:left w:val="single" w:color="auto" w:sz="4" w:space="0"/>
              <w:bottom w:val="single" w:color="auto" w:sz="4" w:space="0"/>
              <w:right w:val="single" w:color="auto" w:sz="4" w:space="0"/>
            </w:tcBorders>
            <w:vAlign w:val="center"/>
          </w:tcPr>
          <w:p w14:paraId="1692C7F4">
            <w:pPr>
              <w:tabs>
                <w:tab w:val="left" w:pos="7920"/>
              </w:tabs>
              <w:spacing w:before="100" w:line="300" w:lineRule="exact"/>
              <w:jc w:val="center"/>
              <w:rPr>
                <w:rFonts w:hint="eastAsia" w:ascii="宋体" w:hAnsi="宋体"/>
                <w:color w:val="auto"/>
                <w:szCs w:val="21"/>
                <w:highlight w:val="none"/>
              </w:rPr>
            </w:pPr>
          </w:p>
        </w:tc>
        <w:tc>
          <w:tcPr>
            <w:tcW w:w="1243" w:type="dxa"/>
            <w:tcBorders>
              <w:top w:val="single" w:color="auto" w:sz="4" w:space="0"/>
              <w:left w:val="single" w:color="auto" w:sz="4" w:space="0"/>
              <w:bottom w:val="single" w:color="auto" w:sz="4" w:space="0"/>
              <w:right w:val="single" w:color="auto" w:sz="4" w:space="0"/>
            </w:tcBorders>
            <w:vAlign w:val="center"/>
          </w:tcPr>
          <w:p w14:paraId="2F3A5456">
            <w:pPr>
              <w:tabs>
                <w:tab w:val="left" w:pos="7920"/>
              </w:tabs>
              <w:spacing w:before="100" w:line="300" w:lineRule="exact"/>
              <w:jc w:val="center"/>
              <w:rPr>
                <w:rFonts w:hint="eastAsia" w:ascii="宋体" w:hAnsi="宋体"/>
                <w:color w:val="auto"/>
                <w:szCs w:val="21"/>
                <w:highlight w:val="none"/>
              </w:rPr>
            </w:pPr>
          </w:p>
        </w:tc>
        <w:tc>
          <w:tcPr>
            <w:tcW w:w="1444" w:type="dxa"/>
            <w:tcBorders>
              <w:top w:val="single" w:color="auto" w:sz="4" w:space="0"/>
              <w:left w:val="single" w:color="auto" w:sz="4" w:space="0"/>
              <w:bottom w:val="single" w:color="auto" w:sz="4" w:space="0"/>
            </w:tcBorders>
            <w:vAlign w:val="center"/>
          </w:tcPr>
          <w:p w14:paraId="2B280EFF">
            <w:pPr>
              <w:tabs>
                <w:tab w:val="left" w:pos="7920"/>
              </w:tabs>
              <w:spacing w:before="100" w:line="300" w:lineRule="exact"/>
              <w:jc w:val="center"/>
              <w:rPr>
                <w:rFonts w:hint="eastAsia" w:ascii="宋体" w:hAnsi="宋体"/>
                <w:color w:val="auto"/>
                <w:szCs w:val="21"/>
                <w:highlight w:val="none"/>
              </w:rPr>
            </w:pPr>
          </w:p>
        </w:tc>
      </w:tr>
    </w:tbl>
    <w:p w14:paraId="7C8BC57D">
      <w:pPr>
        <w:spacing w:line="360" w:lineRule="auto"/>
        <w:ind w:right="-233" w:rightChars="-111"/>
        <w:jc w:val="left"/>
        <w:rPr>
          <w:rFonts w:hint="eastAsia" w:ascii="宋体" w:hAnsi="宋体"/>
          <w:color w:val="auto"/>
          <w:szCs w:val="21"/>
          <w:highlight w:val="none"/>
        </w:rPr>
      </w:pPr>
    </w:p>
    <w:p w14:paraId="0282E274">
      <w:pPr>
        <w:spacing w:line="360" w:lineRule="auto"/>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注：请结合本项目</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第四章技术标评审标准中第4点“机械配置、道班房配置、应急设备配置”的要求自行填写机械设备等，包括但不限于评审标准中要求的机械设备，投标供应商可根据实际情况添加。</w:t>
      </w:r>
    </w:p>
    <w:p w14:paraId="5C4C7AA5">
      <w:pPr>
        <w:spacing w:line="360" w:lineRule="auto"/>
        <w:jc w:val="center"/>
        <w:rPr>
          <w:rFonts w:hint="eastAsia" w:ascii="宋体" w:hAnsi="宋体"/>
          <w:b/>
          <w:color w:val="auto"/>
          <w:szCs w:val="21"/>
          <w:highlight w:val="none"/>
        </w:rPr>
      </w:pPr>
    </w:p>
    <w:p w14:paraId="70D591F2">
      <w:pPr>
        <w:snapToGrid w:val="0"/>
        <w:spacing w:line="360" w:lineRule="auto"/>
        <w:ind w:right="210"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投标供应商：（加盖公章）</w:t>
      </w:r>
    </w:p>
    <w:p w14:paraId="59405FA2">
      <w:pPr>
        <w:snapToGrid w:val="0"/>
        <w:spacing w:line="360" w:lineRule="auto"/>
        <w:ind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法定代表人或被授权人：（签字或盖章）</w:t>
      </w:r>
    </w:p>
    <w:p w14:paraId="5A043AF2">
      <w:pPr>
        <w:wordWrap w:val="0"/>
        <w:spacing w:line="360" w:lineRule="auto"/>
        <w:ind w:right="420" w:firstLine="7140" w:firstLineChars="3400"/>
        <w:rPr>
          <w:rFonts w:hint="eastAsia" w:ascii="宋体" w:hAnsi="宋体"/>
          <w:color w:val="auto"/>
          <w:szCs w:val="21"/>
          <w:highlight w:val="none"/>
        </w:rPr>
      </w:pPr>
      <w:r>
        <w:rPr>
          <w:rFonts w:hint="eastAsia" w:ascii="宋体" w:hAnsi="宋体" w:cs="宋体"/>
          <w:color w:val="auto"/>
          <w:szCs w:val="21"/>
          <w:highlight w:val="none"/>
        </w:rPr>
        <w:t>日期</w:t>
      </w:r>
      <w:r>
        <w:rPr>
          <w:rFonts w:ascii="宋体" w:hAnsi="宋体" w:cs="宋体"/>
          <w:color w:val="auto"/>
          <w:szCs w:val="21"/>
          <w:highlight w:val="none"/>
        </w:rPr>
        <w:t>：</w:t>
      </w:r>
    </w:p>
    <w:p w14:paraId="34CA209B">
      <w:pPr>
        <w:spacing w:line="360" w:lineRule="auto"/>
        <w:jc w:val="center"/>
        <w:rPr>
          <w:rFonts w:hint="eastAsia" w:ascii="宋体" w:hAnsi="宋体"/>
          <w:color w:val="auto"/>
          <w:sz w:val="24"/>
          <w:highlight w:val="none"/>
        </w:rPr>
      </w:pPr>
    </w:p>
    <w:p w14:paraId="5197A7A4">
      <w:pPr>
        <w:spacing w:line="360" w:lineRule="auto"/>
        <w:jc w:val="center"/>
        <w:rPr>
          <w:rFonts w:hint="eastAsia" w:ascii="宋体" w:hAnsi="宋体"/>
          <w:color w:val="auto"/>
          <w:sz w:val="24"/>
          <w:highlight w:val="none"/>
        </w:rPr>
      </w:pPr>
    </w:p>
    <w:p w14:paraId="06A91A62">
      <w:pPr>
        <w:rPr>
          <w:rFonts w:hint="eastAsia" w:ascii="宋体" w:hAnsi="宋体"/>
          <w:color w:val="auto"/>
          <w:sz w:val="28"/>
          <w:szCs w:val="28"/>
          <w:highlight w:val="none"/>
        </w:rPr>
      </w:pPr>
    </w:p>
    <w:p w14:paraId="643A6E8C">
      <w:pPr>
        <w:snapToGrid w:val="0"/>
        <w:spacing w:line="440" w:lineRule="exact"/>
        <w:jc w:val="center"/>
        <w:rPr>
          <w:rFonts w:hint="eastAsia" w:ascii="宋体" w:hAnsi="宋体"/>
          <w:color w:val="auto"/>
          <w:sz w:val="28"/>
          <w:szCs w:val="28"/>
          <w:highlight w:val="none"/>
        </w:rPr>
      </w:pPr>
    </w:p>
    <w:p w14:paraId="556ECDFD">
      <w:pPr>
        <w:snapToGrid w:val="0"/>
        <w:spacing w:line="440" w:lineRule="exact"/>
        <w:jc w:val="center"/>
        <w:rPr>
          <w:rFonts w:hint="eastAsia" w:ascii="宋体" w:hAnsi="宋体"/>
          <w:color w:val="auto"/>
          <w:sz w:val="28"/>
          <w:szCs w:val="28"/>
          <w:highlight w:val="none"/>
        </w:rPr>
      </w:pPr>
    </w:p>
    <w:p w14:paraId="15A4975C">
      <w:pPr>
        <w:snapToGrid w:val="0"/>
        <w:spacing w:line="440" w:lineRule="exact"/>
        <w:jc w:val="center"/>
        <w:rPr>
          <w:rFonts w:hint="eastAsia" w:ascii="宋体" w:hAnsi="宋体"/>
          <w:color w:val="auto"/>
          <w:sz w:val="28"/>
          <w:szCs w:val="28"/>
          <w:highlight w:val="none"/>
        </w:rPr>
      </w:pPr>
    </w:p>
    <w:p w14:paraId="04ECB0AB">
      <w:pPr>
        <w:snapToGrid w:val="0"/>
        <w:spacing w:line="440" w:lineRule="exact"/>
        <w:jc w:val="center"/>
        <w:rPr>
          <w:rFonts w:hint="eastAsia" w:ascii="宋体" w:hAnsi="宋体"/>
          <w:color w:val="auto"/>
          <w:sz w:val="28"/>
          <w:szCs w:val="28"/>
          <w:highlight w:val="none"/>
        </w:rPr>
      </w:pPr>
    </w:p>
    <w:p w14:paraId="64B343C7">
      <w:pPr>
        <w:snapToGrid w:val="0"/>
        <w:spacing w:line="440" w:lineRule="exact"/>
        <w:jc w:val="center"/>
        <w:rPr>
          <w:rFonts w:hint="eastAsia" w:ascii="宋体" w:hAnsi="宋体"/>
          <w:color w:val="auto"/>
          <w:sz w:val="28"/>
          <w:szCs w:val="28"/>
          <w:highlight w:val="none"/>
        </w:rPr>
      </w:pPr>
    </w:p>
    <w:p w14:paraId="4CCF8518">
      <w:pPr>
        <w:snapToGrid w:val="0"/>
        <w:spacing w:line="440" w:lineRule="exact"/>
        <w:jc w:val="center"/>
        <w:rPr>
          <w:rFonts w:hint="eastAsia" w:ascii="宋体" w:hAnsi="宋体"/>
          <w:color w:val="auto"/>
          <w:sz w:val="28"/>
          <w:szCs w:val="28"/>
          <w:highlight w:val="none"/>
        </w:rPr>
      </w:pPr>
    </w:p>
    <w:p w14:paraId="1AE56C34">
      <w:pPr>
        <w:snapToGrid w:val="0"/>
        <w:spacing w:line="440" w:lineRule="exact"/>
        <w:jc w:val="center"/>
        <w:rPr>
          <w:rFonts w:hint="eastAsia" w:ascii="宋体" w:hAnsi="宋体"/>
          <w:color w:val="auto"/>
          <w:sz w:val="28"/>
          <w:szCs w:val="28"/>
          <w:highlight w:val="none"/>
        </w:rPr>
      </w:pPr>
    </w:p>
    <w:p w14:paraId="0D9D16C0">
      <w:pPr>
        <w:snapToGrid w:val="0"/>
        <w:spacing w:line="440" w:lineRule="exact"/>
        <w:jc w:val="center"/>
        <w:rPr>
          <w:rFonts w:hint="eastAsia" w:ascii="宋体" w:hAnsi="宋体"/>
          <w:color w:val="auto"/>
          <w:sz w:val="28"/>
          <w:szCs w:val="28"/>
          <w:highlight w:val="none"/>
        </w:rPr>
      </w:pPr>
    </w:p>
    <w:p w14:paraId="7E2A109E">
      <w:pPr>
        <w:snapToGrid w:val="0"/>
        <w:spacing w:line="440" w:lineRule="exact"/>
        <w:jc w:val="center"/>
        <w:rPr>
          <w:rFonts w:hint="eastAsia" w:ascii="宋体" w:hAnsi="宋体"/>
          <w:color w:val="auto"/>
          <w:sz w:val="28"/>
          <w:szCs w:val="28"/>
          <w:highlight w:val="none"/>
        </w:rPr>
      </w:pPr>
    </w:p>
    <w:p w14:paraId="29D169D1">
      <w:pPr>
        <w:snapToGrid w:val="0"/>
        <w:spacing w:line="360" w:lineRule="auto"/>
        <w:jc w:val="center"/>
        <w:rPr>
          <w:rFonts w:hint="eastAsia" w:ascii="宋体" w:hAnsi="宋体"/>
          <w:b/>
          <w:color w:val="auto"/>
          <w:sz w:val="28"/>
          <w:szCs w:val="28"/>
          <w:highlight w:val="none"/>
        </w:rPr>
      </w:pPr>
      <w:r>
        <w:rPr>
          <w:rFonts w:hint="eastAsia" w:ascii="宋体" w:hAnsi="宋体"/>
          <w:b/>
          <w:color w:val="auto"/>
          <w:sz w:val="28"/>
          <w:szCs w:val="28"/>
          <w:highlight w:val="none"/>
        </w:rPr>
        <w:t>市政设施养护维修项目部主要养护人员表</w:t>
      </w:r>
    </w:p>
    <w:tbl>
      <w:tblPr>
        <w:tblStyle w:val="25"/>
        <w:tblW w:w="0" w:type="auto"/>
        <w:tblInd w:w="-106"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389"/>
        <w:gridCol w:w="1300"/>
        <w:gridCol w:w="865"/>
        <w:gridCol w:w="1299"/>
        <w:gridCol w:w="1946"/>
        <w:gridCol w:w="1942"/>
      </w:tblGrid>
      <w:tr w14:paraId="491A17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2389" w:type="dxa"/>
            <w:tcBorders>
              <w:top w:val="single" w:color="auto" w:sz="4" w:space="0"/>
              <w:bottom w:val="single" w:color="auto" w:sz="4" w:space="0"/>
              <w:right w:val="single" w:color="auto" w:sz="4" w:space="0"/>
            </w:tcBorders>
            <w:vAlign w:val="center"/>
          </w:tcPr>
          <w:p w14:paraId="114DBDAC">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职务</w:t>
            </w:r>
          </w:p>
        </w:tc>
        <w:tc>
          <w:tcPr>
            <w:tcW w:w="1300" w:type="dxa"/>
            <w:tcBorders>
              <w:top w:val="single" w:color="auto" w:sz="4" w:space="0"/>
              <w:left w:val="single" w:color="auto" w:sz="4" w:space="0"/>
              <w:bottom w:val="single" w:color="auto" w:sz="4" w:space="0"/>
              <w:right w:val="single" w:color="auto" w:sz="4" w:space="0"/>
            </w:tcBorders>
            <w:vAlign w:val="center"/>
          </w:tcPr>
          <w:p w14:paraId="53A743C1">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姓名</w:t>
            </w:r>
          </w:p>
        </w:tc>
        <w:tc>
          <w:tcPr>
            <w:tcW w:w="865" w:type="dxa"/>
            <w:tcBorders>
              <w:top w:val="single" w:color="auto" w:sz="4" w:space="0"/>
              <w:left w:val="single" w:color="auto" w:sz="4" w:space="0"/>
              <w:bottom w:val="single" w:color="auto" w:sz="4" w:space="0"/>
              <w:right w:val="single" w:color="auto" w:sz="4" w:space="0"/>
            </w:tcBorders>
            <w:vAlign w:val="center"/>
          </w:tcPr>
          <w:p w14:paraId="17EC6464">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年龄</w:t>
            </w:r>
          </w:p>
        </w:tc>
        <w:tc>
          <w:tcPr>
            <w:tcW w:w="1299" w:type="dxa"/>
            <w:tcBorders>
              <w:top w:val="single" w:color="auto" w:sz="4" w:space="0"/>
              <w:left w:val="single" w:color="auto" w:sz="4" w:space="0"/>
              <w:bottom w:val="single" w:color="auto" w:sz="4" w:space="0"/>
              <w:right w:val="single" w:color="auto" w:sz="4" w:space="0"/>
            </w:tcBorders>
            <w:vAlign w:val="center"/>
          </w:tcPr>
          <w:p w14:paraId="38304F4F">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职称</w:t>
            </w:r>
          </w:p>
        </w:tc>
        <w:tc>
          <w:tcPr>
            <w:tcW w:w="1946" w:type="dxa"/>
            <w:tcBorders>
              <w:top w:val="single" w:color="auto" w:sz="4" w:space="0"/>
              <w:left w:val="single" w:color="auto" w:sz="4" w:space="0"/>
              <w:bottom w:val="single" w:color="auto" w:sz="4" w:space="0"/>
              <w:right w:val="single" w:color="auto" w:sz="4" w:space="0"/>
            </w:tcBorders>
            <w:vAlign w:val="center"/>
          </w:tcPr>
          <w:p w14:paraId="4B0E1061">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主要资历</w:t>
            </w:r>
          </w:p>
          <w:p w14:paraId="6EE7B004">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从业经验</w:t>
            </w:r>
          </w:p>
        </w:tc>
        <w:tc>
          <w:tcPr>
            <w:tcW w:w="1942" w:type="dxa"/>
            <w:tcBorders>
              <w:top w:val="single" w:color="auto" w:sz="4" w:space="0"/>
              <w:left w:val="single" w:color="auto" w:sz="4" w:space="0"/>
              <w:bottom w:val="single" w:color="auto" w:sz="4" w:space="0"/>
            </w:tcBorders>
            <w:vAlign w:val="center"/>
          </w:tcPr>
          <w:p w14:paraId="6BB583B0">
            <w:pPr>
              <w:tabs>
                <w:tab w:val="left" w:pos="7920"/>
              </w:tabs>
              <w:spacing w:line="360" w:lineRule="exact"/>
              <w:jc w:val="center"/>
              <w:rPr>
                <w:rFonts w:hint="eastAsia" w:ascii="宋体" w:hAnsi="宋体"/>
                <w:b/>
                <w:bCs/>
                <w:color w:val="auto"/>
                <w:szCs w:val="21"/>
                <w:highlight w:val="none"/>
              </w:rPr>
            </w:pPr>
            <w:r>
              <w:rPr>
                <w:rFonts w:hint="eastAsia" w:ascii="宋体" w:hAnsi="宋体" w:cs="宋体"/>
                <w:b/>
                <w:bCs/>
                <w:color w:val="auto"/>
                <w:szCs w:val="21"/>
                <w:highlight w:val="none"/>
              </w:rPr>
              <w:t>联系方式</w:t>
            </w:r>
          </w:p>
        </w:tc>
      </w:tr>
      <w:tr w14:paraId="47544D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21C30614">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项目负责人</w:t>
            </w:r>
          </w:p>
        </w:tc>
        <w:tc>
          <w:tcPr>
            <w:tcW w:w="1300" w:type="dxa"/>
            <w:tcBorders>
              <w:top w:val="single" w:color="auto" w:sz="4" w:space="0"/>
              <w:left w:val="single" w:color="auto" w:sz="4" w:space="0"/>
              <w:bottom w:val="single" w:color="auto" w:sz="4" w:space="0"/>
              <w:right w:val="single" w:color="auto" w:sz="4" w:space="0"/>
            </w:tcBorders>
            <w:vAlign w:val="center"/>
          </w:tcPr>
          <w:p w14:paraId="54CA6716">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1A6F48FA">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56FA2E96">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0BAEB227">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0FAB25FA">
            <w:pPr>
              <w:tabs>
                <w:tab w:val="left" w:pos="7920"/>
              </w:tabs>
              <w:spacing w:before="100" w:line="300" w:lineRule="exact"/>
              <w:jc w:val="center"/>
              <w:rPr>
                <w:rFonts w:hint="eastAsia" w:ascii="宋体" w:hAnsi="宋体"/>
                <w:color w:val="auto"/>
                <w:szCs w:val="21"/>
                <w:highlight w:val="none"/>
              </w:rPr>
            </w:pPr>
          </w:p>
        </w:tc>
      </w:tr>
      <w:tr w14:paraId="04EFC39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4F60280C">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技术负责人</w:t>
            </w:r>
          </w:p>
        </w:tc>
        <w:tc>
          <w:tcPr>
            <w:tcW w:w="1300" w:type="dxa"/>
            <w:tcBorders>
              <w:top w:val="single" w:color="auto" w:sz="4" w:space="0"/>
              <w:left w:val="single" w:color="auto" w:sz="4" w:space="0"/>
              <w:bottom w:val="single" w:color="auto" w:sz="4" w:space="0"/>
              <w:right w:val="single" w:color="auto" w:sz="4" w:space="0"/>
            </w:tcBorders>
            <w:vAlign w:val="center"/>
          </w:tcPr>
          <w:p w14:paraId="2ABB6AC6">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1DB7C94F">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2FB9A591">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487883DB">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0B77690B">
            <w:pPr>
              <w:tabs>
                <w:tab w:val="left" w:pos="7920"/>
              </w:tabs>
              <w:spacing w:before="100" w:line="300" w:lineRule="exact"/>
              <w:jc w:val="center"/>
              <w:rPr>
                <w:rFonts w:hint="eastAsia" w:ascii="宋体" w:hAnsi="宋体"/>
                <w:color w:val="auto"/>
                <w:szCs w:val="21"/>
                <w:highlight w:val="none"/>
              </w:rPr>
            </w:pPr>
          </w:p>
        </w:tc>
      </w:tr>
      <w:tr w14:paraId="25CE4E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644983BC">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施工员</w:t>
            </w:r>
          </w:p>
        </w:tc>
        <w:tc>
          <w:tcPr>
            <w:tcW w:w="1300" w:type="dxa"/>
            <w:tcBorders>
              <w:top w:val="single" w:color="auto" w:sz="4" w:space="0"/>
              <w:left w:val="single" w:color="auto" w:sz="4" w:space="0"/>
              <w:bottom w:val="single" w:color="auto" w:sz="4" w:space="0"/>
              <w:right w:val="single" w:color="auto" w:sz="4" w:space="0"/>
            </w:tcBorders>
            <w:vAlign w:val="center"/>
          </w:tcPr>
          <w:p w14:paraId="208A6A05">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5B2723D4">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019486E5">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12D0D25F">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195A849A">
            <w:pPr>
              <w:tabs>
                <w:tab w:val="left" w:pos="7920"/>
              </w:tabs>
              <w:spacing w:before="100" w:line="300" w:lineRule="exact"/>
              <w:jc w:val="center"/>
              <w:rPr>
                <w:rFonts w:hint="eastAsia" w:ascii="宋体" w:hAnsi="宋体"/>
                <w:color w:val="auto"/>
                <w:szCs w:val="21"/>
                <w:highlight w:val="none"/>
              </w:rPr>
            </w:pPr>
          </w:p>
        </w:tc>
      </w:tr>
      <w:tr w14:paraId="284A8E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09C87553">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安全员</w:t>
            </w:r>
          </w:p>
        </w:tc>
        <w:tc>
          <w:tcPr>
            <w:tcW w:w="1300" w:type="dxa"/>
            <w:tcBorders>
              <w:top w:val="single" w:color="auto" w:sz="4" w:space="0"/>
              <w:left w:val="single" w:color="auto" w:sz="4" w:space="0"/>
              <w:bottom w:val="single" w:color="auto" w:sz="4" w:space="0"/>
              <w:right w:val="single" w:color="auto" w:sz="4" w:space="0"/>
            </w:tcBorders>
            <w:vAlign w:val="center"/>
          </w:tcPr>
          <w:p w14:paraId="1393298C">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0EC13D63">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2039E59B">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7ED8B39C">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6898216A">
            <w:pPr>
              <w:tabs>
                <w:tab w:val="left" w:pos="7920"/>
              </w:tabs>
              <w:spacing w:before="100" w:line="300" w:lineRule="exact"/>
              <w:jc w:val="center"/>
              <w:rPr>
                <w:rFonts w:hint="eastAsia" w:ascii="宋体" w:hAnsi="宋体"/>
                <w:color w:val="auto"/>
                <w:szCs w:val="21"/>
                <w:highlight w:val="none"/>
              </w:rPr>
            </w:pPr>
          </w:p>
        </w:tc>
      </w:tr>
      <w:tr w14:paraId="6F69A5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1CEB6C86">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质量员</w:t>
            </w:r>
          </w:p>
        </w:tc>
        <w:tc>
          <w:tcPr>
            <w:tcW w:w="1300" w:type="dxa"/>
            <w:tcBorders>
              <w:top w:val="single" w:color="auto" w:sz="4" w:space="0"/>
              <w:left w:val="single" w:color="auto" w:sz="4" w:space="0"/>
              <w:bottom w:val="single" w:color="auto" w:sz="4" w:space="0"/>
              <w:right w:val="single" w:color="auto" w:sz="4" w:space="0"/>
            </w:tcBorders>
            <w:vAlign w:val="center"/>
          </w:tcPr>
          <w:p w14:paraId="00B30BDD">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7BC0A28B">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17790387">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616EED9A">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06B6B5D7">
            <w:pPr>
              <w:tabs>
                <w:tab w:val="left" w:pos="7920"/>
              </w:tabs>
              <w:spacing w:before="100" w:line="300" w:lineRule="exact"/>
              <w:jc w:val="center"/>
              <w:rPr>
                <w:rFonts w:hint="eastAsia" w:ascii="宋体" w:hAnsi="宋体"/>
                <w:color w:val="auto"/>
                <w:szCs w:val="21"/>
                <w:highlight w:val="none"/>
              </w:rPr>
            </w:pPr>
          </w:p>
        </w:tc>
      </w:tr>
      <w:tr w14:paraId="71B44DF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3C93537C">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测量员</w:t>
            </w:r>
          </w:p>
        </w:tc>
        <w:tc>
          <w:tcPr>
            <w:tcW w:w="1300" w:type="dxa"/>
            <w:tcBorders>
              <w:top w:val="single" w:color="auto" w:sz="4" w:space="0"/>
              <w:left w:val="single" w:color="auto" w:sz="4" w:space="0"/>
              <w:bottom w:val="single" w:color="auto" w:sz="4" w:space="0"/>
              <w:right w:val="single" w:color="auto" w:sz="4" w:space="0"/>
            </w:tcBorders>
            <w:vAlign w:val="center"/>
          </w:tcPr>
          <w:p w14:paraId="0EDC814D">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555451DA">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7432AFF8">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2AD84037">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2A7FEF64">
            <w:pPr>
              <w:tabs>
                <w:tab w:val="left" w:pos="7920"/>
              </w:tabs>
              <w:spacing w:before="100" w:line="300" w:lineRule="exact"/>
              <w:jc w:val="center"/>
              <w:rPr>
                <w:rFonts w:hint="eastAsia" w:ascii="宋体" w:hAnsi="宋体"/>
                <w:color w:val="auto"/>
                <w:szCs w:val="21"/>
                <w:highlight w:val="none"/>
              </w:rPr>
            </w:pPr>
          </w:p>
        </w:tc>
      </w:tr>
      <w:tr w14:paraId="5EEDAC8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3C4E4ABD">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造价员</w:t>
            </w:r>
          </w:p>
        </w:tc>
        <w:tc>
          <w:tcPr>
            <w:tcW w:w="1300" w:type="dxa"/>
            <w:tcBorders>
              <w:top w:val="single" w:color="auto" w:sz="4" w:space="0"/>
              <w:left w:val="single" w:color="auto" w:sz="4" w:space="0"/>
              <w:bottom w:val="single" w:color="auto" w:sz="4" w:space="0"/>
              <w:right w:val="single" w:color="auto" w:sz="4" w:space="0"/>
            </w:tcBorders>
            <w:vAlign w:val="center"/>
          </w:tcPr>
          <w:p w14:paraId="7B36BD8C">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012EB6CA">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4370B397">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2594DB1A">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3606036C">
            <w:pPr>
              <w:tabs>
                <w:tab w:val="left" w:pos="7920"/>
              </w:tabs>
              <w:spacing w:before="100" w:line="300" w:lineRule="exact"/>
              <w:jc w:val="center"/>
              <w:rPr>
                <w:rFonts w:hint="eastAsia" w:ascii="宋体" w:hAnsi="宋体"/>
                <w:color w:val="auto"/>
                <w:szCs w:val="21"/>
                <w:highlight w:val="none"/>
              </w:rPr>
            </w:pPr>
          </w:p>
        </w:tc>
      </w:tr>
      <w:tr w14:paraId="7A124E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409BA8F3">
            <w:pPr>
              <w:tabs>
                <w:tab w:val="left" w:pos="7920"/>
              </w:tabs>
              <w:spacing w:before="100" w:line="300" w:lineRule="exact"/>
              <w:jc w:val="center"/>
              <w:rPr>
                <w:rFonts w:hint="eastAsia" w:ascii="宋体" w:hAnsi="宋体"/>
                <w:color w:val="auto"/>
                <w:szCs w:val="21"/>
                <w:highlight w:val="none"/>
              </w:rPr>
            </w:pPr>
          </w:p>
        </w:tc>
        <w:tc>
          <w:tcPr>
            <w:tcW w:w="1300" w:type="dxa"/>
            <w:tcBorders>
              <w:top w:val="single" w:color="auto" w:sz="4" w:space="0"/>
              <w:left w:val="single" w:color="auto" w:sz="4" w:space="0"/>
              <w:bottom w:val="single" w:color="auto" w:sz="4" w:space="0"/>
              <w:right w:val="single" w:color="auto" w:sz="4" w:space="0"/>
            </w:tcBorders>
            <w:vAlign w:val="center"/>
          </w:tcPr>
          <w:p w14:paraId="698471D1">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0B5EAF60">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3ACE313C">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1E7AE494">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49F6CF37">
            <w:pPr>
              <w:tabs>
                <w:tab w:val="left" w:pos="7920"/>
              </w:tabs>
              <w:spacing w:before="100" w:line="300" w:lineRule="exact"/>
              <w:jc w:val="center"/>
              <w:rPr>
                <w:rFonts w:hint="eastAsia" w:ascii="宋体" w:hAnsi="宋体"/>
                <w:color w:val="auto"/>
                <w:szCs w:val="21"/>
                <w:highlight w:val="none"/>
              </w:rPr>
            </w:pPr>
          </w:p>
        </w:tc>
      </w:tr>
      <w:tr w14:paraId="4EBBDE1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80" w:hRule="atLeast"/>
        </w:trPr>
        <w:tc>
          <w:tcPr>
            <w:tcW w:w="2389" w:type="dxa"/>
            <w:tcBorders>
              <w:top w:val="single" w:color="auto" w:sz="4" w:space="0"/>
              <w:bottom w:val="single" w:color="auto" w:sz="4" w:space="0"/>
              <w:right w:val="single" w:color="auto" w:sz="4" w:space="0"/>
            </w:tcBorders>
            <w:vAlign w:val="center"/>
          </w:tcPr>
          <w:p w14:paraId="1F8DE4F1">
            <w:pPr>
              <w:tabs>
                <w:tab w:val="left" w:pos="7920"/>
              </w:tabs>
              <w:spacing w:before="100" w:line="300" w:lineRule="exact"/>
              <w:jc w:val="center"/>
              <w:rPr>
                <w:rFonts w:hint="eastAsia" w:ascii="宋体" w:hAnsi="宋体"/>
                <w:color w:val="auto"/>
                <w:szCs w:val="21"/>
                <w:highlight w:val="none"/>
              </w:rPr>
            </w:pPr>
            <w:r>
              <w:rPr>
                <w:rFonts w:hint="eastAsia" w:ascii="宋体" w:hAnsi="宋体" w:cs="宋体"/>
                <w:color w:val="auto"/>
                <w:szCs w:val="21"/>
                <w:highlight w:val="none"/>
              </w:rPr>
              <w:t>……</w:t>
            </w:r>
          </w:p>
        </w:tc>
        <w:tc>
          <w:tcPr>
            <w:tcW w:w="1300" w:type="dxa"/>
            <w:tcBorders>
              <w:top w:val="single" w:color="auto" w:sz="4" w:space="0"/>
              <w:left w:val="single" w:color="auto" w:sz="4" w:space="0"/>
              <w:bottom w:val="single" w:color="auto" w:sz="4" w:space="0"/>
              <w:right w:val="single" w:color="auto" w:sz="4" w:space="0"/>
            </w:tcBorders>
            <w:vAlign w:val="center"/>
          </w:tcPr>
          <w:p w14:paraId="646699A1">
            <w:pPr>
              <w:tabs>
                <w:tab w:val="left" w:pos="7920"/>
              </w:tabs>
              <w:spacing w:before="100" w:line="300" w:lineRule="exact"/>
              <w:jc w:val="center"/>
              <w:rPr>
                <w:rFonts w:hint="eastAsia" w:ascii="宋体" w:hAnsi="宋体"/>
                <w:color w:val="auto"/>
                <w:szCs w:val="21"/>
                <w:highlight w:val="none"/>
              </w:rPr>
            </w:pPr>
          </w:p>
        </w:tc>
        <w:tc>
          <w:tcPr>
            <w:tcW w:w="865" w:type="dxa"/>
            <w:tcBorders>
              <w:top w:val="single" w:color="auto" w:sz="4" w:space="0"/>
              <w:left w:val="single" w:color="auto" w:sz="4" w:space="0"/>
              <w:bottom w:val="single" w:color="auto" w:sz="4" w:space="0"/>
              <w:right w:val="single" w:color="auto" w:sz="4" w:space="0"/>
            </w:tcBorders>
            <w:vAlign w:val="center"/>
          </w:tcPr>
          <w:p w14:paraId="493E969A">
            <w:pPr>
              <w:tabs>
                <w:tab w:val="left" w:pos="7920"/>
              </w:tabs>
              <w:spacing w:before="100" w:line="300" w:lineRule="exact"/>
              <w:jc w:val="center"/>
              <w:rPr>
                <w:rFonts w:hint="eastAsia" w:ascii="宋体" w:hAnsi="宋体"/>
                <w:color w:val="auto"/>
                <w:szCs w:val="21"/>
                <w:highlight w:val="none"/>
              </w:rPr>
            </w:pPr>
          </w:p>
        </w:tc>
        <w:tc>
          <w:tcPr>
            <w:tcW w:w="1299" w:type="dxa"/>
            <w:tcBorders>
              <w:top w:val="single" w:color="auto" w:sz="4" w:space="0"/>
              <w:left w:val="single" w:color="auto" w:sz="4" w:space="0"/>
              <w:bottom w:val="single" w:color="auto" w:sz="4" w:space="0"/>
              <w:right w:val="single" w:color="auto" w:sz="4" w:space="0"/>
            </w:tcBorders>
            <w:vAlign w:val="center"/>
          </w:tcPr>
          <w:p w14:paraId="5147DAD3">
            <w:pPr>
              <w:tabs>
                <w:tab w:val="left" w:pos="7920"/>
              </w:tabs>
              <w:spacing w:before="100" w:line="300" w:lineRule="exact"/>
              <w:jc w:val="center"/>
              <w:rPr>
                <w:rFonts w:hint="eastAsia" w:ascii="宋体" w:hAnsi="宋体"/>
                <w:color w:val="auto"/>
                <w:szCs w:val="21"/>
                <w:highlight w:val="none"/>
              </w:rPr>
            </w:pPr>
          </w:p>
        </w:tc>
        <w:tc>
          <w:tcPr>
            <w:tcW w:w="1946" w:type="dxa"/>
            <w:tcBorders>
              <w:top w:val="single" w:color="auto" w:sz="4" w:space="0"/>
              <w:left w:val="single" w:color="auto" w:sz="4" w:space="0"/>
              <w:bottom w:val="single" w:color="auto" w:sz="4" w:space="0"/>
              <w:right w:val="single" w:color="auto" w:sz="4" w:space="0"/>
            </w:tcBorders>
            <w:vAlign w:val="center"/>
          </w:tcPr>
          <w:p w14:paraId="55348822">
            <w:pPr>
              <w:tabs>
                <w:tab w:val="left" w:pos="7920"/>
              </w:tabs>
              <w:spacing w:before="100" w:line="300" w:lineRule="exact"/>
              <w:jc w:val="center"/>
              <w:rPr>
                <w:rFonts w:hint="eastAsia" w:ascii="宋体" w:hAnsi="宋体"/>
                <w:color w:val="auto"/>
                <w:szCs w:val="21"/>
                <w:highlight w:val="none"/>
              </w:rPr>
            </w:pPr>
          </w:p>
        </w:tc>
        <w:tc>
          <w:tcPr>
            <w:tcW w:w="1942" w:type="dxa"/>
            <w:tcBorders>
              <w:top w:val="single" w:color="auto" w:sz="4" w:space="0"/>
              <w:left w:val="single" w:color="auto" w:sz="4" w:space="0"/>
              <w:bottom w:val="single" w:color="auto" w:sz="4" w:space="0"/>
            </w:tcBorders>
            <w:vAlign w:val="center"/>
          </w:tcPr>
          <w:p w14:paraId="7D175982">
            <w:pPr>
              <w:tabs>
                <w:tab w:val="left" w:pos="7920"/>
              </w:tabs>
              <w:spacing w:before="100" w:line="300" w:lineRule="exact"/>
              <w:jc w:val="center"/>
              <w:rPr>
                <w:rFonts w:hint="eastAsia" w:ascii="宋体" w:hAnsi="宋体"/>
                <w:color w:val="auto"/>
                <w:szCs w:val="21"/>
                <w:highlight w:val="none"/>
              </w:rPr>
            </w:pPr>
          </w:p>
        </w:tc>
      </w:tr>
    </w:tbl>
    <w:p w14:paraId="59DAB281">
      <w:pPr>
        <w:spacing w:line="360" w:lineRule="auto"/>
        <w:jc w:val="center"/>
        <w:rPr>
          <w:rFonts w:hint="eastAsia" w:ascii="宋体" w:hAnsi="宋体"/>
          <w:color w:val="auto"/>
          <w:szCs w:val="21"/>
          <w:highlight w:val="none"/>
        </w:rPr>
      </w:pPr>
    </w:p>
    <w:p w14:paraId="7950F69D">
      <w:pPr>
        <w:spacing w:line="540" w:lineRule="exact"/>
        <w:ind w:firstLine="422" w:firstLineChars="200"/>
        <w:rPr>
          <w:rFonts w:hint="eastAsia" w:ascii="宋体" w:hAnsi="宋体"/>
          <w:color w:val="auto"/>
          <w:szCs w:val="21"/>
          <w:highlight w:val="none"/>
        </w:rPr>
      </w:pPr>
      <w:r>
        <w:rPr>
          <w:rFonts w:hint="eastAsia" w:ascii="宋体" w:hAnsi="宋体" w:cs="宋体"/>
          <w:b/>
          <w:bCs/>
          <w:color w:val="auto"/>
          <w:szCs w:val="21"/>
          <w:highlight w:val="none"/>
        </w:rPr>
        <w:t>我单位承诺：以上现场项目负责人及专业养护人员将是我单位承担养护维修工程的专职人员，常驻南通市崇川区，按照采购人要求的到达维修与抢修现场，并在采购人约定的处置时限内完成。</w:t>
      </w:r>
    </w:p>
    <w:p w14:paraId="4C03F2A2">
      <w:pPr>
        <w:spacing w:line="360" w:lineRule="auto"/>
        <w:jc w:val="center"/>
        <w:rPr>
          <w:rFonts w:hint="eastAsia" w:ascii="宋体" w:hAnsi="宋体"/>
          <w:b/>
          <w:color w:val="auto"/>
          <w:szCs w:val="21"/>
          <w:highlight w:val="none"/>
        </w:rPr>
      </w:pPr>
    </w:p>
    <w:p w14:paraId="1369C327">
      <w:pPr>
        <w:snapToGrid w:val="0"/>
        <w:spacing w:line="360" w:lineRule="auto"/>
        <w:ind w:right="210"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投标供应商：（加盖公章）</w:t>
      </w:r>
    </w:p>
    <w:p w14:paraId="4CFBA9BA">
      <w:pPr>
        <w:snapToGrid w:val="0"/>
        <w:spacing w:line="360" w:lineRule="auto"/>
        <w:ind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法定代表人或被授权人：（签字或盖章）</w:t>
      </w:r>
    </w:p>
    <w:p w14:paraId="4669E570">
      <w:pPr>
        <w:wordWrap w:val="0"/>
        <w:spacing w:line="360" w:lineRule="auto"/>
        <w:ind w:right="420" w:firstLine="7140" w:firstLineChars="3400"/>
        <w:rPr>
          <w:rFonts w:hint="eastAsia" w:ascii="宋体" w:hAnsi="宋体"/>
          <w:color w:val="auto"/>
          <w:szCs w:val="21"/>
          <w:highlight w:val="none"/>
        </w:rPr>
      </w:pPr>
      <w:r>
        <w:rPr>
          <w:rFonts w:hint="eastAsia" w:ascii="宋体" w:hAnsi="宋体" w:cs="宋体"/>
          <w:color w:val="auto"/>
          <w:szCs w:val="21"/>
          <w:highlight w:val="none"/>
        </w:rPr>
        <w:t>日期</w:t>
      </w:r>
      <w:r>
        <w:rPr>
          <w:rFonts w:ascii="宋体" w:hAnsi="宋体" w:cs="宋体"/>
          <w:color w:val="auto"/>
          <w:szCs w:val="21"/>
          <w:highlight w:val="none"/>
        </w:rPr>
        <w:t>：</w:t>
      </w:r>
    </w:p>
    <w:p w14:paraId="735AC6D7">
      <w:pPr>
        <w:spacing w:line="360" w:lineRule="auto"/>
        <w:rPr>
          <w:rFonts w:hint="eastAsia" w:ascii="宋体" w:hAnsi="宋体"/>
          <w:color w:val="auto"/>
          <w:sz w:val="24"/>
          <w:highlight w:val="none"/>
        </w:rPr>
      </w:pPr>
    </w:p>
    <w:p w14:paraId="662965B4">
      <w:pPr>
        <w:spacing w:line="360" w:lineRule="auto"/>
        <w:rPr>
          <w:rFonts w:hint="eastAsia" w:ascii="宋体" w:hAnsi="宋体"/>
          <w:color w:val="auto"/>
          <w:sz w:val="24"/>
          <w:highlight w:val="none"/>
        </w:rPr>
      </w:pPr>
    </w:p>
    <w:p w14:paraId="22737677">
      <w:pPr>
        <w:pStyle w:val="24"/>
        <w:ind w:firstLine="400"/>
        <w:rPr>
          <w:rFonts w:hint="eastAsia" w:ascii="宋体" w:hAnsi="宋体"/>
          <w:color w:val="auto"/>
          <w:highlight w:val="none"/>
        </w:rPr>
      </w:pPr>
    </w:p>
    <w:p w14:paraId="4AF0F7BC">
      <w:pPr>
        <w:spacing w:line="360" w:lineRule="auto"/>
        <w:rPr>
          <w:rFonts w:hint="eastAsia" w:ascii="宋体" w:hAnsi="宋体"/>
          <w:color w:val="auto"/>
          <w:sz w:val="24"/>
          <w:highlight w:val="none"/>
        </w:rPr>
      </w:pPr>
    </w:p>
    <w:p w14:paraId="3AB4957C">
      <w:pPr>
        <w:rPr>
          <w:rFonts w:hint="eastAsia" w:ascii="宋体" w:hAnsi="宋体"/>
          <w:b/>
          <w:color w:val="auto"/>
          <w:sz w:val="32"/>
          <w:highlight w:val="none"/>
        </w:rPr>
      </w:pPr>
    </w:p>
    <w:p w14:paraId="7736702E">
      <w:pPr>
        <w:spacing w:before="120" w:beforeLines="50" w:after="120" w:afterLines="50" w:line="480" w:lineRule="exact"/>
        <w:jc w:val="center"/>
        <w:rPr>
          <w:rFonts w:hint="eastAsia" w:ascii="宋体" w:hAnsi="宋体"/>
          <w:b/>
          <w:color w:val="auto"/>
          <w:sz w:val="32"/>
          <w:highlight w:val="none"/>
        </w:rPr>
      </w:pPr>
    </w:p>
    <w:p w14:paraId="621069CE">
      <w:pPr>
        <w:spacing w:before="120" w:beforeLines="50" w:after="120" w:afterLines="50" w:line="480" w:lineRule="exact"/>
        <w:jc w:val="center"/>
        <w:rPr>
          <w:rFonts w:hint="eastAsia" w:ascii="宋体" w:hAnsi="宋体"/>
          <w:b/>
          <w:color w:val="auto"/>
          <w:sz w:val="32"/>
          <w:highlight w:val="none"/>
        </w:rPr>
      </w:pPr>
    </w:p>
    <w:p w14:paraId="369AF182">
      <w:pPr>
        <w:spacing w:before="120" w:beforeLines="50" w:after="120" w:afterLines="50" w:line="480" w:lineRule="exact"/>
        <w:jc w:val="center"/>
        <w:rPr>
          <w:rFonts w:hint="eastAsia" w:ascii="宋体" w:hAnsi="宋体"/>
          <w:b/>
          <w:color w:val="auto"/>
          <w:sz w:val="28"/>
          <w:szCs w:val="28"/>
          <w:highlight w:val="none"/>
        </w:rPr>
      </w:pPr>
      <w:r>
        <w:rPr>
          <w:rFonts w:hint="eastAsia" w:ascii="宋体" w:hAnsi="宋体"/>
          <w:b/>
          <w:color w:val="auto"/>
          <w:sz w:val="28"/>
          <w:szCs w:val="28"/>
          <w:highlight w:val="none"/>
        </w:rPr>
        <w:t>诚信承诺书</w:t>
      </w:r>
    </w:p>
    <w:p w14:paraId="7A1251EB">
      <w:pPr>
        <w:widowControl/>
        <w:snapToGrid w:val="0"/>
        <w:spacing w:line="360" w:lineRule="auto"/>
        <w:jc w:val="left"/>
        <w:rPr>
          <w:rFonts w:hint="eastAsia" w:ascii="宋体" w:hAnsi="宋体"/>
          <w:color w:val="auto"/>
          <w:szCs w:val="21"/>
          <w:highlight w:val="none"/>
        </w:rPr>
      </w:pPr>
      <w:r>
        <w:rPr>
          <w:rFonts w:hint="eastAsia" w:ascii="宋体" w:hAnsi="宋体"/>
          <w:color w:val="auto"/>
          <w:szCs w:val="21"/>
          <w:highlight w:val="none"/>
          <w:u w:val="single"/>
        </w:rPr>
        <w:t xml:space="preserve">   （采购人名称）                       </w:t>
      </w:r>
      <w:r>
        <w:rPr>
          <w:rFonts w:hint="eastAsia" w:ascii="宋体" w:hAnsi="宋体"/>
          <w:color w:val="auto"/>
          <w:szCs w:val="21"/>
          <w:highlight w:val="none"/>
        </w:rPr>
        <w:t>：</w:t>
      </w:r>
    </w:p>
    <w:p w14:paraId="597D5437">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我方参加你方的</w:t>
      </w:r>
      <w:r>
        <w:rPr>
          <w:rFonts w:hint="eastAsia" w:ascii="宋体" w:hAnsi="宋体"/>
          <w:b/>
          <w:color w:val="auto"/>
          <w:szCs w:val="21"/>
          <w:highlight w:val="none"/>
          <w:u w:val="single"/>
        </w:rPr>
        <w:t xml:space="preserve">                          </w:t>
      </w:r>
      <w:r>
        <w:rPr>
          <w:rFonts w:hint="eastAsia" w:ascii="宋体" w:hAnsi="宋体"/>
          <w:color w:val="auto"/>
          <w:szCs w:val="21"/>
          <w:highlight w:val="none"/>
        </w:rPr>
        <w:t>（以下简称“本工程”）的投标，现我方法定代表人向你方慎重承诺：</w:t>
      </w:r>
    </w:p>
    <w:p w14:paraId="5E3DFE63">
      <w:pPr>
        <w:widowControl/>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1、我方拟派项目负责人未同时在两个或两个以上单位受聘或者执业：(1)未同时在两个及以上单位交纳社会保险；(2)未将本人执（职）业资格证书同时注册在两个及以上单位。</w:t>
      </w:r>
    </w:p>
    <w:p w14:paraId="7A3375E8">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2、结合市政设施养护及抢修工程点多面散，突发性强，经常需要多班组同时作业的特点，我单位拟派项目负责人或施工员工作日驻场办公且确保全年均能组织力量到达任务现场并做好安全防护或进场维修，对于部分维修工程为满足施工质量要求需我单位配备相应设备的，</w:t>
      </w:r>
      <w:r>
        <w:rPr>
          <w:rFonts w:ascii="宋体" w:hAnsi="宋体"/>
          <w:color w:val="auto"/>
          <w:szCs w:val="21"/>
          <w:highlight w:val="none"/>
        </w:rPr>
        <w:t>我单位积极响应</w:t>
      </w:r>
      <w:r>
        <w:rPr>
          <w:rFonts w:hint="eastAsia" w:ascii="宋体" w:hAnsi="宋体"/>
          <w:color w:val="auto"/>
          <w:szCs w:val="21"/>
          <w:highlight w:val="none"/>
        </w:rPr>
        <w:t>采购</w:t>
      </w:r>
      <w:r>
        <w:rPr>
          <w:rFonts w:ascii="宋体" w:hAnsi="宋体"/>
          <w:color w:val="auto"/>
          <w:szCs w:val="21"/>
          <w:highlight w:val="none"/>
        </w:rPr>
        <w:t>人要求。</w:t>
      </w:r>
    </w:p>
    <w:p w14:paraId="2E0DA98A">
      <w:pPr>
        <w:snapToGrid w:val="0"/>
        <w:spacing w:line="360" w:lineRule="auto"/>
        <w:ind w:firstLine="420" w:firstLineChars="200"/>
        <w:jc w:val="left"/>
        <w:rPr>
          <w:rFonts w:hint="eastAsia" w:ascii="宋体" w:hAnsi="宋体"/>
          <w:color w:val="auto"/>
          <w:szCs w:val="21"/>
          <w:highlight w:val="none"/>
        </w:rPr>
      </w:pPr>
      <w:r>
        <w:rPr>
          <w:rFonts w:hint="eastAsia" w:ascii="宋体" w:hAnsi="宋体"/>
          <w:color w:val="auto"/>
          <w:szCs w:val="21"/>
          <w:highlight w:val="none"/>
        </w:rPr>
        <w:t>3、为适应工程抢修的需要，我单位</w:t>
      </w:r>
      <w:r>
        <w:rPr>
          <w:rFonts w:ascii="宋体" w:hAnsi="宋体"/>
          <w:color w:val="auto"/>
          <w:szCs w:val="21"/>
          <w:highlight w:val="none"/>
        </w:rPr>
        <w:t>拥有</w:t>
      </w:r>
      <w:r>
        <w:rPr>
          <w:rFonts w:hint="eastAsia" w:ascii="宋体" w:hAnsi="宋体"/>
          <w:color w:val="auto"/>
          <w:szCs w:val="21"/>
          <w:highlight w:val="none"/>
        </w:rPr>
        <w:t>长期合作的材料供应商，确保材料机械及时进场，不延误工程抢修。</w:t>
      </w:r>
    </w:p>
    <w:p w14:paraId="16B198BA">
      <w:pPr>
        <w:snapToGrid w:val="0"/>
        <w:spacing w:line="360" w:lineRule="auto"/>
        <w:ind w:firstLine="422" w:firstLineChars="200"/>
        <w:rPr>
          <w:rFonts w:hint="eastAsia" w:ascii="宋体" w:hAnsi="宋体"/>
          <w:b/>
          <w:color w:val="auto"/>
          <w:szCs w:val="21"/>
          <w:highlight w:val="none"/>
        </w:rPr>
      </w:pPr>
    </w:p>
    <w:p w14:paraId="629C5DE1">
      <w:pPr>
        <w:snapToGrid w:val="0"/>
        <w:spacing w:line="360" w:lineRule="auto"/>
        <w:ind w:firstLine="422" w:firstLineChars="200"/>
        <w:rPr>
          <w:rFonts w:hint="eastAsia" w:ascii="宋体" w:hAnsi="宋体"/>
          <w:b/>
          <w:color w:val="auto"/>
          <w:szCs w:val="21"/>
          <w:highlight w:val="none"/>
        </w:rPr>
      </w:pPr>
      <w:r>
        <w:rPr>
          <w:rFonts w:hint="eastAsia" w:ascii="宋体" w:hAnsi="宋体"/>
          <w:b/>
          <w:color w:val="auto"/>
          <w:szCs w:val="21"/>
          <w:highlight w:val="none"/>
        </w:rPr>
        <w:t>我方承诺：违反上述任何一条承诺，愿意接受任何处罚，包括同意你方取消我方中标资格并不予退还履约保证金，将我方列入黑名单，并上报建设主管部门，我方主动放弃今后十二个月内参与你方投标或竞价的资格。</w:t>
      </w:r>
    </w:p>
    <w:p w14:paraId="40F7134B">
      <w:pPr>
        <w:snapToGrid w:val="0"/>
        <w:spacing w:line="360" w:lineRule="auto"/>
        <w:ind w:firstLine="422" w:firstLineChars="200"/>
        <w:rPr>
          <w:rFonts w:hint="eastAsia" w:ascii="宋体" w:hAnsi="宋体"/>
          <w:b/>
          <w:color w:val="auto"/>
          <w:szCs w:val="21"/>
          <w:highlight w:val="none"/>
        </w:rPr>
      </w:pPr>
    </w:p>
    <w:p w14:paraId="503D5244">
      <w:pPr>
        <w:spacing w:line="360" w:lineRule="auto"/>
        <w:jc w:val="center"/>
        <w:rPr>
          <w:rFonts w:hint="eastAsia" w:ascii="宋体" w:hAnsi="宋体"/>
          <w:b/>
          <w:color w:val="auto"/>
          <w:szCs w:val="21"/>
          <w:highlight w:val="none"/>
        </w:rPr>
      </w:pPr>
    </w:p>
    <w:p w14:paraId="67581D3E">
      <w:pPr>
        <w:snapToGrid w:val="0"/>
        <w:spacing w:line="360" w:lineRule="auto"/>
        <w:ind w:right="210"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投标供应商：（加盖公章）</w:t>
      </w:r>
    </w:p>
    <w:p w14:paraId="02ECFAB0">
      <w:pPr>
        <w:snapToGrid w:val="0"/>
        <w:spacing w:line="360" w:lineRule="auto"/>
        <w:ind w:firstLine="2100" w:firstLineChars="1000"/>
        <w:jc w:val="right"/>
        <w:rPr>
          <w:rFonts w:hint="eastAsia" w:ascii="宋体" w:hAnsi="宋体" w:cs="宋体"/>
          <w:color w:val="auto"/>
          <w:szCs w:val="21"/>
          <w:highlight w:val="none"/>
        </w:rPr>
      </w:pPr>
      <w:r>
        <w:rPr>
          <w:rFonts w:hint="eastAsia" w:ascii="宋体" w:hAnsi="宋体" w:cs="宋体"/>
          <w:color w:val="auto"/>
          <w:szCs w:val="21"/>
          <w:highlight w:val="none"/>
        </w:rPr>
        <w:t>法定代表人或被授权人：（签字或盖章）</w:t>
      </w:r>
    </w:p>
    <w:p w14:paraId="6F962C29">
      <w:pPr>
        <w:snapToGrid w:val="0"/>
        <w:spacing w:line="360" w:lineRule="auto"/>
        <w:ind w:firstLine="7140" w:firstLineChars="3400"/>
        <w:jc w:val="left"/>
        <w:rPr>
          <w:rFonts w:hint="eastAsia" w:ascii="宋体" w:hAnsi="宋体" w:cs="宋体"/>
          <w:color w:val="auto"/>
          <w:szCs w:val="21"/>
          <w:highlight w:val="none"/>
        </w:rPr>
      </w:pPr>
      <w:r>
        <w:rPr>
          <w:rFonts w:hint="eastAsia" w:ascii="宋体" w:hAnsi="宋体" w:cs="宋体"/>
          <w:color w:val="auto"/>
          <w:szCs w:val="21"/>
          <w:highlight w:val="none"/>
        </w:rPr>
        <w:t>日期：</w:t>
      </w:r>
    </w:p>
    <w:p w14:paraId="6CFE1F4E">
      <w:pPr>
        <w:snapToGrid w:val="0"/>
        <w:spacing w:line="360" w:lineRule="auto"/>
        <w:jc w:val="right"/>
        <w:rPr>
          <w:rFonts w:hint="eastAsia" w:ascii="宋体" w:hAnsi="宋体"/>
          <w:b/>
          <w:bCs/>
          <w:color w:val="auto"/>
          <w:sz w:val="28"/>
          <w:szCs w:val="28"/>
          <w:highlight w:val="none"/>
        </w:rPr>
      </w:pPr>
    </w:p>
    <w:p w14:paraId="266C1A77">
      <w:pPr>
        <w:snapToGrid w:val="0"/>
        <w:spacing w:line="360" w:lineRule="auto"/>
        <w:jc w:val="center"/>
        <w:rPr>
          <w:rFonts w:hint="eastAsia" w:ascii="宋体" w:hAnsi="宋体"/>
          <w:b/>
          <w:bCs/>
          <w:color w:val="auto"/>
          <w:sz w:val="28"/>
          <w:szCs w:val="28"/>
          <w:highlight w:val="none"/>
        </w:rPr>
      </w:pPr>
    </w:p>
    <w:p w14:paraId="24F110C6">
      <w:pPr>
        <w:snapToGrid w:val="0"/>
        <w:spacing w:line="360" w:lineRule="auto"/>
        <w:jc w:val="center"/>
        <w:rPr>
          <w:rFonts w:hint="eastAsia" w:ascii="宋体" w:hAnsi="宋体"/>
          <w:b/>
          <w:bCs/>
          <w:color w:val="auto"/>
          <w:sz w:val="28"/>
          <w:szCs w:val="28"/>
          <w:highlight w:val="none"/>
        </w:rPr>
      </w:pPr>
    </w:p>
    <w:p w14:paraId="5A2AA6B4">
      <w:pPr>
        <w:snapToGrid w:val="0"/>
        <w:spacing w:line="360" w:lineRule="auto"/>
        <w:jc w:val="center"/>
        <w:rPr>
          <w:rFonts w:hint="eastAsia" w:ascii="宋体" w:hAnsi="宋体"/>
          <w:b/>
          <w:bCs/>
          <w:color w:val="auto"/>
          <w:sz w:val="28"/>
          <w:szCs w:val="28"/>
          <w:highlight w:val="none"/>
        </w:rPr>
      </w:pPr>
      <w:r>
        <w:rPr>
          <w:rFonts w:hint="eastAsia" w:ascii="宋体" w:hAnsi="宋体"/>
          <w:b/>
          <w:bCs/>
          <w:color w:val="auto"/>
          <w:sz w:val="28"/>
          <w:szCs w:val="28"/>
          <w:highlight w:val="none"/>
        </w:rPr>
        <w:br w:type="page"/>
      </w:r>
      <w:r>
        <w:rPr>
          <w:rFonts w:hint="eastAsia" w:ascii="宋体" w:hAnsi="宋体"/>
          <w:b/>
          <w:bCs/>
          <w:color w:val="auto"/>
          <w:sz w:val="28"/>
          <w:szCs w:val="28"/>
          <w:highlight w:val="none"/>
        </w:rPr>
        <w:t>开标一览表</w:t>
      </w:r>
    </w:p>
    <w:p w14:paraId="0408E2C9">
      <w:pPr>
        <w:snapToGrid w:val="0"/>
        <w:spacing w:line="360" w:lineRule="auto"/>
        <w:jc w:val="left"/>
        <w:rPr>
          <w:rFonts w:hint="eastAsia" w:ascii="宋体" w:hAnsi="宋体" w:cs="宋体"/>
          <w:b/>
          <w:bCs/>
          <w:color w:val="auto"/>
          <w:szCs w:val="21"/>
          <w:highlight w:val="none"/>
        </w:rPr>
      </w:pPr>
      <w:r>
        <w:rPr>
          <w:rFonts w:hint="eastAsia" w:ascii="宋体" w:hAnsi="宋体" w:cs="宋体"/>
          <w:color w:val="auto"/>
          <w:szCs w:val="21"/>
          <w:highlight w:val="none"/>
        </w:rPr>
        <w:t>项目名称：</w:t>
      </w:r>
      <w:r>
        <w:rPr>
          <w:rFonts w:hint="eastAsia" w:ascii="宋体" w:hAnsi="宋体"/>
          <w:color w:val="auto"/>
          <w:szCs w:val="21"/>
          <w:highlight w:val="none"/>
          <w:u w:val="single"/>
        </w:rPr>
        <w:t xml:space="preserve">                            </w:t>
      </w:r>
    </w:p>
    <w:tbl>
      <w:tblPr>
        <w:tblStyle w:val="25"/>
        <w:tblW w:w="932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58"/>
        <w:gridCol w:w="6671"/>
      </w:tblGrid>
      <w:tr w14:paraId="64F6F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trPr>
        <w:tc>
          <w:tcPr>
            <w:tcW w:w="2658" w:type="dxa"/>
            <w:vAlign w:val="center"/>
          </w:tcPr>
          <w:p w14:paraId="18B0746F">
            <w:pPr>
              <w:snapToGrid w:val="0"/>
              <w:spacing w:line="360" w:lineRule="auto"/>
              <w:ind w:left="2"/>
              <w:jc w:val="center"/>
              <w:rPr>
                <w:rFonts w:hint="eastAsia" w:ascii="宋体" w:hAnsi="宋体" w:cs="宋体"/>
                <w:bCs/>
                <w:color w:val="auto"/>
                <w:szCs w:val="21"/>
                <w:highlight w:val="none"/>
              </w:rPr>
            </w:pPr>
            <w:r>
              <w:rPr>
                <w:rFonts w:hint="eastAsia" w:ascii="宋体" w:hAnsi="宋体" w:cs="宋体"/>
                <w:bCs/>
                <w:color w:val="auto"/>
                <w:szCs w:val="21"/>
                <w:highlight w:val="none"/>
              </w:rPr>
              <w:t>投标报价</w:t>
            </w:r>
          </w:p>
        </w:tc>
        <w:tc>
          <w:tcPr>
            <w:tcW w:w="6671" w:type="dxa"/>
            <w:vAlign w:val="center"/>
          </w:tcPr>
          <w:p w14:paraId="61C00F4D">
            <w:pPr>
              <w:snapToGrid w:val="0"/>
              <w:spacing w:line="360" w:lineRule="auto"/>
              <w:ind w:left="991" w:hanging="991" w:hangingChars="472"/>
              <w:rPr>
                <w:rFonts w:hint="eastAsia" w:ascii="宋体" w:hAnsi="宋体" w:cs="宋体"/>
                <w:bCs/>
                <w:color w:val="auto"/>
                <w:szCs w:val="21"/>
                <w:highlight w:val="none"/>
              </w:rPr>
            </w:pPr>
            <w:r>
              <w:rPr>
                <w:rFonts w:hint="eastAsia" w:ascii="宋体" w:hAnsi="宋体" w:cs="宋体"/>
                <w:bCs/>
                <w:color w:val="auto"/>
                <w:szCs w:val="21"/>
                <w:highlight w:val="none"/>
                <w:lang w:val="en-US" w:eastAsia="zh-CN"/>
              </w:rPr>
              <w:t>优惠率</w:t>
            </w:r>
            <w:r>
              <w:rPr>
                <w:rFonts w:hint="eastAsia" w:ascii="宋体" w:hAnsi="宋体" w:cs="宋体"/>
                <w:bCs/>
                <w:color w:val="auto"/>
                <w:szCs w:val="21"/>
                <w:highlight w:val="none"/>
              </w:rPr>
              <w:t>：</w:t>
            </w:r>
            <w:r>
              <w:rPr>
                <w:rFonts w:hint="eastAsia" w:ascii="宋体" w:hAnsi="宋体" w:cs="宋体"/>
                <w:bCs/>
                <w:color w:val="auto"/>
                <w:szCs w:val="21"/>
                <w:highlight w:val="none"/>
                <w:u w:val="single"/>
              </w:rPr>
              <w:t xml:space="preserve">    %(最多保留两位小数，如：</w:t>
            </w:r>
            <w:r>
              <w:rPr>
                <w:rFonts w:hint="eastAsia" w:ascii="宋体" w:hAnsi="宋体" w:cs="宋体"/>
                <w:bCs/>
                <w:color w:val="auto"/>
                <w:szCs w:val="21"/>
                <w:highlight w:val="none"/>
                <w:u w:val="single"/>
                <w:lang w:val="en-US" w:eastAsia="zh-CN"/>
              </w:rPr>
              <w:t>8.50</w:t>
            </w:r>
            <w:r>
              <w:rPr>
                <w:rFonts w:hint="eastAsia" w:ascii="宋体" w:hAnsi="宋体" w:cs="宋体"/>
                <w:bCs/>
                <w:color w:val="auto"/>
                <w:szCs w:val="21"/>
                <w:highlight w:val="none"/>
                <w:u w:val="single"/>
              </w:rPr>
              <w:t>%；若小数点后超过两位的，如：</w:t>
            </w:r>
            <w:r>
              <w:rPr>
                <w:rFonts w:hint="eastAsia" w:ascii="宋体" w:hAnsi="宋体" w:cs="宋体"/>
                <w:bCs/>
                <w:color w:val="auto"/>
                <w:szCs w:val="21"/>
                <w:highlight w:val="none"/>
                <w:u w:val="single"/>
                <w:lang w:val="en-US" w:eastAsia="zh-CN"/>
              </w:rPr>
              <w:t>15.536</w:t>
            </w:r>
            <w:r>
              <w:rPr>
                <w:rFonts w:hint="eastAsia" w:ascii="宋体" w:hAnsi="宋体" w:cs="宋体"/>
                <w:bCs/>
                <w:color w:val="auto"/>
                <w:szCs w:val="21"/>
                <w:highlight w:val="none"/>
                <w:u w:val="single"/>
              </w:rPr>
              <w:t>%，作无效投标处理。）</w:t>
            </w:r>
          </w:p>
        </w:tc>
      </w:tr>
      <w:tr w14:paraId="3DEA2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5" w:hRule="atLeast"/>
        </w:trPr>
        <w:tc>
          <w:tcPr>
            <w:tcW w:w="2658" w:type="dxa"/>
            <w:vAlign w:val="center"/>
          </w:tcPr>
          <w:p w14:paraId="26E9C406">
            <w:pPr>
              <w:snapToGrid w:val="0"/>
              <w:spacing w:line="360" w:lineRule="auto"/>
              <w:ind w:left="2"/>
              <w:jc w:val="center"/>
              <w:rPr>
                <w:rFonts w:hint="eastAsia" w:ascii="宋体" w:hAnsi="宋体" w:cs="宋体"/>
                <w:bCs/>
                <w:color w:val="auto"/>
                <w:szCs w:val="21"/>
                <w:highlight w:val="none"/>
              </w:rPr>
            </w:pPr>
            <w:r>
              <w:rPr>
                <w:rFonts w:hint="eastAsia" w:ascii="宋体" w:hAnsi="宋体" w:cs="宋体"/>
                <w:bCs/>
                <w:color w:val="auto"/>
                <w:szCs w:val="21"/>
                <w:highlight w:val="none"/>
              </w:rPr>
              <w:t>付款条件</w:t>
            </w:r>
          </w:p>
        </w:tc>
        <w:tc>
          <w:tcPr>
            <w:tcW w:w="6671" w:type="dxa"/>
            <w:vAlign w:val="center"/>
          </w:tcPr>
          <w:p w14:paraId="55D5A394">
            <w:pPr>
              <w:snapToGrid w:val="0"/>
              <w:spacing w:line="360" w:lineRule="auto"/>
              <w:ind w:left="2"/>
              <w:rPr>
                <w:rFonts w:hint="eastAsia" w:ascii="宋体" w:hAnsi="宋体" w:cs="宋体"/>
                <w:bCs/>
                <w:color w:val="auto"/>
                <w:szCs w:val="21"/>
                <w:highlight w:val="none"/>
              </w:rPr>
            </w:pPr>
            <w:r>
              <w:rPr>
                <w:rFonts w:hint="eastAsia" w:ascii="宋体" w:hAnsi="宋体" w:cs="宋体"/>
                <w:bCs/>
                <w:color w:val="auto"/>
                <w:szCs w:val="21"/>
                <w:highlight w:val="none"/>
              </w:rPr>
              <w:t>完全接受并响应本项目</w:t>
            </w:r>
            <w:r>
              <w:rPr>
                <w:rFonts w:hint="eastAsia" w:ascii="宋体" w:hAnsi="宋体" w:cs="宋体"/>
                <w:bCs/>
                <w:color w:val="auto"/>
                <w:szCs w:val="21"/>
                <w:highlight w:val="none"/>
                <w:lang w:eastAsia="zh-CN"/>
              </w:rPr>
              <w:t>采购文件</w:t>
            </w:r>
            <w:r>
              <w:rPr>
                <w:rFonts w:hint="eastAsia" w:ascii="宋体" w:hAnsi="宋体" w:cs="宋体"/>
                <w:bCs/>
                <w:color w:val="auto"/>
                <w:szCs w:val="21"/>
                <w:highlight w:val="none"/>
              </w:rPr>
              <w:t>的要求。</w:t>
            </w:r>
          </w:p>
        </w:tc>
      </w:tr>
    </w:tbl>
    <w:p w14:paraId="1CB3673F">
      <w:pPr>
        <w:kinsoku w:val="0"/>
        <w:topLinePunct/>
        <w:snapToGrid w:val="0"/>
        <w:spacing w:line="360" w:lineRule="auto"/>
        <w:rPr>
          <w:rFonts w:hint="eastAsia" w:ascii="宋体" w:hAnsi="宋体" w:cs="宋体"/>
          <w:color w:val="auto"/>
          <w:szCs w:val="21"/>
          <w:highlight w:val="none"/>
        </w:rPr>
      </w:pPr>
    </w:p>
    <w:p w14:paraId="03F35890">
      <w:pPr>
        <w:kinsoku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投标供应商：（加盖公章）</w:t>
      </w:r>
    </w:p>
    <w:p w14:paraId="732CAEE1">
      <w:pPr>
        <w:kinsoku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法定代表人或授权委托人（签字或盖章）：</w:t>
      </w:r>
    </w:p>
    <w:p w14:paraId="38C7D96B">
      <w:pPr>
        <w:kinsoku w:val="0"/>
        <w:topLinePunct/>
        <w:snapToGrid w:val="0"/>
        <w:spacing w:line="360" w:lineRule="auto"/>
        <w:rPr>
          <w:rFonts w:hint="eastAsia" w:ascii="宋体" w:hAnsi="宋体" w:cs="宋体"/>
          <w:color w:val="auto"/>
          <w:szCs w:val="21"/>
          <w:highlight w:val="none"/>
        </w:rPr>
      </w:pPr>
      <w:r>
        <w:rPr>
          <w:rFonts w:hint="eastAsia" w:ascii="宋体" w:hAnsi="宋体" w:cs="宋体"/>
          <w:color w:val="auto"/>
          <w:szCs w:val="21"/>
          <w:highlight w:val="none"/>
        </w:rPr>
        <w:t>日期：</w:t>
      </w:r>
    </w:p>
    <w:p w14:paraId="3566F0CA">
      <w:pPr>
        <w:kinsoku w:val="0"/>
        <w:topLinePunct/>
        <w:snapToGrid w:val="0"/>
        <w:spacing w:line="360" w:lineRule="auto"/>
        <w:rPr>
          <w:rFonts w:hint="eastAsia" w:ascii="宋体" w:hAnsi="宋体" w:cs="宋体"/>
          <w:color w:val="auto"/>
          <w:szCs w:val="21"/>
          <w:highlight w:val="none"/>
        </w:rPr>
      </w:pPr>
    </w:p>
    <w:p w14:paraId="127AB14E">
      <w:pPr>
        <w:snapToGrid w:val="0"/>
        <w:spacing w:line="360" w:lineRule="auto"/>
        <w:rPr>
          <w:rFonts w:hint="eastAsia" w:ascii="宋体" w:hAnsi="宋体" w:cs="宋体"/>
          <w:b/>
          <w:bCs/>
          <w:color w:val="auto"/>
          <w:szCs w:val="21"/>
          <w:highlight w:val="none"/>
        </w:rPr>
      </w:pPr>
      <w:r>
        <w:rPr>
          <w:rFonts w:hint="eastAsia" w:ascii="宋体" w:hAnsi="宋体" w:cs="宋体"/>
          <w:b/>
          <w:bCs/>
          <w:color w:val="auto"/>
          <w:szCs w:val="21"/>
          <w:highlight w:val="none"/>
        </w:rPr>
        <w:t>注：</w:t>
      </w:r>
    </w:p>
    <w:p w14:paraId="20A99F15">
      <w:pPr>
        <w:snapToGrid w:val="0"/>
        <w:spacing w:line="360" w:lineRule="auto"/>
        <w:rPr>
          <w:rFonts w:hint="eastAsia" w:ascii="宋体" w:hAnsi="宋体" w:cs="宋体"/>
          <w:color w:val="auto"/>
          <w:szCs w:val="21"/>
          <w:highlight w:val="none"/>
          <w:u w:val="thick" w:color="FF0000"/>
        </w:rPr>
      </w:pPr>
      <w:r>
        <w:rPr>
          <w:rFonts w:hint="eastAsia" w:ascii="宋体" w:hAnsi="宋体" w:cs="宋体"/>
          <w:color w:val="auto"/>
          <w:szCs w:val="21"/>
          <w:highlight w:val="none"/>
        </w:rPr>
        <w:t>（1）投标</w:t>
      </w:r>
      <w:r>
        <w:rPr>
          <w:rFonts w:hint="eastAsia" w:ascii="宋体" w:hAnsi="宋体" w:cs="宋体"/>
          <w:color w:val="auto"/>
          <w:szCs w:val="21"/>
          <w:highlight w:val="none"/>
          <w:lang w:val="en-US" w:eastAsia="zh-CN"/>
        </w:rPr>
        <w:t>优惠</w:t>
      </w:r>
      <w:r>
        <w:rPr>
          <w:rFonts w:hint="eastAsia" w:ascii="宋体" w:hAnsi="宋体" w:cs="宋体"/>
          <w:color w:val="auto"/>
          <w:szCs w:val="21"/>
          <w:highlight w:val="none"/>
        </w:rPr>
        <w:t>率不得</w:t>
      </w:r>
      <w:r>
        <w:rPr>
          <w:rFonts w:hint="eastAsia" w:ascii="宋体" w:hAnsi="宋体" w:cs="宋体"/>
          <w:color w:val="auto"/>
          <w:szCs w:val="21"/>
          <w:highlight w:val="none"/>
          <w:lang w:val="en-US" w:eastAsia="zh-CN"/>
        </w:rPr>
        <w:t>低</w:t>
      </w:r>
      <w:r>
        <w:rPr>
          <w:rFonts w:hint="eastAsia" w:ascii="宋体" w:hAnsi="宋体" w:cs="宋体"/>
          <w:color w:val="auto"/>
          <w:szCs w:val="21"/>
          <w:highlight w:val="none"/>
        </w:rPr>
        <w:t>于或等于5</w:t>
      </w:r>
      <w:r>
        <w:rPr>
          <w:rFonts w:hint="eastAsia" w:ascii="宋体" w:hAnsi="宋体" w:cs="宋体"/>
          <w:color w:val="auto"/>
          <w:szCs w:val="21"/>
          <w:highlight w:val="none"/>
          <w:lang w:val="en-US" w:eastAsia="zh-CN"/>
        </w:rPr>
        <w:t>.00</w:t>
      </w:r>
      <w:r>
        <w:rPr>
          <w:rFonts w:hint="eastAsia" w:ascii="宋体" w:hAnsi="宋体" w:cs="宋体"/>
          <w:color w:val="auto"/>
          <w:szCs w:val="21"/>
          <w:highlight w:val="none"/>
        </w:rPr>
        <w:t>%，否则作废标处理</w:t>
      </w:r>
      <w:r>
        <w:rPr>
          <w:rFonts w:hint="eastAsia" w:ascii="宋体" w:hAnsi="宋体" w:cs="宋体"/>
          <w:color w:val="auto"/>
          <w:szCs w:val="21"/>
          <w:highlight w:val="none"/>
          <w:u w:color="FF0000"/>
        </w:rPr>
        <w:t>。</w:t>
      </w:r>
    </w:p>
    <w:p w14:paraId="39A4D498">
      <w:pPr>
        <w:snapToGrid w:val="0"/>
        <w:spacing w:line="360" w:lineRule="auto"/>
        <w:rPr>
          <w:rFonts w:hint="eastAsia" w:ascii="宋体" w:eastAsia="宋体"/>
          <w:color w:val="auto"/>
          <w:highlight w:val="none"/>
        </w:rPr>
      </w:pPr>
      <w:r>
        <w:rPr>
          <w:rFonts w:hint="eastAsia" w:ascii="宋体" w:hAnsi="宋体" w:cs="宋体"/>
          <w:color w:val="auto"/>
          <w:szCs w:val="21"/>
          <w:highlight w:val="none"/>
        </w:rPr>
        <w:t>（2）响应报价按本项目</w:t>
      </w:r>
      <w:r>
        <w:rPr>
          <w:rFonts w:hint="eastAsia" w:ascii="宋体" w:hAnsi="宋体" w:cs="宋体"/>
          <w:color w:val="auto"/>
          <w:szCs w:val="21"/>
          <w:highlight w:val="none"/>
          <w:lang w:eastAsia="zh-CN"/>
        </w:rPr>
        <w:t>采购文件</w:t>
      </w:r>
      <w:r>
        <w:rPr>
          <w:rFonts w:hint="eastAsia" w:ascii="宋体" w:hAnsi="宋体" w:cs="宋体"/>
          <w:color w:val="auto"/>
          <w:szCs w:val="21"/>
          <w:highlight w:val="none"/>
        </w:rPr>
        <w:t>第二章第六条规定的内容执行。</w:t>
      </w:r>
    </w:p>
    <w:p w14:paraId="61304A86">
      <w:pPr>
        <w:rPr>
          <w:rFonts w:hint="eastAsia" w:ascii="宋体" w:hAnsi="宋体"/>
          <w:color w:val="auto"/>
          <w:highlight w:val="none"/>
        </w:rPr>
      </w:pPr>
    </w:p>
    <w:p w14:paraId="32A600B4">
      <w:pPr>
        <w:spacing w:line="360" w:lineRule="auto"/>
        <w:jc w:val="center"/>
        <w:rPr>
          <w:rStyle w:val="48"/>
          <w:rFonts w:hint="eastAsia" w:ascii="宋体" w:hAnsi="宋体"/>
          <w:color w:val="auto"/>
          <w:sz w:val="28"/>
          <w:szCs w:val="28"/>
          <w:highlight w:val="none"/>
        </w:rPr>
      </w:pPr>
    </w:p>
    <w:p w14:paraId="2EC1513F">
      <w:pPr>
        <w:spacing w:line="360" w:lineRule="auto"/>
        <w:jc w:val="center"/>
        <w:rPr>
          <w:rStyle w:val="48"/>
          <w:rFonts w:hint="eastAsia" w:ascii="宋体" w:hAnsi="宋体"/>
          <w:color w:val="auto"/>
          <w:sz w:val="28"/>
          <w:szCs w:val="28"/>
          <w:highlight w:val="none"/>
        </w:rPr>
      </w:pPr>
    </w:p>
    <w:p w14:paraId="03BE4E7D">
      <w:pPr>
        <w:spacing w:line="360" w:lineRule="auto"/>
        <w:jc w:val="center"/>
        <w:rPr>
          <w:rStyle w:val="48"/>
          <w:rFonts w:hint="eastAsia" w:ascii="宋体" w:hAnsi="宋体"/>
          <w:color w:val="auto"/>
          <w:sz w:val="28"/>
          <w:szCs w:val="28"/>
          <w:highlight w:val="none"/>
        </w:rPr>
      </w:pPr>
    </w:p>
    <w:p w14:paraId="6AA194D9">
      <w:pPr>
        <w:spacing w:line="360" w:lineRule="auto"/>
        <w:jc w:val="center"/>
        <w:rPr>
          <w:rStyle w:val="48"/>
          <w:rFonts w:hint="eastAsia" w:ascii="宋体" w:hAnsi="宋体"/>
          <w:color w:val="auto"/>
          <w:sz w:val="28"/>
          <w:szCs w:val="28"/>
          <w:highlight w:val="none"/>
        </w:rPr>
      </w:pPr>
    </w:p>
    <w:p w14:paraId="34F013E0">
      <w:pPr>
        <w:spacing w:line="360" w:lineRule="auto"/>
        <w:jc w:val="center"/>
        <w:rPr>
          <w:rStyle w:val="48"/>
          <w:rFonts w:hint="eastAsia" w:ascii="宋体" w:hAnsi="宋体"/>
          <w:color w:val="auto"/>
          <w:sz w:val="28"/>
          <w:szCs w:val="28"/>
          <w:highlight w:val="none"/>
        </w:rPr>
      </w:pPr>
    </w:p>
    <w:p w14:paraId="43E18573">
      <w:pPr>
        <w:spacing w:line="360" w:lineRule="auto"/>
        <w:jc w:val="center"/>
        <w:rPr>
          <w:rStyle w:val="48"/>
          <w:rFonts w:hint="eastAsia" w:ascii="宋体" w:hAnsi="宋体"/>
          <w:color w:val="auto"/>
          <w:sz w:val="28"/>
          <w:szCs w:val="28"/>
          <w:highlight w:val="none"/>
        </w:rPr>
      </w:pPr>
    </w:p>
    <w:p w14:paraId="6C5FB2AA">
      <w:pPr>
        <w:spacing w:line="360" w:lineRule="auto"/>
        <w:jc w:val="center"/>
        <w:rPr>
          <w:rStyle w:val="48"/>
          <w:rFonts w:hint="eastAsia" w:ascii="宋体" w:hAnsi="宋体"/>
          <w:color w:val="auto"/>
          <w:sz w:val="28"/>
          <w:szCs w:val="28"/>
          <w:highlight w:val="none"/>
        </w:rPr>
      </w:pPr>
    </w:p>
    <w:p w14:paraId="6A4B984B">
      <w:pPr>
        <w:spacing w:line="360" w:lineRule="auto"/>
        <w:jc w:val="center"/>
        <w:rPr>
          <w:rStyle w:val="48"/>
          <w:rFonts w:hint="eastAsia" w:ascii="宋体" w:hAnsi="宋体"/>
          <w:color w:val="auto"/>
          <w:sz w:val="28"/>
          <w:szCs w:val="28"/>
          <w:highlight w:val="none"/>
        </w:rPr>
      </w:pPr>
    </w:p>
    <w:p w14:paraId="7FFFDF21">
      <w:pPr>
        <w:spacing w:line="360" w:lineRule="auto"/>
        <w:jc w:val="center"/>
        <w:rPr>
          <w:rStyle w:val="48"/>
          <w:rFonts w:hint="eastAsia" w:ascii="宋体" w:hAnsi="宋体"/>
          <w:color w:val="auto"/>
          <w:sz w:val="28"/>
          <w:szCs w:val="28"/>
          <w:highlight w:val="none"/>
        </w:rPr>
      </w:pPr>
    </w:p>
    <w:p w14:paraId="52991E0F">
      <w:pPr>
        <w:pStyle w:val="42"/>
        <w:rPr>
          <w:rStyle w:val="48"/>
          <w:rFonts w:hint="eastAsia" w:ascii="宋体" w:hAnsi="宋体"/>
          <w:b/>
          <w:color w:val="auto"/>
          <w:sz w:val="28"/>
          <w:szCs w:val="28"/>
          <w:highlight w:val="none"/>
        </w:rPr>
      </w:pPr>
    </w:p>
    <w:p w14:paraId="3C488DAE">
      <w:pPr>
        <w:pStyle w:val="42"/>
        <w:rPr>
          <w:rStyle w:val="48"/>
          <w:rFonts w:hint="eastAsia" w:ascii="宋体" w:hAnsi="宋体"/>
          <w:b/>
          <w:color w:val="auto"/>
          <w:sz w:val="28"/>
          <w:szCs w:val="28"/>
          <w:highlight w:val="none"/>
        </w:rPr>
      </w:pPr>
    </w:p>
    <w:p w14:paraId="0856EBC9">
      <w:pPr>
        <w:spacing w:line="360" w:lineRule="auto"/>
        <w:jc w:val="center"/>
        <w:rPr>
          <w:rFonts w:hint="eastAsia" w:ascii="宋体" w:hAnsi="宋体"/>
          <w:b/>
          <w:bCs/>
          <w:color w:val="auto"/>
          <w:sz w:val="28"/>
          <w:szCs w:val="28"/>
          <w:highlight w:val="none"/>
        </w:rPr>
      </w:pPr>
      <w:r>
        <w:rPr>
          <w:rStyle w:val="48"/>
          <w:rFonts w:hint="eastAsia" w:ascii="宋体" w:hAnsi="宋体"/>
          <w:color w:val="auto"/>
          <w:sz w:val="28"/>
          <w:szCs w:val="28"/>
          <w:highlight w:val="none"/>
        </w:rPr>
        <w:t>中型</w:t>
      </w:r>
      <w:r>
        <w:rPr>
          <w:rStyle w:val="48"/>
          <w:rFonts w:ascii="宋体" w:hAnsi="宋体"/>
          <w:color w:val="auto"/>
          <w:sz w:val="28"/>
          <w:szCs w:val="28"/>
          <w:highlight w:val="none"/>
        </w:rPr>
        <w:t>、</w:t>
      </w:r>
      <w:r>
        <w:rPr>
          <w:rStyle w:val="48"/>
          <w:rFonts w:hint="eastAsia" w:ascii="宋体" w:hAnsi="宋体"/>
          <w:color w:val="auto"/>
          <w:sz w:val="28"/>
          <w:szCs w:val="28"/>
          <w:highlight w:val="none"/>
        </w:rPr>
        <w:t>小型</w:t>
      </w:r>
      <w:r>
        <w:rPr>
          <w:rStyle w:val="48"/>
          <w:rFonts w:ascii="宋体" w:hAnsi="宋体"/>
          <w:color w:val="auto"/>
          <w:sz w:val="28"/>
          <w:szCs w:val="28"/>
          <w:highlight w:val="none"/>
        </w:rPr>
        <w:t>企业声明函</w:t>
      </w:r>
    </w:p>
    <w:p w14:paraId="5BEB590F">
      <w:pPr>
        <w:snapToGrid w:val="0"/>
        <w:spacing w:line="360" w:lineRule="auto"/>
        <w:ind w:firstLine="420" w:firstLineChars="200"/>
        <w:outlineLvl w:val="0"/>
        <w:rPr>
          <w:rFonts w:hint="eastAsia" w:ascii="宋体" w:hAnsi="宋体" w:cs="宋体"/>
          <w:color w:val="auto"/>
          <w:szCs w:val="21"/>
          <w:highlight w:val="none"/>
          <w:lang w:bidi="zh-CN"/>
        </w:rPr>
      </w:pPr>
      <w:r>
        <w:rPr>
          <w:rFonts w:hint="eastAsia" w:ascii="宋体" w:hAnsi="宋体" w:cs="宋体"/>
          <w:color w:val="auto"/>
          <w:szCs w:val="21"/>
          <w:highlight w:val="none"/>
          <w:lang w:bidi="zh-CN"/>
        </w:rPr>
        <w:t>本公司（联合体）郑重声明，根据《政府采购促进中小企业发展管理办法》（财库﹝2020﹞46 号）的规定，本公司（联合体）参加</w:t>
      </w:r>
      <w:r>
        <w:rPr>
          <w:rFonts w:hint="eastAsia" w:ascii="宋体" w:hAnsi="宋体" w:cs="宋体"/>
          <w:color w:val="auto"/>
          <w:szCs w:val="21"/>
          <w:highlight w:val="none"/>
          <w:u w:val="single"/>
          <w:lang w:bidi="zh-CN"/>
        </w:rPr>
        <w:t>（企业名称）</w:t>
      </w:r>
      <w:r>
        <w:rPr>
          <w:rFonts w:hint="eastAsia" w:ascii="宋体" w:hAnsi="宋体" w:cs="宋体"/>
          <w:color w:val="auto"/>
          <w:szCs w:val="21"/>
          <w:highlight w:val="none"/>
          <w:lang w:bidi="zh-CN"/>
        </w:rPr>
        <w:t>的</w:t>
      </w:r>
      <w:r>
        <w:rPr>
          <w:rFonts w:hint="eastAsia" w:ascii="宋体" w:hAnsi="宋体" w:cs="宋体"/>
          <w:color w:val="auto"/>
          <w:szCs w:val="21"/>
          <w:highlight w:val="none"/>
          <w:u w:val="single"/>
          <w:lang w:bidi="zh-CN"/>
        </w:rPr>
        <w:t>（项目名称）</w:t>
      </w:r>
      <w:r>
        <w:rPr>
          <w:rFonts w:hint="eastAsia" w:ascii="宋体" w:hAnsi="宋体" w:cs="宋体"/>
          <w:color w:val="auto"/>
          <w:szCs w:val="21"/>
          <w:highlight w:val="none"/>
          <w:lang w:bidi="zh-CN"/>
        </w:rPr>
        <w:t>的采购活动，工程的施工单位全部为符合政策要求的中型或小型企业。相关企业（含联合体中的中型或小型企业、签订分包意向协议的中型或小型企业）的具体情况如下：</w:t>
      </w:r>
    </w:p>
    <w:p w14:paraId="160BE452">
      <w:pPr>
        <w:snapToGrid w:val="0"/>
        <w:spacing w:line="360" w:lineRule="auto"/>
        <w:ind w:firstLine="210" w:firstLineChars="100"/>
        <w:jc w:val="left"/>
        <w:outlineLvl w:val="0"/>
        <w:rPr>
          <w:rFonts w:hint="eastAsia" w:ascii="宋体" w:hAnsi="宋体" w:cs="宋体"/>
          <w:color w:val="auto"/>
          <w:szCs w:val="21"/>
          <w:highlight w:val="none"/>
          <w:lang w:bidi="zh-CN"/>
        </w:rPr>
      </w:pPr>
      <w:r>
        <w:rPr>
          <w:rFonts w:hint="eastAsia" w:ascii="宋体" w:hAnsi="宋体" w:cs="宋体"/>
          <w:color w:val="auto"/>
          <w:szCs w:val="21"/>
          <w:highlight w:val="none"/>
          <w:lang w:bidi="zh-CN"/>
        </w:rPr>
        <w:t>1.</w:t>
      </w:r>
      <w:r>
        <w:rPr>
          <w:rFonts w:hint="eastAsia" w:ascii="宋体" w:hAnsi="宋体" w:cs="宋体"/>
          <w:color w:val="auto"/>
          <w:szCs w:val="21"/>
          <w:highlight w:val="none"/>
          <w:u w:val="single"/>
          <w:lang w:bidi="zh-CN"/>
        </w:rPr>
        <w:t xml:space="preserve"> （项目名称）</w:t>
      </w:r>
      <w:r>
        <w:rPr>
          <w:rFonts w:hint="eastAsia" w:ascii="宋体" w:hAnsi="宋体" w:cs="宋体"/>
          <w:color w:val="auto"/>
          <w:szCs w:val="21"/>
          <w:highlight w:val="none"/>
          <w:lang w:bidi="zh-CN"/>
        </w:rPr>
        <w:t>，属于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bidi="zh-CN"/>
        </w:rPr>
        <w:t>；承建（承接）企业为</w:t>
      </w:r>
      <w:r>
        <w:rPr>
          <w:rFonts w:hint="eastAsia" w:ascii="宋体" w:hAnsi="宋体" w:cs="宋体"/>
          <w:color w:val="auto"/>
          <w:szCs w:val="21"/>
          <w:highlight w:val="none"/>
          <w:u w:val="single"/>
          <w:lang w:bidi="zh-CN"/>
        </w:rPr>
        <w:t>（企业名称）</w:t>
      </w:r>
      <w:r>
        <w:rPr>
          <w:rFonts w:hint="eastAsia" w:ascii="宋体" w:hAnsi="宋体" w:cs="宋体"/>
          <w:color w:val="auto"/>
          <w:szCs w:val="21"/>
          <w:highlight w:val="none"/>
          <w:lang w:bidi="zh-CN"/>
        </w:rPr>
        <w:t>，从业人员</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bidi="zh-CN"/>
        </w:rPr>
        <w:tab/>
      </w:r>
      <w:r>
        <w:rPr>
          <w:rFonts w:hint="eastAsia" w:ascii="宋体" w:hAnsi="宋体" w:cs="宋体"/>
          <w:color w:val="auto"/>
          <w:szCs w:val="21"/>
          <w:highlight w:val="none"/>
          <w:lang w:bidi="zh-CN"/>
        </w:rPr>
        <w:t>人，营业收入为</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bidi="zh-CN"/>
        </w:rPr>
        <w:tab/>
      </w:r>
      <w:r>
        <w:rPr>
          <w:rFonts w:hint="eastAsia" w:ascii="宋体" w:hAnsi="宋体" w:cs="宋体"/>
          <w:color w:val="auto"/>
          <w:szCs w:val="21"/>
          <w:highlight w:val="none"/>
          <w:lang w:bidi="zh-CN"/>
        </w:rPr>
        <w:t>万元，资产总额为</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bidi="zh-CN"/>
        </w:rPr>
        <w:tab/>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万元，属于</w:t>
      </w:r>
      <w:r>
        <w:rPr>
          <w:rFonts w:hint="eastAsia" w:ascii="宋体" w:hAnsi="宋体" w:cs="宋体"/>
          <w:color w:val="auto"/>
          <w:szCs w:val="21"/>
          <w:highlight w:val="none"/>
          <w:u w:val="single"/>
          <w:lang w:bidi="zh-CN"/>
        </w:rPr>
        <w:t>（中型企业、小型企业）</w:t>
      </w:r>
      <w:r>
        <w:rPr>
          <w:rFonts w:hint="eastAsia" w:ascii="宋体" w:hAnsi="宋体" w:cs="宋体"/>
          <w:color w:val="auto"/>
          <w:szCs w:val="21"/>
          <w:highlight w:val="none"/>
          <w:lang w:bidi="zh-CN"/>
        </w:rPr>
        <w:t>；</w:t>
      </w:r>
    </w:p>
    <w:p w14:paraId="6DF549B8">
      <w:pPr>
        <w:snapToGrid w:val="0"/>
        <w:spacing w:line="360" w:lineRule="auto"/>
        <w:ind w:firstLine="210" w:firstLineChars="100"/>
        <w:jc w:val="left"/>
        <w:outlineLvl w:val="0"/>
        <w:rPr>
          <w:rFonts w:hint="eastAsia" w:ascii="宋体" w:hAnsi="宋体" w:cs="宋体"/>
          <w:color w:val="auto"/>
          <w:szCs w:val="21"/>
          <w:highlight w:val="none"/>
          <w:lang w:bidi="zh-CN"/>
        </w:rPr>
      </w:pPr>
      <w:r>
        <w:rPr>
          <w:rFonts w:hint="eastAsia" w:ascii="宋体" w:hAnsi="宋体" w:cs="宋体"/>
          <w:color w:val="auto"/>
          <w:szCs w:val="21"/>
          <w:highlight w:val="none"/>
          <w:lang w:bidi="zh-CN"/>
        </w:rPr>
        <w:t>2.</w:t>
      </w:r>
      <w:r>
        <w:rPr>
          <w:rFonts w:hint="eastAsia" w:ascii="宋体" w:hAnsi="宋体" w:cs="宋体"/>
          <w:color w:val="auto"/>
          <w:szCs w:val="21"/>
          <w:highlight w:val="none"/>
          <w:u w:val="single"/>
          <w:lang w:bidi="zh-CN"/>
        </w:rPr>
        <w:t xml:space="preserve"> （项目名称）</w:t>
      </w:r>
      <w:r>
        <w:rPr>
          <w:rFonts w:hint="eastAsia" w:ascii="宋体" w:hAnsi="宋体" w:cs="宋体"/>
          <w:color w:val="auto"/>
          <w:szCs w:val="21"/>
          <w:highlight w:val="none"/>
          <w:lang w:bidi="zh-CN"/>
        </w:rPr>
        <w:t>，属于</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lang w:bidi="zh-CN"/>
        </w:rPr>
        <w:t>；承建（承接）企业为</w:t>
      </w:r>
      <w:r>
        <w:rPr>
          <w:rFonts w:hint="eastAsia" w:ascii="宋体" w:hAnsi="宋体" w:cs="宋体"/>
          <w:color w:val="auto"/>
          <w:szCs w:val="21"/>
          <w:highlight w:val="none"/>
          <w:u w:val="single"/>
          <w:lang w:bidi="zh-CN"/>
        </w:rPr>
        <w:t>（企业名称）</w:t>
      </w:r>
      <w:r>
        <w:rPr>
          <w:rFonts w:hint="eastAsia" w:ascii="宋体" w:hAnsi="宋体" w:cs="宋体"/>
          <w:color w:val="auto"/>
          <w:szCs w:val="21"/>
          <w:highlight w:val="none"/>
          <w:lang w:bidi="zh-CN"/>
        </w:rPr>
        <w:t>，从业人员</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bidi="zh-CN"/>
        </w:rPr>
        <w:tab/>
      </w:r>
      <w:r>
        <w:rPr>
          <w:rFonts w:hint="eastAsia" w:ascii="宋体" w:hAnsi="宋体" w:cs="宋体"/>
          <w:color w:val="auto"/>
          <w:szCs w:val="21"/>
          <w:highlight w:val="none"/>
          <w:lang w:bidi="zh-CN"/>
        </w:rPr>
        <w:t>人，营业收入为</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bidi="zh-CN"/>
        </w:rPr>
        <w:tab/>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lang w:bidi="zh-CN"/>
        </w:rPr>
        <w:t>万元，资产总额为</w:t>
      </w:r>
      <w:r>
        <w:rPr>
          <w:rFonts w:hint="eastAsia" w:ascii="宋体" w:hAnsi="宋体" w:cs="宋体"/>
          <w:color w:val="auto"/>
          <w:szCs w:val="21"/>
          <w:highlight w:val="none"/>
          <w:u w:val="single"/>
          <w:lang w:bidi="zh-CN"/>
        </w:rPr>
        <w:t xml:space="preserve">  </w:t>
      </w:r>
      <w:r>
        <w:rPr>
          <w:rFonts w:hint="eastAsia" w:ascii="宋体" w:hAnsi="宋体" w:cs="宋体"/>
          <w:color w:val="auto"/>
          <w:szCs w:val="21"/>
          <w:highlight w:val="none"/>
          <w:u w:val="single"/>
          <w:lang w:bidi="zh-CN"/>
        </w:rPr>
        <w:tab/>
      </w:r>
      <w:r>
        <w:rPr>
          <w:rFonts w:hint="eastAsia" w:ascii="宋体" w:hAnsi="宋体" w:cs="宋体"/>
          <w:color w:val="auto"/>
          <w:szCs w:val="21"/>
          <w:highlight w:val="none"/>
          <w:lang w:bidi="zh-CN"/>
        </w:rPr>
        <w:t>万元，属于</w:t>
      </w:r>
      <w:r>
        <w:rPr>
          <w:rFonts w:hint="eastAsia" w:ascii="宋体" w:hAnsi="宋体" w:cs="宋体"/>
          <w:color w:val="auto"/>
          <w:szCs w:val="21"/>
          <w:highlight w:val="none"/>
          <w:u w:val="single"/>
          <w:lang w:bidi="zh-CN"/>
        </w:rPr>
        <w:t>（中型企业、小型企业）</w:t>
      </w:r>
      <w:r>
        <w:rPr>
          <w:rFonts w:hint="eastAsia" w:ascii="宋体" w:hAnsi="宋体" w:cs="宋体"/>
          <w:color w:val="auto"/>
          <w:szCs w:val="21"/>
          <w:highlight w:val="none"/>
          <w:lang w:bidi="zh-CN"/>
        </w:rPr>
        <w:t>；</w:t>
      </w:r>
    </w:p>
    <w:p w14:paraId="78C65782">
      <w:pPr>
        <w:snapToGrid w:val="0"/>
        <w:spacing w:line="360" w:lineRule="auto"/>
        <w:ind w:firstLine="420" w:firstLineChars="200"/>
        <w:outlineLvl w:val="0"/>
        <w:rPr>
          <w:rFonts w:hint="eastAsia" w:ascii="宋体" w:hAnsi="宋体" w:cs="宋体"/>
          <w:color w:val="auto"/>
          <w:szCs w:val="21"/>
          <w:highlight w:val="none"/>
          <w:lang w:bidi="zh-CN"/>
        </w:rPr>
      </w:pPr>
      <w:r>
        <w:rPr>
          <w:rFonts w:hint="eastAsia" w:ascii="宋体" w:hAnsi="宋体" w:cs="宋体"/>
          <w:color w:val="auto"/>
          <w:szCs w:val="21"/>
          <w:highlight w:val="none"/>
          <w:lang w:bidi="zh-CN"/>
        </w:rPr>
        <w:t>以上企业，不属于大企业的分支机构，不存在控股股东为大企业的情形，也不存在与大企业的负责人为同一人的情形。</w:t>
      </w:r>
    </w:p>
    <w:p w14:paraId="4AF9166D">
      <w:pPr>
        <w:snapToGrid w:val="0"/>
        <w:spacing w:line="360" w:lineRule="auto"/>
        <w:ind w:firstLine="420" w:firstLineChars="200"/>
        <w:outlineLvl w:val="0"/>
        <w:rPr>
          <w:rFonts w:hint="eastAsia" w:ascii="宋体" w:hAnsi="宋体" w:cs="宋体"/>
          <w:color w:val="auto"/>
          <w:szCs w:val="21"/>
          <w:highlight w:val="none"/>
          <w:lang w:bidi="zh-CN"/>
        </w:rPr>
      </w:pPr>
      <w:r>
        <w:rPr>
          <w:rFonts w:hint="eastAsia" w:ascii="宋体" w:hAnsi="宋体" w:cs="宋体"/>
          <w:color w:val="auto"/>
          <w:szCs w:val="21"/>
          <w:highlight w:val="none"/>
          <w:lang w:bidi="zh-CN"/>
        </w:rPr>
        <w:t>本企业对上述声明内容的真实性负责。如有虚假，将依法承担相应责任。</w:t>
      </w:r>
    </w:p>
    <w:p w14:paraId="3C4618D5">
      <w:pPr>
        <w:snapToGrid w:val="0"/>
        <w:spacing w:line="300" w:lineRule="auto"/>
        <w:outlineLvl w:val="0"/>
        <w:rPr>
          <w:rFonts w:hint="eastAsia" w:ascii="宋体" w:hAnsi="宋体" w:cs="宋体"/>
          <w:color w:val="auto"/>
          <w:szCs w:val="21"/>
          <w:highlight w:val="none"/>
          <w:lang w:bidi="zh-CN"/>
        </w:rPr>
      </w:pPr>
    </w:p>
    <w:p w14:paraId="0B36B08F">
      <w:pPr>
        <w:spacing w:line="360" w:lineRule="auto"/>
        <w:ind w:firstLine="210" w:firstLineChars="100"/>
        <w:rPr>
          <w:rFonts w:hint="eastAsia" w:ascii="宋体" w:hAnsi="宋体"/>
          <w:color w:val="auto"/>
          <w:szCs w:val="21"/>
          <w:highlight w:val="none"/>
        </w:rPr>
      </w:pPr>
      <w:r>
        <w:rPr>
          <w:rFonts w:ascii="宋体" w:hAnsi="宋体"/>
          <w:color w:val="auto"/>
          <w:szCs w:val="21"/>
          <w:highlight w:val="none"/>
        </w:rPr>
        <w:t>（备注：</w:t>
      </w:r>
      <w:r>
        <w:rPr>
          <w:rFonts w:hint="eastAsia" w:ascii="宋体" w:hAnsi="宋体"/>
          <w:color w:val="auto"/>
          <w:szCs w:val="21"/>
          <w:highlight w:val="none"/>
        </w:rPr>
        <w:t>投标供应商</w:t>
      </w:r>
      <w:r>
        <w:rPr>
          <w:rFonts w:ascii="宋体" w:hAnsi="宋体"/>
          <w:color w:val="auto"/>
          <w:szCs w:val="21"/>
          <w:highlight w:val="none"/>
        </w:rPr>
        <w:t>如不提供此声明函，价格将不做相应扣除。）</w:t>
      </w:r>
    </w:p>
    <w:p w14:paraId="00121935">
      <w:pPr>
        <w:snapToGrid w:val="0"/>
        <w:spacing w:line="300" w:lineRule="auto"/>
        <w:outlineLvl w:val="0"/>
        <w:rPr>
          <w:rFonts w:hint="eastAsia" w:ascii="宋体" w:hAnsi="宋体" w:cs="宋体"/>
          <w:color w:val="auto"/>
          <w:szCs w:val="21"/>
          <w:highlight w:val="none"/>
          <w:lang w:bidi="zh-CN"/>
        </w:rPr>
      </w:pPr>
    </w:p>
    <w:p w14:paraId="5D30D61E">
      <w:pPr>
        <w:snapToGrid w:val="0"/>
        <w:spacing w:line="300" w:lineRule="auto"/>
        <w:outlineLvl w:val="0"/>
        <w:rPr>
          <w:rFonts w:hint="eastAsia" w:ascii="宋体" w:hAnsi="宋体" w:cs="宋体"/>
          <w:color w:val="auto"/>
          <w:szCs w:val="21"/>
          <w:highlight w:val="none"/>
          <w:lang w:bidi="zh-CN"/>
        </w:rPr>
      </w:pPr>
    </w:p>
    <w:p w14:paraId="46F56963">
      <w:pPr>
        <w:snapToGrid w:val="0"/>
        <w:spacing w:line="300" w:lineRule="auto"/>
        <w:outlineLvl w:val="0"/>
        <w:rPr>
          <w:rFonts w:hint="eastAsia" w:ascii="宋体" w:hAnsi="宋体" w:cs="宋体"/>
          <w:color w:val="auto"/>
          <w:szCs w:val="21"/>
          <w:highlight w:val="none"/>
          <w:lang w:bidi="zh-CN"/>
        </w:rPr>
      </w:pPr>
    </w:p>
    <w:p w14:paraId="3B60EE4B">
      <w:pPr>
        <w:snapToGrid w:val="0"/>
        <w:spacing w:line="300" w:lineRule="auto"/>
        <w:outlineLvl w:val="0"/>
        <w:rPr>
          <w:rFonts w:hint="eastAsia" w:ascii="宋体" w:hAnsi="宋体" w:cs="宋体"/>
          <w:color w:val="auto"/>
          <w:szCs w:val="21"/>
          <w:highlight w:val="none"/>
          <w:lang w:bidi="zh-CN"/>
        </w:rPr>
      </w:pPr>
    </w:p>
    <w:p w14:paraId="38A9D07E">
      <w:pPr>
        <w:snapToGrid w:val="0"/>
        <w:spacing w:line="300" w:lineRule="auto"/>
        <w:ind w:firstLine="3675" w:firstLineChars="1750"/>
        <w:outlineLvl w:val="0"/>
        <w:rPr>
          <w:rFonts w:hint="eastAsia" w:ascii="宋体" w:hAnsi="宋体" w:cs="宋体"/>
          <w:color w:val="auto"/>
          <w:szCs w:val="21"/>
          <w:highlight w:val="none"/>
          <w:lang w:bidi="zh-CN"/>
        </w:rPr>
      </w:pPr>
      <w:r>
        <w:rPr>
          <w:rFonts w:hint="eastAsia" w:ascii="宋体" w:hAnsi="宋体" w:cs="宋体"/>
          <w:color w:val="auto"/>
          <w:szCs w:val="21"/>
          <w:highlight w:val="none"/>
          <w:lang w:bidi="zh-CN"/>
        </w:rPr>
        <w:t>企业名称（盖章）：</w:t>
      </w:r>
    </w:p>
    <w:p w14:paraId="7BA5EE59">
      <w:pPr>
        <w:snapToGrid w:val="0"/>
        <w:spacing w:line="300" w:lineRule="auto"/>
        <w:ind w:firstLine="4935" w:firstLineChars="2350"/>
        <w:outlineLvl w:val="0"/>
        <w:rPr>
          <w:rFonts w:hint="eastAsia" w:ascii="宋体" w:hAnsi="宋体" w:cs="宋体"/>
          <w:color w:val="auto"/>
          <w:sz w:val="24"/>
          <w:highlight w:val="none"/>
          <w:lang w:bidi="zh-CN"/>
        </w:rPr>
      </w:pPr>
      <w:r>
        <w:rPr>
          <w:rFonts w:hint="eastAsia" w:ascii="宋体" w:hAnsi="宋体" w:cs="宋体"/>
          <w:color w:val="auto"/>
          <w:szCs w:val="21"/>
          <w:highlight w:val="none"/>
          <w:lang w:bidi="zh-CN"/>
        </w:rPr>
        <w:t>日期：</w:t>
      </w:r>
    </w:p>
    <w:p w14:paraId="29230FED">
      <w:pPr>
        <w:spacing w:line="360" w:lineRule="auto"/>
        <w:jc w:val="center"/>
        <w:rPr>
          <w:rFonts w:hint="eastAsia" w:ascii="宋体" w:hAnsi="宋体"/>
          <w:b/>
          <w:bCs/>
          <w:color w:val="auto"/>
          <w:sz w:val="24"/>
          <w:highlight w:val="none"/>
        </w:rPr>
      </w:pPr>
    </w:p>
    <w:p w14:paraId="12325955">
      <w:pPr>
        <w:spacing w:line="360" w:lineRule="auto"/>
        <w:jc w:val="center"/>
        <w:rPr>
          <w:rStyle w:val="48"/>
          <w:rFonts w:hint="eastAsia" w:ascii="宋体" w:hAnsi="宋体"/>
          <w:color w:val="auto"/>
          <w:sz w:val="28"/>
          <w:szCs w:val="28"/>
          <w:highlight w:val="none"/>
        </w:rPr>
        <w:sectPr>
          <w:headerReference r:id="rId8" w:type="default"/>
          <w:footerReference r:id="rId9" w:type="default"/>
          <w:type w:val="continuous"/>
          <w:pgSz w:w="11906" w:h="16838"/>
          <w:pgMar w:top="1418" w:right="1247" w:bottom="1247" w:left="1418" w:header="851" w:footer="992" w:gutter="0"/>
          <w:cols w:space="720" w:num="1"/>
          <w:docGrid w:linePitch="312" w:charSpace="0"/>
        </w:sectPr>
      </w:pPr>
    </w:p>
    <w:p w14:paraId="7441EFC2">
      <w:pPr>
        <w:spacing w:line="360" w:lineRule="auto"/>
        <w:jc w:val="center"/>
        <w:rPr>
          <w:rFonts w:hint="eastAsia" w:ascii="宋体" w:hAnsi="宋体"/>
          <w:b/>
          <w:bCs/>
          <w:color w:val="auto"/>
          <w:sz w:val="28"/>
          <w:szCs w:val="28"/>
          <w:highlight w:val="none"/>
        </w:rPr>
      </w:pPr>
      <w:r>
        <w:rPr>
          <w:rStyle w:val="48"/>
          <w:rFonts w:ascii="宋体" w:hAnsi="宋体"/>
          <w:color w:val="auto"/>
          <w:sz w:val="28"/>
          <w:szCs w:val="28"/>
          <w:highlight w:val="none"/>
        </w:rPr>
        <w:t>残疾人福利性单位声明函</w:t>
      </w:r>
    </w:p>
    <w:p w14:paraId="345043BA">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zCs w:val="21"/>
          <w:highlight w:val="none"/>
          <w:u w:val="single"/>
        </w:rPr>
        <w:t xml:space="preserve">            </w:t>
      </w:r>
      <w:r>
        <w:rPr>
          <w:rFonts w:ascii="宋体" w:hAnsi="宋体"/>
          <w:color w:val="auto"/>
          <w:szCs w:val="21"/>
          <w:highlight w:val="none"/>
        </w:rPr>
        <w:t>单位的</w:t>
      </w:r>
      <w:r>
        <w:rPr>
          <w:rFonts w:ascii="宋体" w:hAnsi="宋体"/>
          <w:color w:val="auto"/>
          <w:szCs w:val="21"/>
          <w:highlight w:val="none"/>
          <w:u w:val="single"/>
        </w:rPr>
        <w:t xml:space="preserve">         </w:t>
      </w:r>
      <w:r>
        <w:rPr>
          <w:rFonts w:ascii="宋体" w:hAnsi="宋体"/>
          <w:color w:val="auto"/>
          <w:szCs w:val="21"/>
          <w:highlight w:val="none"/>
        </w:rPr>
        <w:t>项目采购活动提供本单位制造的货物（由本单位承担工程/提供服务），或者提供其他残疾人福利性单位制造的货物（不包括使用非残疾人福利性单位注册商标的货物）。</w:t>
      </w:r>
    </w:p>
    <w:p w14:paraId="1410652C">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本单位对上述声明的真实性负责。如有虚假，将依法承担相应责任。</w:t>
      </w:r>
    </w:p>
    <w:p w14:paraId="353E9237">
      <w:pPr>
        <w:spacing w:line="360" w:lineRule="auto"/>
        <w:ind w:firstLine="420" w:firstLineChars="200"/>
        <w:jc w:val="left"/>
        <w:rPr>
          <w:rFonts w:hint="eastAsia" w:ascii="宋体" w:hAnsi="宋体"/>
          <w:color w:val="auto"/>
          <w:szCs w:val="21"/>
          <w:highlight w:val="none"/>
        </w:rPr>
      </w:pPr>
    </w:p>
    <w:p w14:paraId="332408FC">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（备注：1、</w:t>
      </w:r>
      <w:r>
        <w:rPr>
          <w:rFonts w:hint="eastAsia" w:ascii="宋体" w:hAnsi="宋体"/>
          <w:color w:val="auto"/>
          <w:szCs w:val="21"/>
          <w:highlight w:val="none"/>
        </w:rPr>
        <w:t>投标供应商</w:t>
      </w:r>
      <w:r>
        <w:rPr>
          <w:rFonts w:ascii="宋体" w:hAnsi="宋体"/>
          <w:color w:val="auto"/>
          <w:szCs w:val="21"/>
          <w:highlight w:val="none"/>
        </w:rPr>
        <w:t>如不提供此声明函，价格将不做相应扣除。2、中标</w:t>
      </w:r>
      <w:r>
        <w:rPr>
          <w:rFonts w:hint="eastAsia" w:ascii="宋体" w:hAnsi="宋体"/>
          <w:color w:val="auto"/>
          <w:szCs w:val="21"/>
          <w:highlight w:val="none"/>
        </w:rPr>
        <w:t>投标供应商</w:t>
      </w:r>
      <w:r>
        <w:rPr>
          <w:rFonts w:ascii="宋体" w:hAnsi="宋体"/>
          <w:color w:val="auto"/>
          <w:szCs w:val="21"/>
          <w:highlight w:val="none"/>
        </w:rPr>
        <w:t>为残疾人福利单位的，此声明函将随中标结果同时公告，接受社会监督）</w:t>
      </w:r>
    </w:p>
    <w:p w14:paraId="3802E228">
      <w:pPr>
        <w:spacing w:line="360" w:lineRule="auto"/>
        <w:ind w:firstLine="420" w:firstLineChars="200"/>
        <w:jc w:val="left"/>
        <w:rPr>
          <w:rFonts w:hint="eastAsia" w:ascii="宋体" w:hAnsi="宋体"/>
          <w:color w:val="auto"/>
          <w:szCs w:val="21"/>
          <w:highlight w:val="none"/>
        </w:rPr>
      </w:pPr>
    </w:p>
    <w:p w14:paraId="4229639C">
      <w:pPr>
        <w:spacing w:line="360" w:lineRule="auto"/>
        <w:ind w:firstLine="444" w:firstLineChars="200"/>
        <w:rPr>
          <w:rFonts w:hint="eastAsia" w:ascii="宋体" w:hAnsi="宋体"/>
          <w:color w:val="auto"/>
          <w:spacing w:val="6"/>
          <w:szCs w:val="21"/>
          <w:highlight w:val="none"/>
        </w:rPr>
      </w:pPr>
    </w:p>
    <w:p w14:paraId="763394E2">
      <w:pPr>
        <w:spacing w:line="360" w:lineRule="auto"/>
        <w:ind w:firstLine="3360" w:firstLineChars="1600"/>
        <w:jc w:val="left"/>
        <w:rPr>
          <w:rFonts w:hint="eastAsia" w:ascii="宋体" w:hAnsi="宋体"/>
          <w:color w:val="auto"/>
          <w:szCs w:val="21"/>
          <w:highlight w:val="none"/>
        </w:rPr>
      </w:pPr>
      <w:r>
        <w:rPr>
          <w:rFonts w:hint="eastAsia" w:ascii="宋体" w:hAnsi="宋体"/>
          <w:color w:val="auto"/>
          <w:szCs w:val="21"/>
          <w:highlight w:val="none"/>
        </w:rPr>
        <w:t>投标供应商</w:t>
      </w:r>
      <w:r>
        <w:rPr>
          <w:rFonts w:ascii="宋体" w:hAnsi="宋体"/>
          <w:color w:val="auto"/>
          <w:szCs w:val="21"/>
          <w:highlight w:val="none"/>
        </w:rPr>
        <w:t>（盖章）：</w:t>
      </w:r>
    </w:p>
    <w:p w14:paraId="79DED45B">
      <w:pPr>
        <w:spacing w:line="360" w:lineRule="auto"/>
        <w:ind w:firstLine="4620" w:firstLineChars="2200"/>
        <w:jc w:val="left"/>
        <w:rPr>
          <w:rFonts w:hint="eastAsia" w:ascii="宋体" w:hAnsi="宋体"/>
          <w:color w:val="auto"/>
          <w:szCs w:val="21"/>
          <w:highlight w:val="none"/>
        </w:rPr>
      </w:pPr>
      <w:r>
        <w:rPr>
          <w:rFonts w:ascii="宋体" w:hAnsi="宋体"/>
          <w:color w:val="auto"/>
          <w:szCs w:val="21"/>
          <w:highlight w:val="none"/>
        </w:rPr>
        <w:t>日  期：</w:t>
      </w:r>
    </w:p>
    <w:p w14:paraId="359D9F43">
      <w:pPr>
        <w:spacing w:line="360" w:lineRule="auto"/>
        <w:ind w:firstLine="4620" w:firstLineChars="2200"/>
        <w:jc w:val="left"/>
        <w:rPr>
          <w:rFonts w:hint="eastAsia" w:ascii="宋体" w:hAnsi="宋体"/>
          <w:color w:val="auto"/>
          <w:szCs w:val="21"/>
          <w:highlight w:val="none"/>
        </w:rPr>
      </w:pPr>
    </w:p>
    <w:p w14:paraId="0B9AA872">
      <w:pPr>
        <w:spacing w:line="360" w:lineRule="auto"/>
        <w:ind w:firstLine="4620" w:firstLineChars="2200"/>
        <w:jc w:val="left"/>
        <w:rPr>
          <w:rFonts w:hint="eastAsia" w:ascii="宋体" w:hAnsi="宋体"/>
          <w:color w:val="auto"/>
          <w:szCs w:val="21"/>
          <w:highlight w:val="none"/>
        </w:rPr>
      </w:pPr>
    </w:p>
    <w:p w14:paraId="789536EB">
      <w:pPr>
        <w:spacing w:line="360" w:lineRule="auto"/>
        <w:ind w:firstLine="4620" w:firstLineChars="2200"/>
        <w:jc w:val="left"/>
        <w:rPr>
          <w:rFonts w:hint="eastAsia" w:ascii="宋体" w:hAnsi="宋体"/>
          <w:color w:val="auto"/>
          <w:szCs w:val="21"/>
          <w:highlight w:val="none"/>
        </w:rPr>
      </w:pPr>
    </w:p>
    <w:p w14:paraId="55C26E0F">
      <w:pPr>
        <w:spacing w:line="360" w:lineRule="auto"/>
        <w:ind w:firstLine="4620" w:firstLineChars="2200"/>
        <w:jc w:val="left"/>
        <w:rPr>
          <w:rFonts w:hint="eastAsia" w:ascii="宋体" w:hAnsi="宋体"/>
          <w:color w:val="auto"/>
          <w:szCs w:val="21"/>
          <w:highlight w:val="none"/>
        </w:rPr>
      </w:pPr>
    </w:p>
    <w:p w14:paraId="5423120C">
      <w:pPr>
        <w:spacing w:line="360" w:lineRule="auto"/>
        <w:ind w:firstLine="4620" w:firstLineChars="2200"/>
        <w:jc w:val="left"/>
        <w:rPr>
          <w:rFonts w:hint="eastAsia" w:ascii="宋体" w:hAnsi="宋体"/>
          <w:color w:val="auto"/>
          <w:szCs w:val="21"/>
          <w:highlight w:val="none"/>
        </w:rPr>
      </w:pPr>
    </w:p>
    <w:p w14:paraId="3E6C4910">
      <w:pPr>
        <w:spacing w:line="360" w:lineRule="auto"/>
        <w:ind w:firstLine="4620" w:firstLineChars="2200"/>
        <w:jc w:val="left"/>
        <w:rPr>
          <w:rFonts w:hint="eastAsia" w:ascii="宋体" w:hAnsi="宋体"/>
          <w:color w:val="auto"/>
          <w:szCs w:val="21"/>
          <w:highlight w:val="none"/>
        </w:rPr>
      </w:pPr>
    </w:p>
    <w:p w14:paraId="790CB032">
      <w:pPr>
        <w:spacing w:line="360" w:lineRule="auto"/>
        <w:ind w:firstLine="4620" w:firstLineChars="2200"/>
        <w:jc w:val="left"/>
        <w:rPr>
          <w:rFonts w:hint="eastAsia" w:ascii="宋体" w:hAnsi="宋体"/>
          <w:color w:val="auto"/>
          <w:szCs w:val="21"/>
          <w:highlight w:val="none"/>
        </w:rPr>
      </w:pPr>
    </w:p>
    <w:p w14:paraId="75C32FB6">
      <w:pPr>
        <w:spacing w:line="360" w:lineRule="auto"/>
        <w:ind w:firstLine="4620" w:firstLineChars="2200"/>
        <w:jc w:val="left"/>
        <w:rPr>
          <w:rFonts w:hint="eastAsia" w:ascii="宋体" w:hAnsi="宋体"/>
          <w:color w:val="auto"/>
          <w:szCs w:val="21"/>
          <w:highlight w:val="none"/>
        </w:rPr>
      </w:pPr>
    </w:p>
    <w:p w14:paraId="46602304">
      <w:pPr>
        <w:spacing w:line="360" w:lineRule="auto"/>
        <w:jc w:val="center"/>
        <w:rPr>
          <w:rStyle w:val="48"/>
          <w:rFonts w:hint="eastAsia" w:ascii="宋体" w:hAnsi="宋体"/>
          <w:color w:val="auto"/>
          <w:sz w:val="28"/>
          <w:szCs w:val="28"/>
          <w:highlight w:val="none"/>
        </w:rPr>
      </w:pPr>
      <w:r>
        <w:rPr>
          <w:rStyle w:val="48"/>
          <w:rFonts w:ascii="宋体" w:hAnsi="宋体"/>
          <w:color w:val="auto"/>
          <w:sz w:val="28"/>
          <w:szCs w:val="28"/>
          <w:highlight w:val="none"/>
        </w:rPr>
        <w:t>监狱和戒毒企业证明材料</w:t>
      </w:r>
      <w:r>
        <w:rPr>
          <w:rStyle w:val="48"/>
          <w:rFonts w:hint="eastAsia" w:ascii="宋体" w:hAnsi="宋体"/>
          <w:color w:val="auto"/>
          <w:sz w:val="28"/>
          <w:szCs w:val="28"/>
          <w:highlight w:val="none"/>
        </w:rPr>
        <w:t>（如涉有，则提供）</w:t>
      </w:r>
    </w:p>
    <w:p w14:paraId="0EA0D7E3">
      <w:pPr>
        <w:snapToGrid w:val="0"/>
        <w:spacing w:line="420" w:lineRule="exact"/>
        <w:ind w:firstLine="495" w:firstLineChars="177"/>
        <w:rPr>
          <w:rFonts w:hint="eastAsia" w:ascii="宋体" w:hAnsi="宋体"/>
          <w:color w:val="auto"/>
          <w:sz w:val="28"/>
          <w:szCs w:val="28"/>
          <w:highlight w:val="none"/>
        </w:rPr>
      </w:pPr>
    </w:p>
    <w:p w14:paraId="25DE22AF">
      <w:pPr>
        <w:spacing w:line="360" w:lineRule="auto"/>
        <w:ind w:firstLine="420" w:firstLineChars="200"/>
        <w:jc w:val="left"/>
        <w:rPr>
          <w:rFonts w:hint="eastAsia" w:ascii="宋体" w:hAnsi="宋体"/>
          <w:color w:val="auto"/>
          <w:szCs w:val="21"/>
          <w:highlight w:val="none"/>
        </w:rPr>
      </w:pPr>
      <w:r>
        <w:rPr>
          <w:rFonts w:ascii="宋体" w:hAnsi="宋体"/>
          <w:color w:val="auto"/>
          <w:szCs w:val="21"/>
          <w:highlight w:val="none"/>
        </w:rPr>
        <w:t>（格式自拟）</w:t>
      </w:r>
    </w:p>
    <w:p w14:paraId="1AF4CCA5">
      <w:pPr>
        <w:spacing w:line="360" w:lineRule="auto"/>
        <w:ind w:firstLine="4620" w:firstLineChars="2200"/>
        <w:jc w:val="left"/>
        <w:rPr>
          <w:rFonts w:hint="eastAsia" w:ascii="宋体" w:hAnsi="宋体"/>
          <w:color w:val="auto"/>
          <w:szCs w:val="21"/>
          <w:highlight w:val="none"/>
        </w:rPr>
      </w:pPr>
      <w:r>
        <w:rPr>
          <w:rFonts w:ascii="宋体" w:hAnsi="宋体"/>
          <w:color w:val="auto"/>
          <w:szCs w:val="21"/>
          <w:highlight w:val="none"/>
        </w:rPr>
        <w:t>根据《财政部司法部关于政府采购支持监狱企业发展有关问题的通知》（财库〔2014〕68号），监狱企业参加政府采购活动时，应当提供由省级以上监狱管理局、戒毒管理局（含新疆生产建设兵团）出具的，供应商属于监狱企业的证明文件。</w:t>
      </w:r>
    </w:p>
    <w:p w14:paraId="5D3305FF">
      <w:pPr>
        <w:rPr>
          <w:color w:val="auto"/>
          <w:highlight w:val="none"/>
        </w:rPr>
      </w:pPr>
    </w:p>
    <w:sectPr>
      <w:footerReference r:id="rId10" w:type="default"/>
      <w:pgSz w:w="11906" w:h="16838"/>
      <w:pgMar w:top="1418" w:right="1247" w:bottom="1247"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华文彩云">
    <w:altName w:val="微软雅黑"/>
    <w:panose1 w:val="02010800040101010101"/>
    <w:charset w:val="86"/>
    <w:family w:val="auto"/>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Arial,Bold">
    <w:altName w:val="Arial"/>
    <w:panose1 w:val="00000000000000000000"/>
    <w:charset w:val="00"/>
    <w:family w:val="swiss"/>
    <w:pitch w:val="default"/>
    <w:sig w:usb0="00000000" w:usb1="00000000" w:usb2="00000000" w:usb3="00000000" w:csb0="0000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44F86">
    <w:pPr>
      <w:pStyle w:val="1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E58BB">
    <w:pPr>
      <w:pStyle w:val="1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10004C">
    <w:pPr>
      <w:pStyle w:val="1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6F28F9">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41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296BCEC3">
                          <w:pPr>
                            <w:pStyle w:val="18"/>
                          </w:pPr>
                          <w:r>
                            <w:fldChar w:fldCharType="begin"/>
                          </w:r>
                          <w:r>
                            <w:instrText xml:space="preserve"> PAGE  \* MERGEFORMAT </w:instrText>
                          </w:r>
                          <w:r>
                            <w:fldChar w:fldCharType="separate"/>
                          </w:r>
                          <w:r>
                            <w:t>76</w:t>
                          </w:r>
                          <w:r>
                            <w:fldChar w:fldCharType="end"/>
                          </w:r>
                        </w:p>
                      </w:txbxContent>
                    </wps:txbx>
                    <wps:bodyPr wrap="none" lIns="0" tIns="0" rIns="0" bIns="0">
                      <a:spAutoFit/>
                    </wps:bodyPr>
                  </wps:wsp>
                </a:graphicData>
              </a:graphic>
            </wp:anchor>
          </w:drawing>
        </mc:Choice>
        <mc:Fallback>
          <w:pict>
            <v:shape id="文本框 4121"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A1rDE21AEAAKkDAAAOAAAAAAAAAAEAIAAA&#10;ACIBAABkcnMvZTJvRG9jLnhtbFBLBQYAAAAABgAGAFkBAABoBQAAAAA=&#10;">
              <v:fill on="f" focussize="0,0"/>
              <v:stroke on="f" weight="1.25pt"/>
              <v:imagedata o:title=""/>
              <o:lock v:ext="edit" aspectratio="f"/>
              <v:textbox inset="0mm,0mm,0mm,0mm" style="mso-fit-shape-to-text:t;">
                <w:txbxContent>
                  <w:p w14:paraId="296BCEC3">
                    <w:pPr>
                      <w:pStyle w:val="18"/>
                    </w:pPr>
                    <w:r>
                      <w:fldChar w:fldCharType="begin"/>
                    </w:r>
                    <w:r>
                      <w:instrText xml:space="preserve"> PAGE  \* MERGEFORMAT </w:instrText>
                    </w:r>
                    <w:r>
                      <w:fldChar w:fldCharType="separate"/>
                    </w:r>
                    <w:r>
                      <w:t>76</w:t>
                    </w:r>
                    <w:r>
                      <w:fldChar w:fldCharType="end"/>
                    </w:r>
                  </w:p>
                </w:txbxContent>
              </v:textbox>
            </v:shape>
          </w:pict>
        </mc:Fallback>
      </mc:AlternateContent>
    </w:r>
    <w:r>
      <w:rPr>
        <w:rFonts w:hint="eastAsia"/>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D1CA02">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1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a:effectLst/>
                    </wps:spPr>
                    <wps:txbx>
                      <w:txbxContent>
                        <w:p w14:paraId="64082EE6">
                          <w:pPr>
                            <w:pStyle w:val="18"/>
                          </w:pPr>
                          <w:r>
                            <w:fldChar w:fldCharType="begin"/>
                          </w:r>
                          <w:r>
                            <w:instrText xml:space="preserve"> PAGE  \* MERGEFORMAT </w:instrText>
                          </w:r>
                          <w:r>
                            <w:fldChar w:fldCharType="separate"/>
                          </w:r>
                          <w:r>
                            <w:t>118</w:t>
                          </w:r>
                          <w:r>
                            <w:fldChar w:fldCharType="end"/>
                          </w:r>
                        </w:p>
                      </w:txbxContent>
                    </wps:txbx>
                    <wps:bodyPr wrap="none" lIns="0" tIns="0" rIns="0" bIns="0">
                      <a:spAutoFit/>
                    </wps:bodyPr>
                  </wps:wsp>
                </a:graphicData>
              </a:graphic>
            </wp:anchor>
          </w:drawing>
        </mc:Choice>
        <mc:Fallback>
          <w:pict>
            <v:shape id="文本框 4122"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GhpgkvTAAAABQEAAA8AAAAAAAAAAQAgAAAAIgAA&#10;AGRycy9kb3ducmV2LnhtbFBLAQIUABQAAAAIAIdO4kDIyN2D1AEAAKkDAAAOAAAAAAAAAAEAIAAA&#10;ACIBAABkcnMvZTJvRG9jLnhtbFBLBQYAAAAABgAGAFkBAABoBQAAAAA=&#10;">
              <v:fill on="f" focussize="0,0"/>
              <v:stroke on="f" weight="1.25pt"/>
              <v:imagedata o:title=""/>
              <o:lock v:ext="edit" aspectratio="f"/>
              <v:textbox inset="0mm,0mm,0mm,0mm" style="mso-fit-shape-to-text:t;">
                <w:txbxContent>
                  <w:p w14:paraId="64082EE6">
                    <w:pPr>
                      <w:pStyle w:val="18"/>
                    </w:pPr>
                    <w:r>
                      <w:fldChar w:fldCharType="begin"/>
                    </w:r>
                    <w:r>
                      <w:instrText xml:space="preserve"> PAGE  \* MERGEFORMAT </w:instrText>
                    </w:r>
                    <w:r>
                      <w:fldChar w:fldCharType="separate"/>
                    </w:r>
                    <w:r>
                      <w:t>118</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CBAC28">
    <w:pPr>
      <w:pStyle w:val="1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346FC0">
    <w:pPr>
      <w:pStyle w:val="1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DBBC5">
    <w:pPr>
      <w:pStyle w:val="19"/>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7D4642"/>
    <w:multiLevelType w:val="singleLevel"/>
    <w:tmpl w:val="897D4642"/>
    <w:lvl w:ilvl="0" w:tentative="0">
      <w:start w:val="1"/>
      <w:numFmt w:val="decimal"/>
      <w:suff w:val="nothing"/>
      <w:lvlText w:val="（%1）"/>
      <w:lvlJc w:val="left"/>
    </w:lvl>
  </w:abstractNum>
  <w:abstractNum w:abstractNumId="1">
    <w:nsid w:val="A0725C98"/>
    <w:multiLevelType w:val="singleLevel"/>
    <w:tmpl w:val="A0725C98"/>
    <w:lvl w:ilvl="0" w:tentative="0">
      <w:start w:val="1"/>
      <w:numFmt w:val="decimal"/>
      <w:suff w:val="nothing"/>
      <w:lvlText w:val="（%1）"/>
      <w:lvlJc w:val="left"/>
    </w:lvl>
  </w:abstractNum>
  <w:abstractNum w:abstractNumId="2">
    <w:nsid w:val="AB27A518"/>
    <w:multiLevelType w:val="singleLevel"/>
    <w:tmpl w:val="AB27A518"/>
    <w:lvl w:ilvl="0" w:tentative="0">
      <w:start w:val="1"/>
      <w:numFmt w:val="decimal"/>
      <w:suff w:val="nothing"/>
      <w:lvlText w:val="%1、"/>
      <w:lvlJc w:val="left"/>
    </w:lvl>
  </w:abstractNum>
  <w:abstractNum w:abstractNumId="3">
    <w:nsid w:val="FDCEAB87"/>
    <w:multiLevelType w:val="singleLevel"/>
    <w:tmpl w:val="FDCEAB87"/>
    <w:lvl w:ilvl="0" w:tentative="0">
      <w:start w:val="1"/>
      <w:numFmt w:val="decimal"/>
      <w:suff w:val="nothing"/>
      <w:lvlText w:val="（%1）"/>
      <w:lvlJc w:val="left"/>
    </w:lvl>
  </w:abstractNum>
  <w:abstractNum w:abstractNumId="4">
    <w:nsid w:val="405E0AF6"/>
    <w:multiLevelType w:val="singleLevel"/>
    <w:tmpl w:val="405E0AF6"/>
    <w:lvl w:ilvl="0" w:tentative="0">
      <w:start w:val="1"/>
      <w:numFmt w:val="decimal"/>
      <w:suff w:val="nothing"/>
      <w:lvlText w:val="（%1）"/>
      <w:lvlJc w:val="left"/>
    </w:lvl>
  </w:abstractNum>
  <w:abstractNum w:abstractNumId="5">
    <w:nsid w:val="4B4B09D2"/>
    <w:multiLevelType w:val="singleLevel"/>
    <w:tmpl w:val="4B4B09D2"/>
    <w:lvl w:ilvl="0" w:tentative="0">
      <w:start w:val="1"/>
      <w:numFmt w:val="decimal"/>
      <w:suff w:val="nothing"/>
      <w:lvlText w:val="%1、"/>
      <w:lvlJc w:val="left"/>
    </w:lvl>
  </w:abstractNum>
  <w:abstractNum w:abstractNumId="6">
    <w:nsid w:val="59ADCABA"/>
    <w:multiLevelType w:val="multilevel"/>
    <w:tmpl w:val="59ADCABA"/>
    <w:lvl w:ilvl="0" w:tentative="0">
      <w:start w:val="6"/>
      <w:numFmt w:val="chineseCounting"/>
      <w:suff w:val="nothing"/>
      <w:lvlText w:val="%1、"/>
      <w:lvlJc w:val="left"/>
      <w:rPr>
        <w:rFonts w:hint="eastAsia"/>
      </w:rPr>
    </w:lvl>
    <w:lvl w:ilvl="1" w:tentative="0">
      <w:start w:val="1"/>
      <w:numFmt w:val="bullet"/>
      <w:lvlText w:val="o"/>
      <w:lvlJc w:val="left"/>
      <w:pPr>
        <w:ind w:left="1440" w:hanging="360"/>
      </w:pPr>
      <w:rPr>
        <w:rFonts w:hint="default" w:ascii="Courier New" w:hAnsi="Courier New" w:eastAsia="Courier New" w:cs="Courier New"/>
      </w:rPr>
    </w:lvl>
    <w:lvl w:ilvl="2" w:tentative="0">
      <w:start w:val="1"/>
      <w:numFmt w:val="bullet"/>
      <w:lvlText w:val="§"/>
      <w:lvlJc w:val="left"/>
      <w:pPr>
        <w:ind w:left="2160" w:hanging="360"/>
      </w:pPr>
      <w:rPr>
        <w:rFonts w:hint="default" w:ascii="Wingdings" w:hAnsi="Wingdings" w:eastAsia="Wingdings" w:cs="Wingdings"/>
      </w:rPr>
    </w:lvl>
    <w:lvl w:ilvl="3" w:tentative="0">
      <w:start w:val="1"/>
      <w:numFmt w:val="bullet"/>
      <w:lvlText w:val="·"/>
      <w:lvlJc w:val="left"/>
      <w:pPr>
        <w:ind w:left="2880" w:hanging="360"/>
      </w:pPr>
      <w:rPr>
        <w:rFonts w:hint="default" w:ascii="Symbol" w:hAnsi="Symbol" w:eastAsia="Symbol" w:cs="Symbol"/>
      </w:rPr>
    </w:lvl>
    <w:lvl w:ilvl="4" w:tentative="0">
      <w:start w:val="1"/>
      <w:numFmt w:val="bullet"/>
      <w:lvlText w:val="o"/>
      <w:lvlJc w:val="left"/>
      <w:pPr>
        <w:ind w:left="3600" w:hanging="360"/>
      </w:pPr>
      <w:rPr>
        <w:rFonts w:hint="default" w:ascii="Courier New" w:hAnsi="Courier New" w:eastAsia="Courier New" w:cs="Courier New"/>
      </w:rPr>
    </w:lvl>
    <w:lvl w:ilvl="5" w:tentative="0">
      <w:start w:val="1"/>
      <w:numFmt w:val="bullet"/>
      <w:lvlText w:val="§"/>
      <w:lvlJc w:val="left"/>
      <w:pPr>
        <w:ind w:left="4320" w:hanging="360"/>
      </w:pPr>
      <w:rPr>
        <w:rFonts w:hint="default" w:ascii="Wingdings" w:hAnsi="Wingdings" w:eastAsia="Wingdings" w:cs="Wingdings"/>
      </w:rPr>
    </w:lvl>
    <w:lvl w:ilvl="6" w:tentative="0">
      <w:start w:val="1"/>
      <w:numFmt w:val="bullet"/>
      <w:lvlText w:val="·"/>
      <w:lvlJc w:val="left"/>
      <w:pPr>
        <w:ind w:left="5040" w:hanging="360"/>
      </w:pPr>
      <w:rPr>
        <w:rFonts w:hint="default" w:ascii="Symbol" w:hAnsi="Symbol" w:eastAsia="Symbol" w:cs="Symbol"/>
      </w:rPr>
    </w:lvl>
    <w:lvl w:ilvl="7" w:tentative="0">
      <w:start w:val="1"/>
      <w:numFmt w:val="bullet"/>
      <w:lvlText w:val="o"/>
      <w:lvlJc w:val="left"/>
      <w:pPr>
        <w:ind w:left="5760" w:hanging="360"/>
      </w:pPr>
      <w:rPr>
        <w:rFonts w:hint="default" w:ascii="Courier New" w:hAnsi="Courier New" w:eastAsia="Courier New" w:cs="Courier New"/>
      </w:rPr>
    </w:lvl>
    <w:lvl w:ilvl="8" w:tentative="0">
      <w:start w:val="1"/>
      <w:numFmt w:val="bullet"/>
      <w:lvlText w:val="§"/>
      <w:lvlJc w:val="left"/>
      <w:pPr>
        <w:ind w:left="6480" w:hanging="360"/>
      </w:pPr>
      <w:rPr>
        <w:rFonts w:hint="default" w:ascii="Wingdings" w:hAnsi="Wingdings" w:eastAsia="Wingdings" w:cs="Wingdings"/>
      </w:rPr>
    </w:lvl>
  </w:abstractNum>
  <w:abstractNum w:abstractNumId="7">
    <w:nsid w:val="59C63EF7"/>
    <w:multiLevelType w:val="singleLevel"/>
    <w:tmpl w:val="59C63EF7"/>
    <w:lvl w:ilvl="0" w:tentative="0">
      <w:start w:val="10"/>
      <w:numFmt w:val="chineseCounting"/>
      <w:suff w:val="nothing"/>
      <w:lvlText w:val="%1、"/>
      <w:lvlJc w:val="left"/>
      <w:rPr>
        <w:rFonts w:hint="eastAsia"/>
      </w:rPr>
    </w:lvl>
  </w:abstractNum>
  <w:num w:numId="1">
    <w:abstractNumId w:val="6"/>
  </w:num>
  <w:num w:numId="2">
    <w:abstractNumId w:val="7"/>
  </w:num>
  <w:num w:numId="3">
    <w:abstractNumId w:val="2"/>
  </w:num>
  <w:num w:numId="4">
    <w:abstractNumId w:val="0"/>
  </w:num>
  <w:num w:numId="5">
    <w:abstractNumId w:val="3"/>
  </w:num>
  <w:num w:numId="6">
    <w:abstractNumId w:val="1"/>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JmYmVhMGQ2YWQwOTc0ZDFkYmVkZTE0NzFkNThlYzIifQ=="/>
    <w:docVar w:name="KSO_WPS_MARK_KEY" w:val="9d59574f-9ca5-4448-91e3-f2a7e3cb4851"/>
  </w:docVars>
  <w:rsids>
    <w:rsidRoot w:val="00C54FE9"/>
    <w:rsid w:val="00044EF2"/>
    <w:rsid w:val="000B76EA"/>
    <w:rsid w:val="00260BFF"/>
    <w:rsid w:val="002622D9"/>
    <w:rsid w:val="00294401"/>
    <w:rsid w:val="002D1C2A"/>
    <w:rsid w:val="0035206E"/>
    <w:rsid w:val="00366CC0"/>
    <w:rsid w:val="003A35D5"/>
    <w:rsid w:val="004854E3"/>
    <w:rsid w:val="005A2E96"/>
    <w:rsid w:val="005D7950"/>
    <w:rsid w:val="00605268"/>
    <w:rsid w:val="00624551"/>
    <w:rsid w:val="00646FC4"/>
    <w:rsid w:val="006B599D"/>
    <w:rsid w:val="00742478"/>
    <w:rsid w:val="00826B4B"/>
    <w:rsid w:val="00833823"/>
    <w:rsid w:val="0083669A"/>
    <w:rsid w:val="0085604B"/>
    <w:rsid w:val="00895C0C"/>
    <w:rsid w:val="008B6810"/>
    <w:rsid w:val="008D159C"/>
    <w:rsid w:val="00981A6C"/>
    <w:rsid w:val="009C54B3"/>
    <w:rsid w:val="00A50AFC"/>
    <w:rsid w:val="00A55E7C"/>
    <w:rsid w:val="00A912BC"/>
    <w:rsid w:val="00A92335"/>
    <w:rsid w:val="00B176F0"/>
    <w:rsid w:val="00C11104"/>
    <w:rsid w:val="00C54FE9"/>
    <w:rsid w:val="00D02DA3"/>
    <w:rsid w:val="00D30D28"/>
    <w:rsid w:val="00E11532"/>
    <w:rsid w:val="00E30C51"/>
    <w:rsid w:val="00F369A8"/>
    <w:rsid w:val="00F90054"/>
    <w:rsid w:val="017A009C"/>
    <w:rsid w:val="017D7944"/>
    <w:rsid w:val="01896CD1"/>
    <w:rsid w:val="01AA0EC4"/>
    <w:rsid w:val="01FF3BC3"/>
    <w:rsid w:val="02151749"/>
    <w:rsid w:val="02170E4A"/>
    <w:rsid w:val="021A39AF"/>
    <w:rsid w:val="027A5940"/>
    <w:rsid w:val="02B3634E"/>
    <w:rsid w:val="034366F4"/>
    <w:rsid w:val="038E2BAF"/>
    <w:rsid w:val="03E97ECA"/>
    <w:rsid w:val="041A557B"/>
    <w:rsid w:val="042561EC"/>
    <w:rsid w:val="043D242C"/>
    <w:rsid w:val="0473723F"/>
    <w:rsid w:val="04865E36"/>
    <w:rsid w:val="04DE140D"/>
    <w:rsid w:val="058D5222"/>
    <w:rsid w:val="05BE25F7"/>
    <w:rsid w:val="05C00EC7"/>
    <w:rsid w:val="06093262"/>
    <w:rsid w:val="064029FC"/>
    <w:rsid w:val="06476BB7"/>
    <w:rsid w:val="066752B3"/>
    <w:rsid w:val="06F1547A"/>
    <w:rsid w:val="07025CA0"/>
    <w:rsid w:val="075A2A87"/>
    <w:rsid w:val="082012B0"/>
    <w:rsid w:val="08802790"/>
    <w:rsid w:val="08D669C5"/>
    <w:rsid w:val="09133755"/>
    <w:rsid w:val="09136725"/>
    <w:rsid w:val="095F3FBE"/>
    <w:rsid w:val="09AB5C79"/>
    <w:rsid w:val="09BF1E8A"/>
    <w:rsid w:val="09D726B7"/>
    <w:rsid w:val="0A1A29F7"/>
    <w:rsid w:val="0AB31880"/>
    <w:rsid w:val="0B2517D3"/>
    <w:rsid w:val="0B666A61"/>
    <w:rsid w:val="0BE86F2C"/>
    <w:rsid w:val="0C4A01D3"/>
    <w:rsid w:val="0CC701E3"/>
    <w:rsid w:val="0CCB1748"/>
    <w:rsid w:val="0D720538"/>
    <w:rsid w:val="0D9E6986"/>
    <w:rsid w:val="0DAE649D"/>
    <w:rsid w:val="0DB10A78"/>
    <w:rsid w:val="0DB53CD0"/>
    <w:rsid w:val="0E136570"/>
    <w:rsid w:val="0E715684"/>
    <w:rsid w:val="0EA578A0"/>
    <w:rsid w:val="0EE262AE"/>
    <w:rsid w:val="0F5F0397"/>
    <w:rsid w:val="0F812F2B"/>
    <w:rsid w:val="0F88710D"/>
    <w:rsid w:val="0F9E741F"/>
    <w:rsid w:val="10617BBE"/>
    <w:rsid w:val="11010537"/>
    <w:rsid w:val="11292A0B"/>
    <w:rsid w:val="11E52156"/>
    <w:rsid w:val="120B3DD4"/>
    <w:rsid w:val="123E7880"/>
    <w:rsid w:val="128D2E2B"/>
    <w:rsid w:val="130C41B6"/>
    <w:rsid w:val="132E4696"/>
    <w:rsid w:val="13533D6F"/>
    <w:rsid w:val="139B53E8"/>
    <w:rsid w:val="13D7723D"/>
    <w:rsid w:val="148052F5"/>
    <w:rsid w:val="14C61731"/>
    <w:rsid w:val="14DF7DBB"/>
    <w:rsid w:val="14EB4010"/>
    <w:rsid w:val="14EF3F6B"/>
    <w:rsid w:val="14F15252"/>
    <w:rsid w:val="155E2E9F"/>
    <w:rsid w:val="15660392"/>
    <w:rsid w:val="158D788A"/>
    <w:rsid w:val="159B361E"/>
    <w:rsid w:val="15DD2DB1"/>
    <w:rsid w:val="1651030E"/>
    <w:rsid w:val="16A02BC4"/>
    <w:rsid w:val="16CA1169"/>
    <w:rsid w:val="16E265F5"/>
    <w:rsid w:val="17905996"/>
    <w:rsid w:val="17CB3DD5"/>
    <w:rsid w:val="182A6333"/>
    <w:rsid w:val="18532074"/>
    <w:rsid w:val="185650AD"/>
    <w:rsid w:val="18701DE2"/>
    <w:rsid w:val="18D415D7"/>
    <w:rsid w:val="19094ED0"/>
    <w:rsid w:val="191C10A7"/>
    <w:rsid w:val="192826C7"/>
    <w:rsid w:val="19457793"/>
    <w:rsid w:val="19BA322A"/>
    <w:rsid w:val="19C463AE"/>
    <w:rsid w:val="19D33391"/>
    <w:rsid w:val="19EC54DE"/>
    <w:rsid w:val="1A181174"/>
    <w:rsid w:val="1A9C1E3E"/>
    <w:rsid w:val="1AB23A71"/>
    <w:rsid w:val="1ACD52F6"/>
    <w:rsid w:val="1AD559B1"/>
    <w:rsid w:val="1B445528"/>
    <w:rsid w:val="1B5A66AE"/>
    <w:rsid w:val="1C3256E7"/>
    <w:rsid w:val="1C4C5446"/>
    <w:rsid w:val="1C9A1F83"/>
    <w:rsid w:val="1CB87616"/>
    <w:rsid w:val="1DD008DF"/>
    <w:rsid w:val="1DF16CCB"/>
    <w:rsid w:val="1E5A32C2"/>
    <w:rsid w:val="1EC8325D"/>
    <w:rsid w:val="1ED1195F"/>
    <w:rsid w:val="1EFC175F"/>
    <w:rsid w:val="1F492554"/>
    <w:rsid w:val="1F8E6DBF"/>
    <w:rsid w:val="1FA62962"/>
    <w:rsid w:val="1FF61864"/>
    <w:rsid w:val="20083F60"/>
    <w:rsid w:val="209239FD"/>
    <w:rsid w:val="20E77E73"/>
    <w:rsid w:val="214D6B5B"/>
    <w:rsid w:val="21886A3B"/>
    <w:rsid w:val="21FD7D98"/>
    <w:rsid w:val="222764E9"/>
    <w:rsid w:val="224622BF"/>
    <w:rsid w:val="22D12F02"/>
    <w:rsid w:val="22E72660"/>
    <w:rsid w:val="23136C42"/>
    <w:rsid w:val="23735872"/>
    <w:rsid w:val="2375759A"/>
    <w:rsid w:val="239E65D5"/>
    <w:rsid w:val="23BF6861"/>
    <w:rsid w:val="23C463ED"/>
    <w:rsid w:val="24435C34"/>
    <w:rsid w:val="24622DB6"/>
    <w:rsid w:val="249924AD"/>
    <w:rsid w:val="24BE74B6"/>
    <w:rsid w:val="24FF5641"/>
    <w:rsid w:val="25804B6B"/>
    <w:rsid w:val="25965AF3"/>
    <w:rsid w:val="25A74480"/>
    <w:rsid w:val="25BE2D38"/>
    <w:rsid w:val="25C1100C"/>
    <w:rsid w:val="260C228A"/>
    <w:rsid w:val="261C6242"/>
    <w:rsid w:val="26365FAB"/>
    <w:rsid w:val="264344B2"/>
    <w:rsid w:val="26630A0A"/>
    <w:rsid w:val="27231678"/>
    <w:rsid w:val="2760611B"/>
    <w:rsid w:val="27AF2C80"/>
    <w:rsid w:val="27CE6C44"/>
    <w:rsid w:val="28490220"/>
    <w:rsid w:val="285613AB"/>
    <w:rsid w:val="28BA7BC7"/>
    <w:rsid w:val="28D850FD"/>
    <w:rsid w:val="293E2974"/>
    <w:rsid w:val="299E220B"/>
    <w:rsid w:val="29C45C1E"/>
    <w:rsid w:val="29F47925"/>
    <w:rsid w:val="2A1B6E2E"/>
    <w:rsid w:val="2A613F72"/>
    <w:rsid w:val="2AA47D84"/>
    <w:rsid w:val="2ACC5B00"/>
    <w:rsid w:val="2B3F5697"/>
    <w:rsid w:val="2B401485"/>
    <w:rsid w:val="2B5446D0"/>
    <w:rsid w:val="2BA4723A"/>
    <w:rsid w:val="2BBE7D9C"/>
    <w:rsid w:val="2BD410D2"/>
    <w:rsid w:val="2BF80E44"/>
    <w:rsid w:val="2C39291B"/>
    <w:rsid w:val="2C875DA7"/>
    <w:rsid w:val="2C8A2C80"/>
    <w:rsid w:val="2D2E30E9"/>
    <w:rsid w:val="2D39592C"/>
    <w:rsid w:val="2D453787"/>
    <w:rsid w:val="2D6C594A"/>
    <w:rsid w:val="2DA23499"/>
    <w:rsid w:val="2DBB5542"/>
    <w:rsid w:val="2DE0021C"/>
    <w:rsid w:val="2E39285A"/>
    <w:rsid w:val="2E666F6E"/>
    <w:rsid w:val="2ED2641C"/>
    <w:rsid w:val="2EEF6C10"/>
    <w:rsid w:val="2F9C21A2"/>
    <w:rsid w:val="2FB53641"/>
    <w:rsid w:val="2FC030B3"/>
    <w:rsid w:val="2FD602BF"/>
    <w:rsid w:val="30087837"/>
    <w:rsid w:val="301A1A9B"/>
    <w:rsid w:val="307914D3"/>
    <w:rsid w:val="30957FD9"/>
    <w:rsid w:val="30B80AF3"/>
    <w:rsid w:val="30F70A72"/>
    <w:rsid w:val="311244B1"/>
    <w:rsid w:val="326C7146"/>
    <w:rsid w:val="328B3C87"/>
    <w:rsid w:val="33E23820"/>
    <w:rsid w:val="342D2C82"/>
    <w:rsid w:val="343E7ED7"/>
    <w:rsid w:val="359A03B9"/>
    <w:rsid w:val="35BF4DCE"/>
    <w:rsid w:val="35EE4A5E"/>
    <w:rsid w:val="36A71B58"/>
    <w:rsid w:val="36E40475"/>
    <w:rsid w:val="37A4253C"/>
    <w:rsid w:val="37E97B87"/>
    <w:rsid w:val="38805291"/>
    <w:rsid w:val="38877E93"/>
    <w:rsid w:val="38B16CBE"/>
    <w:rsid w:val="3922152E"/>
    <w:rsid w:val="394239FE"/>
    <w:rsid w:val="397503BD"/>
    <w:rsid w:val="39824EC9"/>
    <w:rsid w:val="398803AB"/>
    <w:rsid w:val="39945151"/>
    <w:rsid w:val="39A84536"/>
    <w:rsid w:val="39D1485A"/>
    <w:rsid w:val="3A6B16A6"/>
    <w:rsid w:val="3A8B1822"/>
    <w:rsid w:val="3B7121C5"/>
    <w:rsid w:val="3B857661"/>
    <w:rsid w:val="3BA22C7E"/>
    <w:rsid w:val="3BB32B34"/>
    <w:rsid w:val="3BEB3449"/>
    <w:rsid w:val="3C2F3A9D"/>
    <w:rsid w:val="3CE5196D"/>
    <w:rsid w:val="3D01021D"/>
    <w:rsid w:val="3DA72A3E"/>
    <w:rsid w:val="3DF718AA"/>
    <w:rsid w:val="3E105FA0"/>
    <w:rsid w:val="3E8E35FE"/>
    <w:rsid w:val="3F0C15BE"/>
    <w:rsid w:val="3F1E711F"/>
    <w:rsid w:val="3F3D74FE"/>
    <w:rsid w:val="3F7153F9"/>
    <w:rsid w:val="3F797DA0"/>
    <w:rsid w:val="3F7B0026"/>
    <w:rsid w:val="40296F68"/>
    <w:rsid w:val="40571FC1"/>
    <w:rsid w:val="407168C5"/>
    <w:rsid w:val="408E611D"/>
    <w:rsid w:val="40AE7FD2"/>
    <w:rsid w:val="40DB1890"/>
    <w:rsid w:val="410B69E8"/>
    <w:rsid w:val="41150A3E"/>
    <w:rsid w:val="41EB2163"/>
    <w:rsid w:val="42823479"/>
    <w:rsid w:val="42984A4B"/>
    <w:rsid w:val="429E24FE"/>
    <w:rsid w:val="42EB7BB1"/>
    <w:rsid w:val="43510631"/>
    <w:rsid w:val="43DE580C"/>
    <w:rsid w:val="44591CCB"/>
    <w:rsid w:val="44BC3610"/>
    <w:rsid w:val="44E54011"/>
    <w:rsid w:val="451761E1"/>
    <w:rsid w:val="455B1BC2"/>
    <w:rsid w:val="45880767"/>
    <w:rsid w:val="4595740E"/>
    <w:rsid w:val="45A00FDD"/>
    <w:rsid w:val="45B464D1"/>
    <w:rsid w:val="45E61C3E"/>
    <w:rsid w:val="45E94792"/>
    <w:rsid w:val="46182FF9"/>
    <w:rsid w:val="46592C50"/>
    <w:rsid w:val="468C3F72"/>
    <w:rsid w:val="46DB2BB3"/>
    <w:rsid w:val="47163F31"/>
    <w:rsid w:val="47285D3D"/>
    <w:rsid w:val="477B4BFA"/>
    <w:rsid w:val="4794495A"/>
    <w:rsid w:val="47AD4DE5"/>
    <w:rsid w:val="47AF33AC"/>
    <w:rsid w:val="47C22C51"/>
    <w:rsid w:val="4809789B"/>
    <w:rsid w:val="48572B66"/>
    <w:rsid w:val="48592ECE"/>
    <w:rsid w:val="48B747E0"/>
    <w:rsid w:val="48BF0F83"/>
    <w:rsid w:val="48E1539E"/>
    <w:rsid w:val="49246A8D"/>
    <w:rsid w:val="4928100C"/>
    <w:rsid w:val="49583186"/>
    <w:rsid w:val="49BC2721"/>
    <w:rsid w:val="49D813F7"/>
    <w:rsid w:val="4A011F8E"/>
    <w:rsid w:val="4A2818E1"/>
    <w:rsid w:val="4A34774F"/>
    <w:rsid w:val="4AB443EC"/>
    <w:rsid w:val="4AD34882"/>
    <w:rsid w:val="4B163452"/>
    <w:rsid w:val="4B1F3DC5"/>
    <w:rsid w:val="4B8016B2"/>
    <w:rsid w:val="4BD420C7"/>
    <w:rsid w:val="4BEE5B1D"/>
    <w:rsid w:val="4BF54F6F"/>
    <w:rsid w:val="4BF87EA0"/>
    <w:rsid w:val="4C0614CB"/>
    <w:rsid w:val="4C35474E"/>
    <w:rsid w:val="4CA944E4"/>
    <w:rsid w:val="4CE161C5"/>
    <w:rsid w:val="4CE31E99"/>
    <w:rsid w:val="4CFA4532"/>
    <w:rsid w:val="4D3D37FC"/>
    <w:rsid w:val="4D7311B2"/>
    <w:rsid w:val="4D7B1F6A"/>
    <w:rsid w:val="4D8A1721"/>
    <w:rsid w:val="4DBD473E"/>
    <w:rsid w:val="4DDE698B"/>
    <w:rsid w:val="4DF83573"/>
    <w:rsid w:val="4E4D5BA9"/>
    <w:rsid w:val="4E5457F3"/>
    <w:rsid w:val="4E782C15"/>
    <w:rsid w:val="4ED0795E"/>
    <w:rsid w:val="4ED74716"/>
    <w:rsid w:val="4F2A6D73"/>
    <w:rsid w:val="4F377344"/>
    <w:rsid w:val="4FC1669B"/>
    <w:rsid w:val="4FEF697B"/>
    <w:rsid w:val="500D4698"/>
    <w:rsid w:val="514B3373"/>
    <w:rsid w:val="5161270B"/>
    <w:rsid w:val="519C1220"/>
    <w:rsid w:val="51AC2CCB"/>
    <w:rsid w:val="51D443D7"/>
    <w:rsid w:val="51F44404"/>
    <w:rsid w:val="51FF4A76"/>
    <w:rsid w:val="520E7D5C"/>
    <w:rsid w:val="52397B4D"/>
    <w:rsid w:val="5352262B"/>
    <w:rsid w:val="53F506D7"/>
    <w:rsid w:val="540B6074"/>
    <w:rsid w:val="549E2395"/>
    <w:rsid w:val="54AB4AB2"/>
    <w:rsid w:val="54D61DED"/>
    <w:rsid w:val="54EC0CBD"/>
    <w:rsid w:val="550F3BDA"/>
    <w:rsid w:val="558A46C7"/>
    <w:rsid w:val="56785D5C"/>
    <w:rsid w:val="57026C7D"/>
    <w:rsid w:val="57AF450F"/>
    <w:rsid w:val="57DB45F7"/>
    <w:rsid w:val="58717FC1"/>
    <w:rsid w:val="58B2640F"/>
    <w:rsid w:val="58D75E75"/>
    <w:rsid w:val="58E97957"/>
    <w:rsid w:val="593B444E"/>
    <w:rsid w:val="59401C6C"/>
    <w:rsid w:val="598B0A15"/>
    <w:rsid w:val="59920FF7"/>
    <w:rsid w:val="5A12475C"/>
    <w:rsid w:val="5A527B52"/>
    <w:rsid w:val="5B6342A5"/>
    <w:rsid w:val="5B9644C6"/>
    <w:rsid w:val="5C1E03D8"/>
    <w:rsid w:val="5C4B1054"/>
    <w:rsid w:val="5C572B51"/>
    <w:rsid w:val="5C6752D4"/>
    <w:rsid w:val="5CA70254"/>
    <w:rsid w:val="5D621970"/>
    <w:rsid w:val="5DA27BC8"/>
    <w:rsid w:val="5DB524FD"/>
    <w:rsid w:val="5DDE7199"/>
    <w:rsid w:val="5DF01070"/>
    <w:rsid w:val="5E0867EB"/>
    <w:rsid w:val="5E926C38"/>
    <w:rsid w:val="5EEC495B"/>
    <w:rsid w:val="5F6C3BE2"/>
    <w:rsid w:val="5F7E69EF"/>
    <w:rsid w:val="5F8A4DF0"/>
    <w:rsid w:val="5FD9638B"/>
    <w:rsid w:val="5FDD1413"/>
    <w:rsid w:val="5FDF6923"/>
    <w:rsid w:val="5FED2422"/>
    <w:rsid w:val="604156C3"/>
    <w:rsid w:val="60F42FA9"/>
    <w:rsid w:val="619164BF"/>
    <w:rsid w:val="61E12450"/>
    <w:rsid w:val="6250365E"/>
    <w:rsid w:val="62B7410A"/>
    <w:rsid w:val="63322876"/>
    <w:rsid w:val="635A7C72"/>
    <w:rsid w:val="63CC478C"/>
    <w:rsid w:val="6456779E"/>
    <w:rsid w:val="64A81A5B"/>
    <w:rsid w:val="65AD3286"/>
    <w:rsid w:val="65C434CE"/>
    <w:rsid w:val="65F17205"/>
    <w:rsid w:val="66263F98"/>
    <w:rsid w:val="663B14A4"/>
    <w:rsid w:val="66B5531C"/>
    <w:rsid w:val="66ED7691"/>
    <w:rsid w:val="66F44096"/>
    <w:rsid w:val="67141965"/>
    <w:rsid w:val="67492634"/>
    <w:rsid w:val="67902AFE"/>
    <w:rsid w:val="67DC03BC"/>
    <w:rsid w:val="6826605D"/>
    <w:rsid w:val="685F0065"/>
    <w:rsid w:val="68EA7DCC"/>
    <w:rsid w:val="690F0927"/>
    <w:rsid w:val="69217B6C"/>
    <w:rsid w:val="697C2075"/>
    <w:rsid w:val="69A66667"/>
    <w:rsid w:val="69E06B54"/>
    <w:rsid w:val="69F81F39"/>
    <w:rsid w:val="69FD6E54"/>
    <w:rsid w:val="6A9E0AB3"/>
    <w:rsid w:val="6AA27434"/>
    <w:rsid w:val="6AE53247"/>
    <w:rsid w:val="6AF2584B"/>
    <w:rsid w:val="6B1751DD"/>
    <w:rsid w:val="6B1A6932"/>
    <w:rsid w:val="6B3042FF"/>
    <w:rsid w:val="6B3A0933"/>
    <w:rsid w:val="6B871D82"/>
    <w:rsid w:val="6BEF6660"/>
    <w:rsid w:val="6BF776AD"/>
    <w:rsid w:val="6C39072F"/>
    <w:rsid w:val="6CA33A93"/>
    <w:rsid w:val="6CC22B6D"/>
    <w:rsid w:val="6CD73353"/>
    <w:rsid w:val="6CE36BFF"/>
    <w:rsid w:val="6D566435"/>
    <w:rsid w:val="6D62555C"/>
    <w:rsid w:val="6DAF69EF"/>
    <w:rsid w:val="6DC36570"/>
    <w:rsid w:val="6E1972E7"/>
    <w:rsid w:val="6E3122B8"/>
    <w:rsid w:val="6EB1286D"/>
    <w:rsid w:val="6EB51B88"/>
    <w:rsid w:val="6EF03E8D"/>
    <w:rsid w:val="6F165DBB"/>
    <w:rsid w:val="6F2179F2"/>
    <w:rsid w:val="6F7C2E7B"/>
    <w:rsid w:val="6F922636"/>
    <w:rsid w:val="6F9D4000"/>
    <w:rsid w:val="6FB42615"/>
    <w:rsid w:val="6FB50DC7"/>
    <w:rsid w:val="6FB72105"/>
    <w:rsid w:val="70811757"/>
    <w:rsid w:val="70A26911"/>
    <w:rsid w:val="70C3659B"/>
    <w:rsid w:val="710847E8"/>
    <w:rsid w:val="710B1751"/>
    <w:rsid w:val="71271A16"/>
    <w:rsid w:val="713F0F9E"/>
    <w:rsid w:val="71900E5F"/>
    <w:rsid w:val="71C21FDA"/>
    <w:rsid w:val="71FF5576"/>
    <w:rsid w:val="73195EDD"/>
    <w:rsid w:val="736030C4"/>
    <w:rsid w:val="73B725B3"/>
    <w:rsid w:val="73EC78CF"/>
    <w:rsid w:val="740C1244"/>
    <w:rsid w:val="741C01CB"/>
    <w:rsid w:val="74314E96"/>
    <w:rsid w:val="748307A3"/>
    <w:rsid w:val="74885532"/>
    <w:rsid w:val="74FC6F38"/>
    <w:rsid w:val="754B17FF"/>
    <w:rsid w:val="75812F99"/>
    <w:rsid w:val="758F16ED"/>
    <w:rsid w:val="759B6333"/>
    <w:rsid w:val="765B1A3C"/>
    <w:rsid w:val="767D545E"/>
    <w:rsid w:val="769033C2"/>
    <w:rsid w:val="76A05523"/>
    <w:rsid w:val="76C33D5F"/>
    <w:rsid w:val="76EE7425"/>
    <w:rsid w:val="76F4373D"/>
    <w:rsid w:val="77606606"/>
    <w:rsid w:val="77766529"/>
    <w:rsid w:val="777E236F"/>
    <w:rsid w:val="778637D8"/>
    <w:rsid w:val="778F5A59"/>
    <w:rsid w:val="78090CD5"/>
    <w:rsid w:val="781F103C"/>
    <w:rsid w:val="7867647B"/>
    <w:rsid w:val="788E5553"/>
    <w:rsid w:val="78BF076D"/>
    <w:rsid w:val="78F56EEB"/>
    <w:rsid w:val="78FC148C"/>
    <w:rsid w:val="79380A8E"/>
    <w:rsid w:val="79390D39"/>
    <w:rsid w:val="795872D2"/>
    <w:rsid w:val="797E2C25"/>
    <w:rsid w:val="79C35FFD"/>
    <w:rsid w:val="7A0E4DB2"/>
    <w:rsid w:val="7A195E96"/>
    <w:rsid w:val="7A575769"/>
    <w:rsid w:val="7A694C13"/>
    <w:rsid w:val="7A6A05D7"/>
    <w:rsid w:val="7A862E00"/>
    <w:rsid w:val="7A946DA5"/>
    <w:rsid w:val="7ADC6261"/>
    <w:rsid w:val="7B1A6719"/>
    <w:rsid w:val="7B890DF9"/>
    <w:rsid w:val="7C0F065B"/>
    <w:rsid w:val="7C2B1EB0"/>
    <w:rsid w:val="7C7D2F74"/>
    <w:rsid w:val="7CB75956"/>
    <w:rsid w:val="7CD47C13"/>
    <w:rsid w:val="7CF21F57"/>
    <w:rsid w:val="7D044D32"/>
    <w:rsid w:val="7D264E72"/>
    <w:rsid w:val="7D7312EF"/>
    <w:rsid w:val="7D8950E1"/>
    <w:rsid w:val="7E4E23CD"/>
    <w:rsid w:val="7E526DDF"/>
    <w:rsid w:val="7E555084"/>
    <w:rsid w:val="7E5C45A3"/>
    <w:rsid w:val="7E7B544A"/>
    <w:rsid w:val="7F2826D7"/>
    <w:rsid w:val="7F3A5D6A"/>
    <w:rsid w:val="7F46404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qFormat="1" w:uiPriority="99" w:semiHidden="0" w:name="envelope return"/>
    <w:lsdException w:uiPriority="99" w:name="footnote reference"/>
    <w:lsdException w:qFormat="1" w:unhideWhenUsed="0" w:uiPriority="99" w:semiHidden="0" w:name="annotation reference"/>
    <w:lsdException w:uiPriority="99" w:name="line number"/>
    <w:lsdException w:qFormat="1"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uiPriority="99" w:name="Body Text 2"/>
    <w:lsdException w:uiPriority="99" w:name="Body Text 3"/>
    <w:lsdException w:uiPriority="99" w:name="Body Text Indent 2"/>
    <w:lsdException w:qFormat="1" w:unhideWhenUsed="0" w:uiPriority="0" w:semiHidden="0"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0" w:semiHidden="0" w:name="Normal (Web)"/>
    <w:lsdException w:qFormat="1" w:uiPriority="0" w:semiHidden="0" w:name="HTML Acronym"/>
    <w:lsdException w:uiPriority="99" w:name="HTML Address"/>
    <w:lsdException w:qFormat="1" w:uiPriority="0" w:semiHidden="0" w:name="HTML Cite"/>
    <w:lsdException w:qFormat="1" w:uiPriority="0" w:semiHidden="0" w:name="HTML Code"/>
    <w:lsdException w:qFormat="1" w:uiPriority="0" w:semiHidden="0" w:name="HTML Definition"/>
    <w:lsdException w:qFormat="1" w:uiPriority="0" w:semiHidden="0" w:name="HTML Keyboard"/>
    <w:lsdException w:uiPriority="99" w:name="HTML Preformatted"/>
    <w:lsdException w:qFormat="1" w:uiPriority="0" w:semiHidden="0" w:name="HTML Sample"/>
    <w:lsdException w:qFormat="1" w:uiPriority="0" w:semiHidden="0" w:name="HTML Typewriter"/>
    <w:lsdException w:qFormat="1" w:uiPriority="0" w:semiHidden="0"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7"/>
    <w:qFormat/>
    <w:uiPriority w:val="0"/>
    <w:pPr>
      <w:keepNext/>
      <w:keepLines/>
      <w:spacing w:line="578" w:lineRule="auto"/>
      <w:outlineLvl w:val="0"/>
    </w:pPr>
    <w:rPr>
      <w:rFonts w:ascii="Times New Roman" w:hAnsi="Times New Roman" w:eastAsia="宋体" w:cs="Times New Roman"/>
      <w:b/>
      <w:bCs/>
      <w:kern w:val="44"/>
      <w:sz w:val="44"/>
      <w:szCs w:val="44"/>
    </w:rPr>
  </w:style>
  <w:style w:type="paragraph" w:styleId="3">
    <w:name w:val="heading 2"/>
    <w:basedOn w:val="1"/>
    <w:next w:val="1"/>
    <w:link w:val="48"/>
    <w:qFormat/>
    <w:uiPriority w:val="0"/>
    <w:pPr>
      <w:keepNext/>
      <w:keepLines/>
      <w:spacing w:line="416" w:lineRule="auto"/>
      <w:outlineLvl w:val="1"/>
    </w:pPr>
    <w:rPr>
      <w:rFonts w:ascii="Cambria" w:hAnsi="Cambria" w:eastAsia="宋体" w:cs="Times New Roman"/>
      <w:b/>
      <w:bCs/>
      <w:kern w:val="0"/>
      <w:sz w:val="32"/>
      <w:szCs w:val="32"/>
    </w:rPr>
  </w:style>
  <w:style w:type="paragraph" w:styleId="4">
    <w:name w:val="heading 3"/>
    <w:basedOn w:val="1"/>
    <w:next w:val="1"/>
    <w:link w:val="49"/>
    <w:qFormat/>
    <w:uiPriority w:val="0"/>
    <w:pPr>
      <w:keepNext/>
      <w:keepLines/>
      <w:spacing w:line="416" w:lineRule="auto"/>
      <w:outlineLvl w:val="2"/>
    </w:pPr>
    <w:rPr>
      <w:rFonts w:ascii="Times New Roman" w:hAnsi="Times New Roman" w:eastAsia="宋体" w:cs="Times New Roman"/>
      <w:b/>
      <w:bCs/>
      <w:kern w:val="0"/>
      <w:sz w:val="32"/>
      <w:szCs w:val="32"/>
    </w:rPr>
  </w:style>
  <w:style w:type="paragraph" w:styleId="5">
    <w:name w:val="heading 4"/>
    <w:basedOn w:val="1"/>
    <w:next w:val="1"/>
    <w:link w:val="50"/>
    <w:qFormat/>
    <w:uiPriority w:val="0"/>
    <w:pPr>
      <w:keepNext/>
      <w:keepLines/>
      <w:spacing w:line="376" w:lineRule="auto"/>
      <w:outlineLvl w:val="3"/>
    </w:pPr>
    <w:rPr>
      <w:rFonts w:ascii="Cambria" w:hAnsi="Cambria" w:eastAsia="宋体" w:cs="Times New Roman"/>
      <w:b/>
      <w:bCs/>
      <w:kern w:val="0"/>
      <w:sz w:val="28"/>
      <w:szCs w:val="28"/>
    </w:rPr>
  </w:style>
  <w:style w:type="paragraph" w:styleId="6">
    <w:name w:val="heading 5"/>
    <w:basedOn w:val="1"/>
    <w:next w:val="1"/>
    <w:link w:val="51"/>
    <w:qFormat/>
    <w:uiPriority w:val="0"/>
    <w:pPr>
      <w:keepNext/>
      <w:keepLines/>
      <w:spacing w:line="376" w:lineRule="auto"/>
      <w:outlineLvl w:val="4"/>
    </w:pPr>
    <w:rPr>
      <w:rFonts w:ascii="Times New Roman" w:hAnsi="Times New Roman" w:eastAsia="宋体" w:cs="Times New Roman"/>
      <w:b/>
      <w:bCs/>
      <w:kern w:val="0"/>
      <w:sz w:val="28"/>
      <w:szCs w:val="28"/>
    </w:rPr>
  </w:style>
  <w:style w:type="paragraph" w:styleId="7">
    <w:name w:val="heading 6"/>
    <w:basedOn w:val="1"/>
    <w:next w:val="1"/>
    <w:link w:val="52"/>
    <w:qFormat/>
    <w:uiPriority w:val="0"/>
    <w:pPr>
      <w:keepNext/>
      <w:keepLines/>
      <w:spacing w:line="320" w:lineRule="auto"/>
      <w:outlineLvl w:val="5"/>
    </w:pPr>
    <w:rPr>
      <w:rFonts w:ascii="Cambria" w:hAnsi="Cambria" w:eastAsia="宋体" w:cs="Times New Roman"/>
      <w:b/>
      <w:bCs/>
      <w:kern w:val="0"/>
      <w:sz w:val="24"/>
      <w:szCs w:val="24"/>
    </w:rPr>
  </w:style>
  <w:style w:type="paragraph" w:styleId="8">
    <w:name w:val="heading 7"/>
    <w:basedOn w:val="1"/>
    <w:next w:val="1"/>
    <w:link w:val="53"/>
    <w:qFormat/>
    <w:uiPriority w:val="0"/>
    <w:pPr>
      <w:keepNext/>
      <w:keepLines/>
      <w:spacing w:line="360" w:lineRule="auto"/>
      <w:ind w:left="425" w:hanging="425"/>
      <w:outlineLvl w:val="6"/>
    </w:pPr>
    <w:rPr>
      <w:rFonts w:ascii="Times New Roman" w:hAnsi="Times New Roman" w:eastAsia="宋体" w:cs="Times New Roman"/>
      <w:b/>
      <w:bCs/>
      <w:sz w:val="24"/>
      <w:szCs w:val="24"/>
    </w:rPr>
  </w:style>
  <w:style w:type="paragraph" w:styleId="9">
    <w:name w:val="heading 8"/>
    <w:basedOn w:val="1"/>
    <w:next w:val="1"/>
    <w:link w:val="54"/>
    <w:qFormat/>
    <w:uiPriority w:val="0"/>
    <w:pPr>
      <w:keepNext/>
      <w:keepLines/>
      <w:spacing w:line="360" w:lineRule="auto"/>
      <w:ind w:left="425" w:hanging="425"/>
      <w:outlineLvl w:val="7"/>
    </w:pPr>
    <w:rPr>
      <w:rFonts w:ascii="Times New Roman" w:hAnsi="Times New Roman" w:eastAsia="宋体" w:cs="Times New Roman"/>
      <w:b/>
      <w:sz w:val="24"/>
      <w:szCs w:val="24"/>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0">
    <w:name w:val="Normal Indent"/>
    <w:basedOn w:val="1"/>
    <w:link w:val="55"/>
    <w:unhideWhenUsed/>
    <w:qFormat/>
    <w:uiPriority w:val="0"/>
    <w:pPr>
      <w:ind w:firstLine="420" w:firstLineChars="200"/>
    </w:pPr>
    <w:rPr>
      <w:rFonts w:ascii="Times New Roman" w:hAnsi="Times New Roman" w:eastAsia="宋体" w:cs="Times New Roman"/>
      <w:kern w:val="0"/>
      <w:sz w:val="20"/>
      <w:szCs w:val="24"/>
    </w:rPr>
  </w:style>
  <w:style w:type="paragraph" w:styleId="11">
    <w:name w:val="annotation text"/>
    <w:basedOn w:val="1"/>
    <w:link w:val="56"/>
    <w:unhideWhenUsed/>
    <w:qFormat/>
    <w:uiPriority w:val="99"/>
    <w:pPr>
      <w:jc w:val="left"/>
    </w:pPr>
    <w:rPr>
      <w:rFonts w:ascii="Times New Roman" w:hAnsi="Times New Roman" w:eastAsia="宋体" w:cs="Times New Roman"/>
      <w:szCs w:val="24"/>
    </w:rPr>
  </w:style>
  <w:style w:type="paragraph" w:styleId="12">
    <w:name w:val="Body Text"/>
    <w:basedOn w:val="1"/>
    <w:next w:val="1"/>
    <w:link w:val="57"/>
    <w:qFormat/>
    <w:uiPriority w:val="1"/>
    <w:pPr>
      <w:tabs>
        <w:tab w:val="left" w:pos="2020"/>
        <w:tab w:val="center" w:pos="4535"/>
      </w:tabs>
      <w:spacing w:line="500" w:lineRule="exact"/>
      <w:outlineLvl w:val="0"/>
    </w:pPr>
    <w:rPr>
      <w:rFonts w:ascii="华文彩云" w:hAnsi="宋体" w:eastAsia="华文彩云" w:cs="Times New Roman"/>
      <w:bCs/>
      <w:color w:val="000000"/>
      <w:sz w:val="28"/>
      <w:szCs w:val="24"/>
    </w:rPr>
  </w:style>
  <w:style w:type="paragraph" w:styleId="13">
    <w:name w:val="Body Text Indent"/>
    <w:basedOn w:val="1"/>
    <w:next w:val="14"/>
    <w:link w:val="58"/>
    <w:unhideWhenUsed/>
    <w:qFormat/>
    <w:uiPriority w:val="0"/>
    <w:pPr>
      <w:ind w:left="420" w:leftChars="200"/>
    </w:pPr>
    <w:rPr>
      <w:rFonts w:ascii="Times New Roman" w:hAnsi="Times New Roman" w:eastAsia="宋体" w:cs="Times New Roman"/>
      <w:kern w:val="0"/>
      <w:sz w:val="20"/>
      <w:szCs w:val="24"/>
    </w:rPr>
  </w:style>
  <w:style w:type="paragraph" w:styleId="14">
    <w:name w:val="envelope return"/>
    <w:basedOn w:val="1"/>
    <w:unhideWhenUsed/>
    <w:qFormat/>
    <w:uiPriority w:val="99"/>
    <w:pPr>
      <w:snapToGrid w:val="0"/>
    </w:pPr>
    <w:rPr>
      <w:rFonts w:ascii="Arial" w:hAnsi="Arial" w:eastAsia="宋体" w:cs="Times New Roman"/>
      <w:szCs w:val="24"/>
    </w:rPr>
  </w:style>
  <w:style w:type="paragraph" w:styleId="15">
    <w:name w:val="Plain Text"/>
    <w:basedOn w:val="1"/>
    <w:link w:val="59"/>
    <w:qFormat/>
    <w:uiPriority w:val="0"/>
    <w:rPr>
      <w:rFonts w:ascii="宋体" w:hAnsi="Courier New" w:eastAsia="宋体" w:cs="Times New Roman"/>
      <w:szCs w:val="20"/>
    </w:rPr>
  </w:style>
  <w:style w:type="paragraph" w:styleId="16">
    <w:name w:val="Date"/>
    <w:basedOn w:val="1"/>
    <w:next w:val="1"/>
    <w:link w:val="60"/>
    <w:qFormat/>
    <w:uiPriority w:val="0"/>
    <w:pPr>
      <w:ind w:left="100"/>
    </w:pPr>
    <w:rPr>
      <w:rFonts w:ascii="仿宋_GB2312" w:hAnsi="Courier New" w:eastAsia="仿宋_GB2312" w:cs="Times New Roman"/>
      <w:sz w:val="28"/>
      <w:szCs w:val="20"/>
    </w:rPr>
  </w:style>
  <w:style w:type="paragraph" w:styleId="17">
    <w:name w:val="Balloon Text"/>
    <w:basedOn w:val="1"/>
    <w:link w:val="61"/>
    <w:unhideWhenUsed/>
    <w:qFormat/>
    <w:uiPriority w:val="99"/>
    <w:rPr>
      <w:rFonts w:ascii="Times New Roman" w:hAnsi="Times New Roman" w:eastAsia="宋体" w:cs="Times New Roman"/>
      <w:kern w:val="0"/>
      <w:sz w:val="18"/>
      <w:szCs w:val="18"/>
    </w:rPr>
  </w:style>
  <w:style w:type="paragraph" w:styleId="18">
    <w:name w:val="footer"/>
    <w:basedOn w:val="1"/>
    <w:link w:val="46"/>
    <w:unhideWhenUsed/>
    <w:qFormat/>
    <w:uiPriority w:val="99"/>
    <w:pPr>
      <w:tabs>
        <w:tab w:val="center" w:pos="4153"/>
        <w:tab w:val="right" w:pos="8306"/>
      </w:tabs>
      <w:snapToGrid w:val="0"/>
      <w:jc w:val="left"/>
    </w:pPr>
    <w:rPr>
      <w:sz w:val="18"/>
      <w:szCs w:val="18"/>
    </w:rPr>
  </w:style>
  <w:style w:type="paragraph" w:styleId="19">
    <w:name w:val="header"/>
    <w:basedOn w:val="1"/>
    <w:link w:val="45"/>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Body Text Indent 3"/>
    <w:basedOn w:val="1"/>
    <w:link w:val="62"/>
    <w:qFormat/>
    <w:uiPriority w:val="0"/>
    <w:pPr>
      <w:spacing w:after="120"/>
      <w:ind w:left="420" w:leftChars="200"/>
    </w:pPr>
    <w:rPr>
      <w:rFonts w:ascii="Times New Roman" w:hAnsi="Times New Roman" w:eastAsia="宋体" w:cs="Times New Roman"/>
      <w:kern w:val="0"/>
      <w:sz w:val="16"/>
      <w:szCs w:val="16"/>
    </w:rPr>
  </w:style>
  <w:style w:type="paragraph" w:styleId="21">
    <w:name w:val="Normal (Web)"/>
    <w:basedOn w:val="1"/>
    <w:unhideWhenUsed/>
    <w:qFormat/>
    <w:uiPriority w:val="0"/>
    <w:pPr>
      <w:widowControl/>
      <w:spacing w:beforeAutospacing="1" w:afterAutospacing="1"/>
      <w:jc w:val="left"/>
    </w:pPr>
    <w:rPr>
      <w:rFonts w:ascii="宋体" w:hAnsi="宋体" w:eastAsia="宋体" w:cs="宋体"/>
      <w:kern w:val="0"/>
      <w:sz w:val="24"/>
      <w:szCs w:val="24"/>
    </w:rPr>
  </w:style>
  <w:style w:type="paragraph" w:styleId="22">
    <w:name w:val="annotation subject"/>
    <w:basedOn w:val="11"/>
    <w:next w:val="11"/>
    <w:link w:val="63"/>
    <w:unhideWhenUsed/>
    <w:qFormat/>
    <w:uiPriority w:val="0"/>
    <w:rPr>
      <w:b/>
      <w:bCs/>
    </w:rPr>
  </w:style>
  <w:style w:type="paragraph" w:styleId="23">
    <w:name w:val="Body Text First Indent"/>
    <w:basedOn w:val="12"/>
    <w:next w:val="1"/>
    <w:link w:val="64"/>
    <w:qFormat/>
    <w:uiPriority w:val="0"/>
    <w:pPr>
      <w:ind w:firstLine="420" w:firstLineChars="100"/>
    </w:pPr>
  </w:style>
  <w:style w:type="paragraph" w:styleId="24">
    <w:name w:val="Body Text First Indent 2"/>
    <w:basedOn w:val="13"/>
    <w:next w:val="20"/>
    <w:link w:val="65"/>
    <w:unhideWhenUsed/>
    <w:qFormat/>
    <w:uiPriority w:val="99"/>
    <w:pPr>
      <w:ind w:firstLine="420" w:firstLineChars="200"/>
    </w:pPr>
  </w:style>
  <w:style w:type="table" w:styleId="26">
    <w:name w:val="Table Grid"/>
    <w:basedOn w:val="25"/>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qFormat/>
    <w:uiPriority w:val="22"/>
    <w:rPr>
      <w:b/>
      <w:bCs/>
    </w:rPr>
  </w:style>
  <w:style w:type="character" w:styleId="29">
    <w:name w:val="page number"/>
    <w:unhideWhenUsed/>
    <w:qFormat/>
    <w:uiPriority w:val="0"/>
  </w:style>
  <w:style w:type="character" w:styleId="30">
    <w:name w:val="FollowedHyperlink"/>
    <w:unhideWhenUsed/>
    <w:qFormat/>
    <w:uiPriority w:val="99"/>
    <w:rPr>
      <w:color w:val="954F72"/>
      <w:u w:val="single"/>
    </w:rPr>
  </w:style>
  <w:style w:type="character" w:styleId="31">
    <w:name w:val="Emphasis"/>
    <w:qFormat/>
    <w:uiPriority w:val="20"/>
    <w:rPr>
      <w:i/>
      <w:iCs/>
    </w:rPr>
  </w:style>
  <w:style w:type="character" w:styleId="32">
    <w:name w:val="HTML Definition"/>
    <w:unhideWhenUsed/>
    <w:qFormat/>
    <w:uiPriority w:val="0"/>
  </w:style>
  <w:style w:type="character" w:styleId="33">
    <w:name w:val="HTML Typewriter"/>
    <w:unhideWhenUsed/>
    <w:qFormat/>
    <w:uiPriority w:val="0"/>
    <w:rPr>
      <w:rFonts w:hint="default" w:ascii="monospace" w:hAnsi="monospace" w:eastAsia="monospace" w:cs="monospace"/>
      <w:sz w:val="20"/>
    </w:rPr>
  </w:style>
  <w:style w:type="character" w:styleId="34">
    <w:name w:val="HTML Acronym"/>
    <w:unhideWhenUsed/>
    <w:qFormat/>
    <w:uiPriority w:val="0"/>
  </w:style>
  <w:style w:type="character" w:styleId="35">
    <w:name w:val="HTML Variable"/>
    <w:unhideWhenUsed/>
    <w:qFormat/>
    <w:uiPriority w:val="0"/>
  </w:style>
  <w:style w:type="character" w:styleId="36">
    <w:name w:val="Hyperlink"/>
    <w:unhideWhenUsed/>
    <w:qFormat/>
    <w:uiPriority w:val="99"/>
    <w:rPr>
      <w:color w:val="0000FF"/>
      <w:u w:val="none"/>
    </w:rPr>
  </w:style>
  <w:style w:type="character" w:styleId="37">
    <w:name w:val="HTML Code"/>
    <w:unhideWhenUsed/>
    <w:qFormat/>
    <w:uiPriority w:val="0"/>
    <w:rPr>
      <w:rFonts w:ascii="monospace" w:hAnsi="monospace" w:eastAsia="monospace" w:cs="monospace"/>
      <w:sz w:val="20"/>
    </w:rPr>
  </w:style>
  <w:style w:type="character" w:styleId="38">
    <w:name w:val="annotation reference"/>
    <w:qFormat/>
    <w:uiPriority w:val="99"/>
    <w:rPr>
      <w:sz w:val="21"/>
      <w:szCs w:val="21"/>
    </w:rPr>
  </w:style>
  <w:style w:type="character" w:styleId="39">
    <w:name w:val="HTML Cite"/>
    <w:unhideWhenUsed/>
    <w:qFormat/>
    <w:uiPriority w:val="0"/>
    <w:rPr>
      <w:bdr w:val="single" w:color="888888" w:sz="2" w:space="0"/>
      <w:shd w:val="clear" w:color="auto" w:fill="F2F4F9"/>
    </w:rPr>
  </w:style>
  <w:style w:type="character" w:styleId="40">
    <w:name w:val="HTML Keyboard"/>
    <w:unhideWhenUsed/>
    <w:qFormat/>
    <w:uiPriority w:val="0"/>
    <w:rPr>
      <w:rFonts w:hint="default" w:ascii="monospace" w:hAnsi="monospace" w:eastAsia="monospace" w:cs="monospace"/>
      <w:sz w:val="20"/>
    </w:rPr>
  </w:style>
  <w:style w:type="character" w:styleId="41">
    <w:name w:val="HTML Sample"/>
    <w:unhideWhenUsed/>
    <w:qFormat/>
    <w:uiPriority w:val="0"/>
    <w:rPr>
      <w:rFonts w:hint="default" w:ascii="monospace" w:hAnsi="monospace" w:eastAsia="monospace" w:cs="monospace"/>
    </w:rPr>
  </w:style>
  <w:style w:type="paragraph" w:customStyle="1" w:styleId="42">
    <w:name w:val="正文文本缩进 21"/>
    <w:basedOn w:val="1"/>
    <w:qFormat/>
    <w:uiPriority w:val="0"/>
    <w:pPr>
      <w:widowControl/>
      <w:tabs>
        <w:tab w:val="left" w:pos="0"/>
        <w:tab w:val="left" w:pos="993"/>
        <w:tab w:val="left" w:pos="1134"/>
      </w:tabs>
      <w:spacing w:line="500" w:lineRule="exact"/>
      <w:ind w:firstLine="851"/>
    </w:pPr>
    <w:rPr>
      <w:rFonts w:ascii="楷体_GB2312" w:eastAsia="楷体_GB2312"/>
      <w:b/>
      <w:spacing w:val="-24"/>
      <w:sz w:val="28"/>
      <w:szCs w:val="20"/>
    </w:rPr>
  </w:style>
  <w:style w:type="paragraph" w:customStyle="1" w:styleId="43">
    <w:name w:val="正文首行缩进1"/>
    <w:basedOn w:val="44"/>
    <w:next w:val="1"/>
    <w:qFormat/>
    <w:uiPriority w:val="0"/>
    <w:pPr>
      <w:tabs>
        <w:tab w:val="left" w:pos="2020"/>
        <w:tab w:val="center" w:pos="4535"/>
      </w:tabs>
      <w:ind w:firstLine="420"/>
    </w:pPr>
  </w:style>
  <w:style w:type="paragraph" w:customStyle="1" w:styleId="44">
    <w:name w:val="正文文本1"/>
    <w:basedOn w:val="1"/>
    <w:next w:val="1"/>
    <w:qFormat/>
    <w:uiPriority w:val="0"/>
    <w:pPr>
      <w:tabs>
        <w:tab w:val="left" w:pos="2020"/>
        <w:tab w:val="center" w:pos="4535"/>
      </w:tabs>
      <w:spacing w:line="500" w:lineRule="exact"/>
      <w:outlineLvl w:val="0"/>
    </w:pPr>
    <w:rPr>
      <w:rFonts w:ascii="华文彩云" w:hAnsi="宋体" w:eastAsia="华文彩云"/>
      <w:bCs/>
      <w:color w:val="000000"/>
      <w:sz w:val="28"/>
    </w:rPr>
  </w:style>
  <w:style w:type="character" w:customStyle="1" w:styleId="45">
    <w:name w:val="页眉 字符"/>
    <w:basedOn w:val="27"/>
    <w:link w:val="19"/>
    <w:qFormat/>
    <w:uiPriority w:val="99"/>
    <w:rPr>
      <w:sz w:val="18"/>
      <w:szCs w:val="18"/>
    </w:rPr>
  </w:style>
  <w:style w:type="character" w:customStyle="1" w:styleId="46">
    <w:name w:val="页脚 字符"/>
    <w:basedOn w:val="27"/>
    <w:link w:val="18"/>
    <w:qFormat/>
    <w:uiPriority w:val="99"/>
    <w:rPr>
      <w:sz w:val="18"/>
      <w:szCs w:val="18"/>
    </w:rPr>
  </w:style>
  <w:style w:type="character" w:customStyle="1" w:styleId="47">
    <w:name w:val="标题 1 字符"/>
    <w:basedOn w:val="27"/>
    <w:link w:val="2"/>
    <w:qFormat/>
    <w:uiPriority w:val="0"/>
    <w:rPr>
      <w:rFonts w:ascii="Times New Roman" w:hAnsi="Times New Roman" w:eastAsia="宋体" w:cs="Times New Roman"/>
      <w:b/>
      <w:bCs/>
      <w:kern w:val="44"/>
      <w:sz w:val="44"/>
      <w:szCs w:val="44"/>
    </w:rPr>
  </w:style>
  <w:style w:type="character" w:customStyle="1" w:styleId="48">
    <w:name w:val="标题 2 字符"/>
    <w:basedOn w:val="27"/>
    <w:link w:val="3"/>
    <w:qFormat/>
    <w:uiPriority w:val="0"/>
    <w:rPr>
      <w:rFonts w:ascii="Cambria" w:hAnsi="Cambria" w:eastAsia="宋体" w:cs="Times New Roman"/>
      <w:b/>
      <w:bCs/>
      <w:kern w:val="0"/>
      <w:sz w:val="32"/>
      <w:szCs w:val="32"/>
    </w:rPr>
  </w:style>
  <w:style w:type="character" w:customStyle="1" w:styleId="49">
    <w:name w:val="标题 3 字符"/>
    <w:basedOn w:val="27"/>
    <w:link w:val="4"/>
    <w:qFormat/>
    <w:uiPriority w:val="0"/>
    <w:rPr>
      <w:rFonts w:ascii="Times New Roman" w:hAnsi="Times New Roman" w:eastAsia="宋体" w:cs="Times New Roman"/>
      <w:b/>
      <w:bCs/>
      <w:kern w:val="0"/>
      <w:sz w:val="32"/>
      <w:szCs w:val="32"/>
    </w:rPr>
  </w:style>
  <w:style w:type="character" w:customStyle="1" w:styleId="50">
    <w:name w:val="标题 4 字符"/>
    <w:basedOn w:val="27"/>
    <w:link w:val="5"/>
    <w:qFormat/>
    <w:uiPriority w:val="0"/>
    <w:rPr>
      <w:rFonts w:ascii="Cambria" w:hAnsi="Cambria" w:eastAsia="宋体" w:cs="Times New Roman"/>
      <w:b/>
      <w:bCs/>
      <w:kern w:val="0"/>
      <w:sz w:val="28"/>
      <w:szCs w:val="28"/>
    </w:rPr>
  </w:style>
  <w:style w:type="character" w:customStyle="1" w:styleId="51">
    <w:name w:val="标题 5 字符"/>
    <w:basedOn w:val="27"/>
    <w:link w:val="6"/>
    <w:qFormat/>
    <w:uiPriority w:val="0"/>
    <w:rPr>
      <w:rFonts w:ascii="Times New Roman" w:hAnsi="Times New Roman" w:eastAsia="宋体" w:cs="Times New Roman"/>
      <w:b/>
      <w:bCs/>
      <w:kern w:val="0"/>
      <w:sz w:val="28"/>
      <w:szCs w:val="28"/>
    </w:rPr>
  </w:style>
  <w:style w:type="character" w:customStyle="1" w:styleId="52">
    <w:name w:val="标题 6 字符"/>
    <w:basedOn w:val="27"/>
    <w:link w:val="7"/>
    <w:qFormat/>
    <w:uiPriority w:val="0"/>
    <w:rPr>
      <w:rFonts w:ascii="Cambria" w:hAnsi="Cambria" w:eastAsia="宋体" w:cs="Times New Roman"/>
      <w:b/>
      <w:bCs/>
      <w:kern w:val="0"/>
      <w:sz w:val="24"/>
      <w:szCs w:val="24"/>
    </w:rPr>
  </w:style>
  <w:style w:type="character" w:customStyle="1" w:styleId="53">
    <w:name w:val="标题 7 字符"/>
    <w:basedOn w:val="27"/>
    <w:link w:val="8"/>
    <w:qFormat/>
    <w:uiPriority w:val="0"/>
    <w:rPr>
      <w:rFonts w:ascii="Times New Roman" w:hAnsi="Times New Roman" w:eastAsia="宋体" w:cs="Times New Roman"/>
      <w:b/>
      <w:bCs/>
      <w:sz w:val="24"/>
      <w:szCs w:val="24"/>
    </w:rPr>
  </w:style>
  <w:style w:type="character" w:customStyle="1" w:styleId="54">
    <w:name w:val="标题 8 字符"/>
    <w:basedOn w:val="27"/>
    <w:link w:val="9"/>
    <w:qFormat/>
    <w:uiPriority w:val="0"/>
    <w:rPr>
      <w:rFonts w:ascii="Times New Roman" w:hAnsi="Times New Roman" w:eastAsia="宋体" w:cs="Times New Roman"/>
      <w:b/>
      <w:sz w:val="24"/>
      <w:szCs w:val="24"/>
    </w:rPr>
  </w:style>
  <w:style w:type="character" w:customStyle="1" w:styleId="55">
    <w:name w:val="正文缩进 字符"/>
    <w:link w:val="10"/>
    <w:qFormat/>
    <w:locked/>
    <w:uiPriority w:val="0"/>
    <w:rPr>
      <w:rFonts w:ascii="Times New Roman" w:hAnsi="Times New Roman" w:eastAsia="宋体" w:cs="Times New Roman"/>
      <w:kern w:val="0"/>
      <w:sz w:val="20"/>
      <w:szCs w:val="24"/>
    </w:rPr>
  </w:style>
  <w:style w:type="character" w:customStyle="1" w:styleId="56">
    <w:name w:val="批注文字 字符"/>
    <w:basedOn w:val="27"/>
    <w:link w:val="11"/>
    <w:qFormat/>
    <w:uiPriority w:val="99"/>
    <w:rPr>
      <w:rFonts w:ascii="Times New Roman" w:hAnsi="Times New Roman" w:eastAsia="宋体" w:cs="Times New Roman"/>
      <w:szCs w:val="24"/>
    </w:rPr>
  </w:style>
  <w:style w:type="character" w:customStyle="1" w:styleId="57">
    <w:name w:val="正文文本 字符"/>
    <w:basedOn w:val="27"/>
    <w:link w:val="12"/>
    <w:qFormat/>
    <w:uiPriority w:val="1"/>
    <w:rPr>
      <w:rFonts w:ascii="华文彩云" w:hAnsi="宋体" w:eastAsia="华文彩云" w:cs="Times New Roman"/>
      <w:bCs/>
      <w:color w:val="000000"/>
      <w:sz w:val="28"/>
      <w:szCs w:val="24"/>
    </w:rPr>
  </w:style>
  <w:style w:type="character" w:customStyle="1" w:styleId="58">
    <w:name w:val="正文文本缩进 字符"/>
    <w:basedOn w:val="27"/>
    <w:link w:val="13"/>
    <w:qFormat/>
    <w:uiPriority w:val="0"/>
    <w:rPr>
      <w:rFonts w:ascii="Times New Roman" w:hAnsi="Times New Roman" w:eastAsia="宋体" w:cs="Times New Roman"/>
      <w:kern w:val="0"/>
      <w:sz w:val="20"/>
      <w:szCs w:val="24"/>
    </w:rPr>
  </w:style>
  <w:style w:type="character" w:customStyle="1" w:styleId="59">
    <w:name w:val="纯文本 字符"/>
    <w:basedOn w:val="27"/>
    <w:link w:val="15"/>
    <w:qFormat/>
    <w:uiPriority w:val="0"/>
    <w:rPr>
      <w:rFonts w:ascii="宋体" w:hAnsi="Courier New" w:eastAsia="宋体" w:cs="Times New Roman"/>
      <w:szCs w:val="20"/>
    </w:rPr>
  </w:style>
  <w:style w:type="character" w:customStyle="1" w:styleId="60">
    <w:name w:val="日期 字符"/>
    <w:basedOn w:val="27"/>
    <w:link w:val="16"/>
    <w:qFormat/>
    <w:uiPriority w:val="0"/>
    <w:rPr>
      <w:rFonts w:ascii="仿宋_GB2312" w:hAnsi="Courier New" w:eastAsia="仿宋_GB2312" w:cs="Times New Roman"/>
      <w:sz w:val="28"/>
      <w:szCs w:val="20"/>
    </w:rPr>
  </w:style>
  <w:style w:type="character" w:customStyle="1" w:styleId="61">
    <w:name w:val="批注框文本 字符"/>
    <w:basedOn w:val="27"/>
    <w:link w:val="17"/>
    <w:qFormat/>
    <w:uiPriority w:val="99"/>
    <w:rPr>
      <w:rFonts w:ascii="Times New Roman" w:hAnsi="Times New Roman" w:eastAsia="宋体" w:cs="Times New Roman"/>
      <w:kern w:val="0"/>
      <w:sz w:val="18"/>
      <w:szCs w:val="18"/>
    </w:rPr>
  </w:style>
  <w:style w:type="character" w:customStyle="1" w:styleId="62">
    <w:name w:val="正文文本缩进 3 字符"/>
    <w:basedOn w:val="27"/>
    <w:link w:val="20"/>
    <w:qFormat/>
    <w:uiPriority w:val="0"/>
    <w:rPr>
      <w:rFonts w:ascii="Times New Roman" w:hAnsi="Times New Roman" w:eastAsia="宋体" w:cs="Times New Roman"/>
      <w:kern w:val="0"/>
      <w:sz w:val="16"/>
      <w:szCs w:val="16"/>
    </w:rPr>
  </w:style>
  <w:style w:type="character" w:customStyle="1" w:styleId="63">
    <w:name w:val="批注主题 字符"/>
    <w:basedOn w:val="56"/>
    <w:link w:val="22"/>
    <w:qFormat/>
    <w:uiPriority w:val="0"/>
    <w:rPr>
      <w:rFonts w:ascii="Times New Roman" w:hAnsi="Times New Roman" w:eastAsia="宋体" w:cs="Times New Roman"/>
      <w:b/>
      <w:bCs/>
      <w:szCs w:val="24"/>
    </w:rPr>
  </w:style>
  <w:style w:type="character" w:customStyle="1" w:styleId="64">
    <w:name w:val="正文文本首行缩进 字符"/>
    <w:basedOn w:val="57"/>
    <w:link w:val="23"/>
    <w:qFormat/>
    <w:uiPriority w:val="0"/>
    <w:rPr>
      <w:rFonts w:ascii="华文彩云" w:hAnsi="宋体" w:eastAsia="华文彩云" w:cs="Times New Roman"/>
      <w:color w:val="000000"/>
      <w:sz w:val="28"/>
      <w:szCs w:val="24"/>
    </w:rPr>
  </w:style>
  <w:style w:type="character" w:customStyle="1" w:styleId="65">
    <w:name w:val="正文文本首行缩进 2 字符"/>
    <w:basedOn w:val="58"/>
    <w:link w:val="24"/>
    <w:qFormat/>
    <w:uiPriority w:val="99"/>
    <w:rPr>
      <w:rFonts w:ascii="Times New Roman" w:hAnsi="Times New Roman" w:eastAsia="宋体" w:cs="Times New Roman"/>
      <w:kern w:val="0"/>
      <w:sz w:val="20"/>
      <w:szCs w:val="24"/>
    </w:rPr>
  </w:style>
  <w:style w:type="character" w:customStyle="1" w:styleId="66">
    <w:name w:val="apple-converted-space"/>
    <w:qFormat/>
    <w:uiPriority w:val="0"/>
  </w:style>
  <w:style w:type="character" w:customStyle="1" w:styleId="67">
    <w:name w:val="列出段落 Char"/>
    <w:link w:val="68"/>
    <w:qFormat/>
    <w:locked/>
    <w:uiPriority w:val="34"/>
    <w:rPr>
      <w:rFonts w:ascii="Calibri" w:hAnsi="Calibri" w:eastAsia="宋体" w:cs="黑体"/>
    </w:rPr>
  </w:style>
  <w:style w:type="paragraph" w:customStyle="1" w:styleId="68">
    <w:name w:val="List Paragraph1"/>
    <w:basedOn w:val="1"/>
    <w:link w:val="67"/>
    <w:qFormat/>
    <w:uiPriority w:val="34"/>
    <w:pPr>
      <w:ind w:firstLine="420" w:firstLineChars="200"/>
    </w:pPr>
    <w:rPr>
      <w:rFonts w:ascii="Calibri" w:hAnsi="Calibri" w:eastAsia="宋体" w:cs="黑体"/>
    </w:rPr>
  </w:style>
  <w:style w:type="character" w:customStyle="1" w:styleId="69">
    <w:name w:val="样式2 Char Char"/>
    <w:link w:val="70"/>
    <w:qFormat/>
    <w:uiPriority w:val="0"/>
    <w:rPr>
      <w:b/>
      <w:bCs/>
      <w:kern w:val="44"/>
      <w:sz w:val="28"/>
      <w:szCs w:val="44"/>
    </w:rPr>
  </w:style>
  <w:style w:type="paragraph" w:customStyle="1" w:styleId="70">
    <w:name w:val="样式2"/>
    <w:basedOn w:val="2"/>
    <w:link w:val="69"/>
    <w:qFormat/>
    <w:uiPriority w:val="0"/>
    <w:pPr>
      <w:adjustRightInd w:val="0"/>
      <w:snapToGrid w:val="0"/>
      <w:spacing w:line="360" w:lineRule="auto"/>
    </w:pPr>
    <w:rPr>
      <w:rFonts w:asciiTheme="minorHAnsi" w:hAnsiTheme="minorHAnsi" w:eastAsiaTheme="minorEastAsia" w:cstheme="minorBidi"/>
      <w:sz w:val="28"/>
    </w:rPr>
  </w:style>
  <w:style w:type="character" w:customStyle="1" w:styleId="71">
    <w:name w:val="font101"/>
    <w:qFormat/>
    <w:uiPriority w:val="0"/>
    <w:rPr>
      <w:rFonts w:hint="eastAsia" w:ascii="宋体" w:hAnsi="宋体" w:eastAsia="宋体" w:cs="宋体"/>
      <w:color w:val="000000"/>
      <w:sz w:val="20"/>
      <w:szCs w:val="20"/>
      <w:u w:val="none"/>
    </w:rPr>
  </w:style>
  <w:style w:type="character" w:customStyle="1" w:styleId="72">
    <w:name w:val="fouce"/>
    <w:qFormat/>
    <w:uiPriority w:val="0"/>
    <w:rPr>
      <w:rFonts w:ascii="微软雅黑" w:hAnsi="微软雅黑" w:eastAsia="微软雅黑" w:cs="微软雅黑"/>
      <w:color w:val="FFFFFF"/>
      <w:sz w:val="27"/>
      <w:szCs w:val="27"/>
      <w:shd w:val="clear" w:color="auto" w:fill="1067B7"/>
    </w:rPr>
  </w:style>
  <w:style w:type="character" w:customStyle="1" w:styleId="73">
    <w:name w:val="font122"/>
    <w:qFormat/>
    <w:uiPriority w:val="0"/>
    <w:rPr>
      <w:rFonts w:hint="eastAsia" w:ascii="宋体" w:hAnsi="宋体" w:eastAsia="宋体" w:cs="宋体"/>
      <w:b/>
      <w:bCs/>
      <w:strike/>
      <w:color w:val="000000"/>
      <w:sz w:val="20"/>
      <w:szCs w:val="20"/>
    </w:rPr>
  </w:style>
  <w:style w:type="character" w:customStyle="1" w:styleId="74">
    <w:name w:val="active15"/>
    <w:qFormat/>
    <w:uiPriority w:val="0"/>
    <w:rPr>
      <w:color w:val="FFFFFF"/>
      <w:bdr w:val="single" w:color="0F5BB9" w:sz="6" w:space="0"/>
      <w:shd w:val="clear" w:color="auto" w:fill="0F5BB9"/>
    </w:rPr>
  </w:style>
  <w:style w:type="character" w:customStyle="1" w:styleId="75">
    <w:name w:val="font01"/>
    <w:qFormat/>
    <w:uiPriority w:val="0"/>
    <w:rPr>
      <w:rFonts w:hint="eastAsia" w:ascii="宋体" w:hAnsi="宋体" w:eastAsia="宋体" w:cs="宋体"/>
      <w:color w:val="FF0000"/>
      <w:sz w:val="20"/>
      <w:szCs w:val="20"/>
      <w:u w:val="none"/>
    </w:rPr>
  </w:style>
  <w:style w:type="character" w:customStyle="1" w:styleId="76">
    <w:name w:val="font91"/>
    <w:qFormat/>
    <w:uiPriority w:val="0"/>
    <w:rPr>
      <w:rFonts w:hint="eastAsia" w:ascii="宋体" w:hAnsi="宋体" w:eastAsia="宋体" w:cs="宋体"/>
      <w:color w:val="000000"/>
      <w:sz w:val="20"/>
      <w:szCs w:val="20"/>
      <w:u w:val="none"/>
    </w:rPr>
  </w:style>
  <w:style w:type="character" w:customStyle="1" w:styleId="77">
    <w:name w:val="无间隔 字符"/>
    <w:link w:val="78"/>
    <w:qFormat/>
    <w:uiPriority w:val="1"/>
    <w:rPr>
      <w:rFonts w:ascii="Calibri" w:hAnsi="Calibri" w:eastAsia="仿宋_GB2312"/>
      <w:sz w:val="28"/>
    </w:rPr>
  </w:style>
  <w:style w:type="paragraph" w:styleId="78">
    <w:name w:val="No Spacing"/>
    <w:link w:val="77"/>
    <w:qFormat/>
    <w:uiPriority w:val="1"/>
    <w:pPr>
      <w:widowControl w:val="0"/>
      <w:ind w:firstLine="200" w:firstLineChars="200"/>
      <w:contextualSpacing/>
      <w:jc w:val="both"/>
    </w:pPr>
    <w:rPr>
      <w:rFonts w:ascii="Calibri" w:hAnsi="Calibri" w:eastAsia="仿宋_GB2312" w:cstheme="minorBidi"/>
      <w:kern w:val="2"/>
      <w:sz w:val="28"/>
      <w:szCs w:val="22"/>
      <w:lang w:val="en-US" w:eastAsia="zh-CN" w:bidi="ar-SA"/>
    </w:rPr>
  </w:style>
  <w:style w:type="character" w:customStyle="1" w:styleId="79">
    <w:name w:val="font81"/>
    <w:qFormat/>
    <w:uiPriority w:val="0"/>
    <w:rPr>
      <w:rFonts w:hint="eastAsia" w:ascii="宋体" w:hAnsi="宋体" w:eastAsia="宋体" w:cs="宋体"/>
      <w:color w:val="000000"/>
      <w:sz w:val="20"/>
      <w:szCs w:val="20"/>
      <w:u w:val="none"/>
    </w:rPr>
  </w:style>
  <w:style w:type="character" w:customStyle="1" w:styleId="80">
    <w:name w:val="标题 1 Char Char"/>
    <w:qFormat/>
    <w:uiPriority w:val="0"/>
    <w:rPr>
      <w:rFonts w:hint="eastAsia" w:ascii="宋体" w:hAnsi="宋体" w:eastAsia="宋体"/>
      <w:b/>
      <w:spacing w:val="-2"/>
      <w:sz w:val="24"/>
      <w:lang w:val="en-US" w:eastAsia="zh-CN"/>
    </w:rPr>
  </w:style>
  <w:style w:type="character" w:customStyle="1" w:styleId="81">
    <w:name w:val="fontstyle01"/>
    <w:qFormat/>
    <w:uiPriority w:val="0"/>
    <w:rPr>
      <w:rFonts w:hint="eastAsia" w:ascii="宋体" w:hAnsi="宋体" w:eastAsia="宋体"/>
      <w:color w:val="000000"/>
      <w:sz w:val="22"/>
      <w:szCs w:val="22"/>
    </w:rPr>
  </w:style>
  <w:style w:type="character" w:customStyle="1" w:styleId="82">
    <w:name w:val="纯文本 Char Char Char Char"/>
    <w:qFormat/>
    <w:uiPriority w:val="0"/>
    <w:rPr>
      <w:rFonts w:ascii="宋体" w:hAnsi="Courier New"/>
      <w:kern w:val="2"/>
      <w:sz w:val="21"/>
    </w:rPr>
  </w:style>
  <w:style w:type="character" w:customStyle="1" w:styleId="83">
    <w:name w:val="段落正文 字符"/>
    <w:link w:val="84"/>
    <w:qFormat/>
    <w:uiPriority w:val="0"/>
    <w:rPr>
      <w:sz w:val="24"/>
      <w:szCs w:val="21"/>
    </w:rPr>
  </w:style>
  <w:style w:type="paragraph" w:customStyle="1" w:styleId="84">
    <w:name w:val="段落正文"/>
    <w:basedOn w:val="1"/>
    <w:link w:val="83"/>
    <w:qFormat/>
    <w:uiPriority w:val="0"/>
    <w:pPr>
      <w:spacing w:line="360" w:lineRule="auto"/>
      <w:ind w:firstLine="200" w:firstLineChars="200"/>
    </w:pPr>
    <w:rPr>
      <w:sz w:val="24"/>
      <w:szCs w:val="21"/>
    </w:rPr>
  </w:style>
  <w:style w:type="character" w:customStyle="1" w:styleId="85">
    <w:name w:val="纯文本 Char1"/>
    <w:semiHidden/>
    <w:qFormat/>
    <w:uiPriority w:val="0"/>
    <w:rPr>
      <w:rFonts w:ascii="宋体" w:hAnsi="Courier New" w:cs="Courier New"/>
      <w:kern w:val="2"/>
      <w:sz w:val="21"/>
      <w:szCs w:val="21"/>
    </w:rPr>
  </w:style>
  <w:style w:type="character" w:customStyle="1" w:styleId="86">
    <w:name w:val="font111"/>
    <w:qFormat/>
    <w:uiPriority w:val="0"/>
    <w:rPr>
      <w:rFonts w:hint="eastAsia" w:ascii="宋体" w:hAnsi="宋体" w:eastAsia="宋体" w:cs="宋体"/>
      <w:b/>
      <w:bCs/>
      <w:color w:val="000000"/>
      <w:sz w:val="20"/>
      <w:szCs w:val="20"/>
      <w:u w:val="none"/>
    </w:rPr>
  </w:style>
  <w:style w:type="character" w:customStyle="1" w:styleId="87">
    <w:name w:val="正文缩进2格 Char Char"/>
    <w:link w:val="88"/>
    <w:qFormat/>
    <w:locked/>
    <w:uiPriority w:val="0"/>
    <w:rPr>
      <w:rFonts w:ascii="仿宋_GB2312" w:hAnsi="宋体" w:eastAsia="仿宋_GB2312"/>
      <w:sz w:val="31"/>
      <w:szCs w:val="28"/>
    </w:rPr>
  </w:style>
  <w:style w:type="paragraph" w:customStyle="1" w:styleId="88">
    <w:name w:val="正文缩进2格"/>
    <w:basedOn w:val="1"/>
    <w:link w:val="87"/>
    <w:qFormat/>
    <w:uiPriority w:val="0"/>
    <w:pPr>
      <w:spacing w:line="600" w:lineRule="exact"/>
      <w:ind w:firstLine="639" w:firstLineChars="206"/>
    </w:pPr>
    <w:rPr>
      <w:rFonts w:ascii="仿宋_GB2312" w:hAnsi="宋体" w:eastAsia="仿宋_GB2312"/>
      <w:sz w:val="31"/>
      <w:szCs w:val="28"/>
    </w:rPr>
  </w:style>
  <w:style w:type="character" w:customStyle="1" w:styleId="89">
    <w:name w:val="fontstyle21"/>
    <w:qFormat/>
    <w:uiPriority w:val="0"/>
    <w:rPr>
      <w:rFonts w:hint="default" w:ascii="Calibri" w:hAnsi="Calibri" w:cs="Calibri"/>
      <w:color w:val="000000"/>
      <w:sz w:val="22"/>
      <w:szCs w:val="22"/>
    </w:rPr>
  </w:style>
  <w:style w:type="character" w:customStyle="1" w:styleId="90">
    <w:name w:val="param-name"/>
    <w:qFormat/>
    <w:uiPriority w:val="0"/>
  </w:style>
  <w:style w:type="paragraph" w:customStyle="1" w:styleId="91">
    <w:name w:val="Default"/>
    <w:qFormat/>
    <w:uiPriority w:val="0"/>
    <w:pPr>
      <w:autoSpaceDE w:val="0"/>
      <w:autoSpaceDN w:val="0"/>
    </w:pPr>
    <w:rPr>
      <w:rFonts w:ascii="Arial,Bold" w:hAnsi="Arial,Bold" w:eastAsia="PMingLiU" w:cs="Times New Roman"/>
      <w:lang w:val="en-US" w:eastAsia="en-US" w:bidi="ar-SA"/>
    </w:rPr>
  </w:style>
  <w:style w:type="paragraph" w:customStyle="1" w:styleId="92">
    <w:name w:val="p0"/>
    <w:basedOn w:val="1"/>
    <w:qFormat/>
    <w:uiPriority w:val="0"/>
    <w:pPr>
      <w:widowControl/>
    </w:pPr>
    <w:rPr>
      <w:rFonts w:ascii="Times New Roman" w:hAnsi="Times New Roman" w:eastAsia="宋体" w:cs="Times New Roman"/>
      <w:kern w:val="0"/>
      <w:szCs w:val="21"/>
    </w:rPr>
  </w:style>
  <w:style w:type="paragraph" w:customStyle="1" w:styleId="93">
    <w:name w:val="正文1"/>
    <w:basedOn w:val="1"/>
    <w:qFormat/>
    <w:uiPriority w:val="0"/>
    <w:pPr>
      <w:spacing w:line="300" w:lineRule="auto"/>
      <w:contextualSpacing/>
    </w:pPr>
    <w:rPr>
      <w:rFonts w:ascii="Arial" w:hAnsi="Arial" w:eastAsia="宋体" w:cs="Arial"/>
      <w:sz w:val="24"/>
      <w:szCs w:val="24"/>
    </w:rPr>
  </w:style>
  <w:style w:type="paragraph" w:customStyle="1" w:styleId="94">
    <w:name w:val="GP正文(首行缩进)"/>
    <w:basedOn w:val="1"/>
    <w:qFormat/>
    <w:uiPriority w:val="0"/>
    <w:pPr>
      <w:spacing w:line="360" w:lineRule="auto"/>
      <w:ind w:firstLine="480" w:firstLineChars="200"/>
      <w:jc w:val="left"/>
    </w:pPr>
    <w:rPr>
      <w:rFonts w:ascii="Times New Roman" w:hAnsi="宋体" w:eastAsia="宋体" w:cs="Times New Roman"/>
      <w:sz w:val="24"/>
      <w:szCs w:val="24"/>
    </w:rPr>
  </w:style>
  <w:style w:type="paragraph" w:styleId="95">
    <w:name w:val="List Paragraph"/>
    <w:basedOn w:val="1"/>
    <w:qFormat/>
    <w:uiPriority w:val="34"/>
    <w:pPr>
      <w:widowControl/>
      <w:autoSpaceDE w:val="0"/>
      <w:autoSpaceDN w:val="0"/>
      <w:adjustRightInd w:val="0"/>
      <w:snapToGrid w:val="0"/>
      <w:spacing w:afterLines="50"/>
      <w:ind w:firstLine="420" w:firstLineChars="200"/>
      <w:jc w:val="left"/>
    </w:pPr>
    <w:rPr>
      <w:rFonts w:ascii="宋体" w:hAnsi="宋体" w:eastAsia="宋体" w:cs="Times New Roman"/>
      <w:sz w:val="24"/>
      <w:szCs w:val="24"/>
    </w:rPr>
  </w:style>
  <w:style w:type="paragraph" w:customStyle="1" w:styleId="96">
    <w:name w:val="HU正文"/>
    <w:basedOn w:val="1"/>
    <w:qFormat/>
    <w:uiPriority w:val="0"/>
    <w:pPr>
      <w:adjustRightInd w:val="0"/>
      <w:spacing w:line="312" w:lineRule="auto"/>
      <w:ind w:left="420" w:firstLine="420" w:firstLineChars="200"/>
      <w:textAlignment w:val="baseline"/>
    </w:pPr>
    <w:rPr>
      <w:rFonts w:ascii="Times New Roman" w:hAnsi="Times New Roman" w:eastAsia="宋体" w:cs="Times New Roman"/>
      <w:szCs w:val="21"/>
    </w:rPr>
  </w:style>
  <w:style w:type="paragraph" w:customStyle="1" w:styleId="97">
    <w:name w:val="样式 标题 2 + 黑色 行距: 1.5 倍行距"/>
    <w:basedOn w:val="3"/>
    <w:qFormat/>
    <w:uiPriority w:val="99"/>
    <w:pPr>
      <w:spacing w:line="360" w:lineRule="auto"/>
      <w:ind w:firstLine="3502" w:firstLineChars="1246"/>
    </w:pPr>
    <w:rPr>
      <w:rFonts w:ascii="楷体_GB2312" w:hAnsi="宋体" w:eastAsia="楷体_GB2312" w:cs="仿宋_GB2312"/>
      <w:sz w:val="28"/>
      <w:szCs w:val="28"/>
    </w:rPr>
  </w:style>
  <w:style w:type="paragraph" w:customStyle="1" w:styleId="98">
    <w:name w:val="列出段落2"/>
    <w:basedOn w:val="1"/>
    <w:qFormat/>
    <w:uiPriority w:val="0"/>
    <w:pPr>
      <w:ind w:firstLine="420" w:firstLineChars="200"/>
    </w:pPr>
    <w:rPr>
      <w:rFonts w:ascii="Times New Roman" w:hAnsi="Times New Roman" w:eastAsia="宋体" w:cs="Times New Roman"/>
      <w:szCs w:val="20"/>
    </w:rPr>
  </w:style>
  <w:style w:type="paragraph" w:customStyle="1" w:styleId="99">
    <w:name w:val="_Style 91"/>
    <w:unhideWhenUsed/>
    <w:qFormat/>
    <w:uiPriority w:val="99"/>
    <w:rPr>
      <w:rFonts w:ascii="Times New Roman" w:hAnsi="Times New Roman" w:eastAsia="宋体" w:cs="Times New Roman"/>
      <w:kern w:val="2"/>
      <w:sz w:val="21"/>
      <w:szCs w:val="24"/>
      <w:lang w:val="en-US" w:eastAsia="zh-CN" w:bidi="ar-SA"/>
    </w:rPr>
  </w:style>
  <w:style w:type="paragraph" w:customStyle="1" w:styleId="100">
    <w:name w:val="从CC出差"/>
    <w:basedOn w:val="70"/>
    <w:qFormat/>
    <w:uiPriority w:val="0"/>
    <w:pPr>
      <w:keepNext w:val="0"/>
      <w:keepLines w:val="0"/>
      <w:adjustRightInd/>
      <w:snapToGrid/>
      <w:spacing w:line="240" w:lineRule="auto"/>
      <w:outlineLvl w:val="9"/>
    </w:pPr>
    <w:rPr>
      <w:rFonts w:ascii="宋体" w:hAnsi="宋体"/>
      <w:bCs w:val="0"/>
      <w:kern w:val="2"/>
      <w:sz w:val="24"/>
      <w:szCs w:val="24"/>
    </w:rPr>
  </w:style>
  <w:style w:type="paragraph" w:customStyle="1" w:styleId="101">
    <w:name w:val="Style Normal Indent表正文正文非缩进特点ALT+Z标题4段1正文（首行缩进两字） Char正文（首行...1"/>
    <w:basedOn w:val="10"/>
    <w:qFormat/>
    <w:uiPriority w:val="0"/>
    <w:pPr>
      <w:spacing w:line="360" w:lineRule="auto"/>
      <w:ind w:firstLine="590" w:firstLineChars="246"/>
    </w:pPr>
    <w:rPr>
      <w:sz w:val="24"/>
    </w:rPr>
  </w:style>
  <w:style w:type="paragraph" w:customStyle="1" w:styleId="102">
    <w:name w:val="表内容"/>
    <w:basedOn w:val="1"/>
    <w:qFormat/>
    <w:uiPriority w:val="0"/>
    <w:pPr>
      <w:widowControl/>
      <w:autoSpaceDE w:val="0"/>
      <w:autoSpaceDN w:val="0"/>
      <w:adjustRightInd w:val="0"/>
      <w:snapToGrid w:val="0"/>
      <w:spacing w:afterLines="50" w:line="288" w:lineRule="auto"/>
      <w:jc w:val="center"/>
    </w:pPr>
    <w:rPr>
      <w:rFonts w:ascii="宋体" w:hAnsi="宋体" w:eastAsia="宋体" w:cs="Times New Roman"/>
      <w:sz w:val="18"/>
    </w:rPr>
  </w:style>
  <w:style w:type="paragraph" w:customStyle="1" w:styleId="103">
    <w:name w:val="No Spacing1"/>
    <w:qFormat/>
    <w:uiPriority w:val="1"/>
    <w:pPr>
      <w:widowControl w:val="0"/>
      <w:jc w:val="both"/>
    </w:pPr>
    <w:rPr>
      <w:rFonts w:ascii="Times New Roman" w:hAnsi="Times New Roman" w:eastAsia="宋体" w:cs="Times New Roman"/>
      <w:kern w:val="2"/>
      <w:sz w:val="21"/>
      <w:szCs w:val="24"/>
      <w:lang w:val="en-US" w:eastAsia="zh-CN" w:bidi="ar-SA"/>
    </w:rPr>
  </w:style>
  <w:style w:type="paragraph" w:customStyle="1" w:styleId="104">
    <w:name w:val="Table Paragraph"/>
    <w:basedOn w:val="1"/>
    <w:qFormat/>
    <w:uiPriority w:val="1"/>
    <w:pPr>
      <w:autoSpaceDE w:val="0"/>
      <w:autoSpaceDN w:val="0"/>
      <w:jc w:val="left"/>
    </w:pPr>
    <w:rPr>
      <w:rFonts w:ascii="宋体" w:hAnsi="宋体" w:eastAsia="宋体" w:cs="宋体"/>
      <w:kern w:val="0"/>
      <w:sz w:val="22"/>
      <w:lang w:val="zh-CN" w:bidi="zh-CN"/>
    </w:rPr>
  </w:style>
  <w:style w:type="paragraph" w:customStyle="1" w:styleId="105">
    <w:name w:val="纯文本2"/>
    <w:basedOn w:val="1"/>
    <w:qFormat/>
    <w:uiPriority w:val="0"/>
    <w:rPr>
      <w:rFonts w:ascii="宋体" w:hAnsi="Courier New" w:eastAsia="宋体" w:cs="Times New Roman"/>
      <w:sz w:val="28"/>
      <w:szCs w:val="24"/>
    </w:rPr>
  </w:style>
  <w:style w:type="paragraph" w:customStyle="1" w:styleId="106">
    <w:name w:val="表中文字"/>
    <w:basedOn w:val="1"/>
    <w:next w:val="1"/>
    <w:qFormat/>
    <w:uiPriority w:val="0"/>
    <w:pPr>
      <w:widowControl/>
      <w:spacing w:line="320" w:lineRule="exact"/>
      <w:jc w:val="center"/>
    </w:pPr>
    <w:rPr>
      <w:rFonts w:ascii="Times New Roman" w:hAnsi="Times New Roman" w:eastAsia="宋体" w:cs="Times New Roman"/>
      <w:color w:val="000000"/>
      <w:szCs w:val="20"/>
    </w:rPr>
  </w:style>
  <w:style w:type="paragraph" w:customStyle="1" w:styleId="107">
    <w:name w:val="p15"/>
    <w:basedOn w:val="1"/>
    <w:qFormat/>
    <w:uiPriority w:val="0"/>
    <w:pPr>
      <w:widowControl/>
      <w:ind w:firstLine="420"/>
    </w:pPr>
    <w:rPr>
      <w:rFonts w:ascii="Times New Roman" w:hAnsi="Times New Roman" w:eastAsia="宋体" w:cs="Times New Roman"/>
      <w:kern w:val="0"/>
      <w:szCs w:val="20"/>
    </w:rPr>
  </w:style>
  <w:style w:type="table" w:customStyle="1" w:styleId="108">
    <w:name w:val="Table Normal"/>
    <w:unhideWhenUsed/>
    <w:qFormat/>
    <w:uiPriority w:val="0"/>
    <w:rPr>
      <w:rFonts w:ascii="Arial" w:hAnsi="Arial" w:cs="Arial"/>
      <w:snapToGrid w:val="0"/>
      <w:color w:val="000000"/>
      <w:szCs w:val="21"/>
    </w:rPr>
    <w:tblPr>
      <w:tblCellMar>
        <w:top w:w="0" w:type="dxa"/>
        <w:left w:w="0" w:type="dxa"/>
        <w:bottom w:w="0" w:type="dxa"/>
        <w:right w:w="0" w:type="dxa"/>
      </w:tblCellMar>
    </w:tblPr>
  </w:style>
  <w:style w:type="table" w:customStyle="1" w:styleId="109">
    <w:name w:val="网格型1"/>
    <w:basedOn w:val="25"/>
    <w:qFormat/>
    <w:uiPriority w:val="0"/>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
    <w:name w:val="普通(网站)1"/>
    <w:basedOn w:val="1"/>
    <w:unhideWhenUsed/>
    <w:qFormat/>
    <w:uiPriority w:val="0"/>
    <w:pPr>
      <w:widowControl/>
      <w:spacing w:beforeAutospacing="1" w:afterAutospacing="1"/>
      <w:jc w:val="left"/>
    </w:pPr>
    <w:rPr>
      <w:rFonts w:ascii="宋体" w:hAnsi="宋体" w:cs="宋体"/>
      <w:sz w:val="24"/>
    </w:rPr>
  </w:style>
  <w:style w:type="paragraph" w:customStyle="1" w:styleId="111">
    <w:name w:val="标题3"/>
    <w:basedOn w:val="1"/>
    <w:next w:val="112"/>
    <w:qFormat/>
    <w:uiPriority w:val="0"/>
    <w:pPr>
      <w:jc w:val="left"/>
      <w:outlineLvl w:val="2"/>
    </w:pPr>
    <w:rPr>
      <w:rFonts w:eastAsia="楷体_GB2312"/>
      <w:szCs w:val="20"/>
    </w:rPr>
  </w:style>
  <w:style w:type="paragraph" w:customStyle="1" w:styleId="112">
    <w:name w:val="无样式"/>
    <w:basedOn w:val="1"/>
    <w:qFormat/>
    <w:uiPriority w:val="0"/>
    <w:pPr>
      <w:ind w:firstLine="0"/>
    </w:pPr>
    <w:rPr>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6" Type="http://schemas.openxmlformats.org/officeDocument/2006/relationships/fontTable" Target="fontTable.xml"/><Relationship Id="rId55" Type="http://schemas.openxmlformats.org/officeDocument/2006/relationships/numbering" Target="numbering.xml"/><Relationship Id="rId54" Type="http://schemas.openxmlformats.org/officeDocument/2006/relationships/customXml" Target="../customXml/item1.xml"/><Relationship Id="rId53" Type="http://schemas.openxmlformats.org/officeDocument/2006/relationships/image" Target="media/image42.jpeg"/><Relationship Id="rId52" Type="http://schemas.openxmlformats.org/officeDocument/2006/relationships/image" Target="media/image41.jpeg"/><Relationship Id="rId51" Type="http://schemas.openxmlformats.org/officeDocument/2006/relationships/image" Target="media/image40.jpeg"/><Relationship Id="rId50" Type="http://schemas.openxmlformats.org/officeDocument/2006/relationships/image" Target="media/image39.jpeg"/><Relationship Id="rId5" Type="http://schemas.openxmlformats.org/officeDocument/2006/relationships/footer" Target="footer1.xml"/><Relationship Id="rId49" Type="http://schemas.openxmlformats.org/officeDocument/2006/relationships/image" Target="media/image38.jpeg"/><Relationship Id="rId48" Type="http://schemas.openxmlformats.org/officeDocument/2006/relationships/image" Target="media/image37.jpeg"/><Relationship Id="rId47" Type="http://schemas.openxmlformats.org/officeDocument/2006/relationships/image" Target="media/image36.jpeg"/><Relationship Id="rId46" Type="http://schemas.openxmlformats.org/officeDocument/2006/relationships/image" Target="media/image35.jpeg"/><Relationship Id="rId45" Type="http://schemas.openxmlformats.org/officeDocument/2006/relationships/image" Target="media/image34.jpeg"/><Relationship Id="rId44" Type="http://schemas.openxmlformats.org/officeDocument/2006/relationships/image" Target="media/image33.jpeg"/><Relationship Id="rId43" Type="http://schemas.openxmlformats.org/officeDocument/2006/relationships/image" Target="media/image32.jpeg"/><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header" Target="header2.xml"/><Relationship Id="rId39" Type="http://schemas.openxmlformats.org/officeDocument/2006/relationships/image" Target="media/image28.emf"/><Relationship Id="rId38" Type="http://schemas.openxmlformats.org/officeDocument/2006/relationships/image" Target="media/image27.emf"/><Relationship Id="rId37" Type="http://schemas.openxmlformats.org/officeDocument/2006/relationships/image" Target="media/image26.emf"/><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png"/><Relationship Id="rId30" Type="http://schemas.openxmlformats.org/officeDocument/2006/relationships/image" Target="media/image19.jpeg"/><Relationship Id="rId3" Type="http://schemas.openxmlformats.org/officeDocument/2006/relationships/header" Target="header1.xml"/><Relationship Id="rId29" Type="http://schemas.openxmlformats.org/officeDocument/2006/relationships/image" Target="media/image18.jpeg"/><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pn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pn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94</Pages>
  <Words>4927</Words>
  <Characters>5292</Characters>
  <Lines>425</Lines>
  <Paragraphs>119</Paragraphs>
  <TotalTime>25</TotalTime>
  <ScaleCrop>false</ScaleCrop>
  <LinksUpToDate>false</LinksUpToDate>
  <CharactersWithSpaces>5458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2024-09-24T09:06:00Z</dcterms:created>
  <dc:creator>user</dc:creator>
  <cp:lastModifiedBy>云纳</cp:lastModifiedBy>
  <dcterms:modified xsi:type="dcterms:W3CDTF">2025-01-22T02:23:23Z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D9368B86ED2C4C47BFFC8F0C4C0D2188_13</vt:lpwstr>
  </property>
  <property fmtid="{D5CDD505-2E9C-101B-9397-08002B2CF9AE}" pid="4" name="KSOTemplateDocerSaveRecord">
    <vt:lpwstr>eyJoZGlkIjoiM2YzNTRjYTIzOTQ3YzcxOWRhOGFjZTIxNDMwYjZkZTUiLCJ1c2VySWQiOiI1NjA3ODIyNzIifQ==</vt:lpwstr>
  </property>
</Properties>
</file>