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AD9BDA">
      <w:pPr>
        <w:spacing w:line="360" w:lineRule="auto"/>
        <w:ind w:firstLine="0" w:firstLineChars="0"/>
        <w:jc w:val="center"/>
        <w:rPr>
          <w:b/>
          <w:bCs/>
          <w:sz w:val="44"/>
          <w:szCs w:val="44"/>
        </w:rPr>
      </w:pPr>
      <w:r>
        <w:rPr>
          <w:b/>
          <w:bCs/>
          <w:sz w:val="44"/>
          <w:szCs w:val="44"/>
        </w:rPr>
        <w:t>设计总说明</w:t>
      </w:r>
    </w:p>
    <w:p w14:paraId="5E40DB4D">
      <w:pPr>
        <w:pStyle w:val="2"/>
      </w:pPr>
      <w:r>
        <w:t>1.概述</w:t>
      </w:r>
    </w:p>
    <w:p w14:paraId="792A0265">
      <w:pPr>
        <w:widowControl/>
        <w:ind w:firstLine="597"/>
        <w:jc w:val="left"/>
        <w:rPr>
          <w:rFonts w:hint="eastAsia" w:ascii="仿宋" w:hAnsi="仿宋" w:eastAsia="仿宋" w:cs="仿宋"/>
          <w:color w:val="0000FF"/>
          <w:sz w:val="28"/>
          <w:szCs w:val="28"/>
        </w:rPr>
      </w:pPr>
      <w:r>
        <w:rPr>
          <w:rFonts w:hint="eastAsia" w:ascii="仿宋" w:hAnsi="仿宋" w:eastAsia="仿宋" w:cs="仿宋"/>
          <w:color w:val="0000FF"/>
          <w:sz w:val="28"/>
          <w:szCs w:val="28"/>
        </w:rPr>
        <w:t>项目建设地点：建设项目位于如皋市九华镇姜园村。</w:t>
      </w:r>
    </w:p>
    <w:p w14:paraId="5BAACC55">
      <w:pPr>
        <w:ind w:firstLine="597"/>
        <w:rPr>
          <w:rFonts w:hint="eastAsia" w:ascii="仿宋" w:hAnsi="仿宋" w:eastAsia="仿宋" w:cs="仿宋"/>
          <w:color w:val="0000FF"/>
          <w:sz w:val="28"/>
          <w:szCs w:val="28"/>
        </w:rPr>
      </w:pPr>
      <w:r>
        <w:rPr>
          <w:rFonts w:hint="eastAsia" w:ascii="仿宋" w:hAnsi="仿宋" w:eastAsia="仿宋" w:cs="仿宋"/>
          <w:color w:val="0000FF"/>
          <w:sz w:val="28"/>
          <w:szCs w:val="28"/>
        </w:rPr>
        <w:t>项目区主要建设内容有拆建混凝土道路、新建污水管道及配套、新建临水栈道、密排木桩护岸等。</w:t>
      </w:r>
    </w:p>
    <w:p w14:paraId="426DCB98">
      <w:pPr>
        <w:ind w:firstLine="597"/>
        <w:jc w:val="center"/>
        <w:rPr>
          <w:rFonts w:hint="eastAsia" w:ascii="仿宋" w:hAnsi="仿宋" w:eastAsia="仿宋" w:cs="仿宋"/>
          <w:color w:val="0000FF"/>
          <w:sz w:val="28"/>
          <w:szCs w:val="28"/>
        </w:rPr>
      </w:pPr>
      <w:r>
        <w:rPr>
          <w:rFonts w:ascii="仿宋" w:hAnsi="仿宋" w:eastAsia="仿宋" w:cs="仿宋"/>
          <w:color w:val="0000FF"/>
          <w:sz w:val="28"/>
          <w:szCs w:val="28"/>
        </w:rPr>
        <w:t>表1  工程数量表</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2"/>
        <w:gridCol w:w="1254"/>
        <w:gridCol w:w="1441"/>
        <w:gridCol w:w="735"/>
        <w:gridCol w:w="735"/>
        <w:gridCol w:w="994"/>
        <w:gridCol w:w="1379"/>
        <w:gridCol w:w="2542"/>
      </w:tblGrid>
      <w:tr w14:paraId="6AC2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blHeader/>
        </w:trPr>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2F2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序号</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78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项目名称</w:t>
            </w:r>
          </w:p>
        </w:tc>
        <w:tc>
          <w:tcPr>
            <w:tcW w:w="8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6E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规格型号</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C8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单位</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8D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数量</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C31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建设地点（村）</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0F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编号</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06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备注</w:t>
            </w:r>
          </w:p>
        </w:tc>
      </w:tr>
      <w:tr w14:paraId="14D7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B79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FF"/>
                <w:sz w:val="24"/>
                <w:szCs w:val="24"/>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00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FF"/>
                <w:sz w:val="24"/>
                <w:szCs w:val="24"/>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53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FF"/>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70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FF"/>
                <w:sz w:val="24"/>
                <w:szCs w:val="24"/>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26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FF"/>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F8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FF"/>
                <w:sz w:val="24"/>
                <w:szCs w:val="24"/>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F4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FF"/>
                <w:sz w:val="24"/>
                <w:szCs w:val="24"/>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E47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FF"/>
                <w:sz w:val="24"/>
                <w:szCs w:val="24"/>
                <w:u w:val="none"/>
              </w:rPr>
            </w:pPr>
          </w:p>
        </w:tc>
      </w:tr>
      <w:tr w14:paraId="71E0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3E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2F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合计</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EB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BD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C9E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52C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11C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4A6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7049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02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一</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19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管道</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81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99B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B3D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2ED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AB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F5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0C33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87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（一）</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7D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污水处理站</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BCA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AE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座</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AA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1 </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B4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64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5A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5EB3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35B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56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一体化污水处理站</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79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10吨/天</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46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座</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E9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1 </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5C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BB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2024BZ001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60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新建，直接购买成品</w:t>
            </w:r>
          </w:p>
        </w:tc>
      </w:tr>
      <w:tr w14:paraId="3C1C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12D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（二）</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74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污水管道</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73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7B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1E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0.41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1F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F03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46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6018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600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6A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污水管道</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BD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DN300HDPE波纹管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2E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公里</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37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0.41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01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48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2024GD001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8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新建</w:t>
            </w:r>
          </w:p>
        </w:tc>
      </w:tr>
      <w:tr w14:paraId="1A69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5A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A9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出户管</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F2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DN200PVC管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D2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公里</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25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0.40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9E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82B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B4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320A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FD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（三）</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DF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管道配套</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69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489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20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C58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13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6B6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4EFB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D63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7C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污水检查井</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4B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Calibri" w:hAnsi="Calibri" w:eastAsia="宋体" w:cs="Calibri"/>
                <w:i w:val="0"/>
                <w:iCs w:val="0"/>
                <w:color w:val="0000FF"/>
                <w:sz w:val="24"/>
                <w:szCs w:val="24"/>
                <w:u w:val="none"/>
              </w:rPr>
            </w:pPr>
            <w:r>
              <w:rPr>
                <w:rFonts w:hint="default" w:ascii="Calibri" w:hAnsi="Calibri" w:eastAsia="宋体" w:cs="Calibri"/>
                <w:i w:val="0"/>
                <w:iCs w:val="0"/>
                <w:color w:val="0000FF"/>
                <w:kern w:val="0"/>
                <w:sz w:val="24"/>
                <w:szCs w:val="24"/>
                <w:u w:val="none"/>
                <w:lang w:val="en-US" w:eastAsia="zh-CN" w:bidi="ar"/>
              </w:rPr>
              <w:t>φ</w:t>
            </w:r>
            <w:r>
              <w:rPr>
                <w:rFonts w:hint="eastAsia" w:ascii="宋体" w:hAnsi="宋体" w:eastAsia="宋体" w:cs="宋体"/>
                <w:i w:val="0"/>
                <w:iCs w:val="0"/>
                <w:color w:val="0000FF"/>
                <w:kern w:val="0"/>
                <w:sz w:val="24"/>
                <w:szCs w:val="24"/>
                <w:u w:val="none"/>
                <w:lang w:val="en-US" w:eastAsia="zh-CN" w:bidi="ar"/>
              </w:rPr>
              <w:t>1000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06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座</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DF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7B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6D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46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1ECC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B5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（四）</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8E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渠系配套</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BE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11D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7BB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B7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CD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36A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3E3F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CDE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B8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农渠放水口</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D7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eastAsia="宋体" w:cs="Calibri"/>
                <w:i w:val="0"/>
                <w:iCs w:val="0"/>
                <w:color w:val="0000FF"/>
                <w:sz w:val="24"/>
                <w:szCs w:val="24"/>
                <w:u w:val="none"/>
              </w:rPr>
            </w:pPr>
            <w:r>
              <w:rPr>
                <w:rFonts w:hint="default" w:ascii="Calibri" w:hAnsi="Calibri" w:eastAsia="宋体" w:cs="Calibri"/>
                <w:i w:val="0"/>
                <w:iCs w:val="0"/>
                <w:color w:val="0000FF"/>
                <w:kern w:val="0"/>
                <w:sz w:val="24"/>
                <w:szCs w:val="24"/>
                <w:u w:val="none"/>
                <w:lang w:val="en-US" w:eastAsia="zh-CN" w:bidi="ar"/>
              </w:rPr>
              <w:t>D20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05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座</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65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1A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2C3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6663">
            <w:pPr>
              <w:keepNext w:val="0"/>
              <w:keepLines w:val="0"/>
              <w:pageBreakBefore w:val="0"/>
              <w:widowControl/>
              <w:kinsoku/>
              <w:wordWrap/>
              <w:overflowPunct/>
              <w:topLinePunct w:val="0"/>
              <w:autoSpaceDE/>
              <w:autoSpaceDN/>
              <w:bidi w:val="0"/>
              <w:adjustRightInd/>
              <w:snapToGrid/>
              <w:ind w:firstLine="0" w:firstLineChars="0"/>
              <w:jc w:val="center"/>
              <w:rPr>
                <w:rFonts w:hint="default" w:ascii="宋体" w:hAnsi="宋体" w:eastAsia="宋体" w:cs="宋体"/>
                <w:i w:val="0"/>
                <w:iCs w:val="0"/>
                <w:color w:val="0000FF"/>
                <w:sz w:val="24"/>
                <w:szCs w:val="24"/>
                <w:u w:val="none"/>
                <w:lang w:val="en-US" w:eastAsia="zh-CN"/>
              </w:rPr>
            </w:pPr>
            <w:r>
              <w:rPr>
                <w:rFonts w:hint="eastAsia" w:ascii="宋体" w:hAnsi="宋体" w:cs="宋体"/>
                <w:i w:val="0"/>
                <w:iCs w:val="0"/>
                <w:color w:val="0000FF"/>
                <w:sz w:val="24"/>
                <w:szCs w:val="24"/>
                <w:u w:val="none"/>
                <w:lang w:val="en-US" w:eastAsia="zh-CN"/>
              </w:rPr>
              <w:t>含φ20涵管6根</w:t>
            </w:r>
          </w:p>
        </w:tc>
      </w:tr>
      <w:tr w14:paraId="6179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C1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CE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农渠放水口</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EF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eastAsia="宋体" w:cs="Calibri"/>
                <w:i w:val="0"/>
                <w:iCs w:val="0"/>
                <w:color w:val="0000FF"/>
                <w:sz w:val="24"/>
                <w:szCs w:val="24"/>
                <w:u w:val="none"/>
              </w:rPr>
            </w:pPr>
            <w:r>
              <w:rPr>
                <w:rFonts w:hint="default" w:ascii="Calibri" w:hAnsi="Calibri" w:eastAsia="宋体" w:cs="Calibri"/>
                <w:i w:val="0"/>
                <w:iCs w:val="0"/>
                <w:color w:val="0000FF"/>
                <w:kern w:val="0"/>
                <w:sz w:val="24"/>
                <w:szCs w:val="24"/>
                <w:u w:val="none"/>
                <w:lang w:val="en-US" w:eastAsia="zh-CN" w:bidi="ar"/>
              </w:rPr>
              <w:t>D40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86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座</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BD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4C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08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A04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r>
              <w:rPr>
                <w:rFonts w:hint="eastAsia" w:ascii="宋体" w:hAnsi="宋体" w:cs="宋体"/>
                <w:i w:val="0"/>
                <w:iCs w:val="0"/>
                <w:color w:val="0000FF"/>
                <w:sz w:val="24"/>
                <w:szCs w:val="24"/>
                <w:u w:val="none"/>
                <w:lang w:val="en-US" w:eastAsia="zh-CN"/>
              </w:rPr>
              <w:t>含Φ40涵管2根</w:t>
            </w:r>
          </w:p>
        </w:tc>
      </w:tr>
      <w:tr w14:paraId="3593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1D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二</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FA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河道护岸</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08D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DA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公里</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EF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0.74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16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992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FCD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2FE1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20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88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人行栈道</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D0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净宽1.5m</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8B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公里</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2D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0.22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D7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A6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2024HP001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E5A3F">
            <w:pPr>
              <w:keepNext w:val="0"/>
              <w:keepLines w:val="0"/>
              <w:pageBreakBefore w:val="0"/>
              <w:widowControl/>
              <w:kinsoku/>
              <w:wordWrap/>
              <w:overflowPunct/>
              <w:topLinePunct w:val="0"/>
              <w:autoSpaceDE/>
              <w:autoSpaceDN/>
              <w:bidi w:val="0"/>
              <w:adjustRightInd/>
              <w:snapToGrid/>
              <w:ind w:firstLine="0" w:firstLineChars="0"/>
              <w:jc w:val="center"/>
              <w:rPr>
                <w:rFonts w:hint="default" w:ascii="宋体" w:hAnsi="宋体" w:eastAsia="宋体" w:cs="宋体"/>
                <w:i w:val="0"/>
                <w:iCs w:val="0"/>
                <w:color w:val="0000FF"/>
                <w:sz w:val="24"/>
                <w:szCs w:val="24"/>
                <w:u w:val="none"/>
                <w:lang w:val="en-US" w:eastAsia="zh-CN"/>
              </w:rPr>
            </w:pPr>
            <w:r>
              <w:rPr>
                <w:rFonts w:hint="eastAsia" w:ascii="宋体" w:hAnsi="宋体" w:cs="宋体"/>
                <w:i w:val="0"/>
                <w:iCs w:val="0"/>
                <w:color w:val="0000FF"/>
                <w:sz w:val="24"/>
                <w:szCs w:val="24"/>
                <w:u w:val="none"/>
                <w:lang w:val="en-US" w:eastAsia="zh-CN"/>
              </w:rPr>
              <w:t>含岸坡清杂</w:t>
            </w:r>
            <w:bookmarkStart w:id="6" w:name="_GoBack"/>
            <w:bookmarkEnd w:id="6"/>
          </w:p>
        </w:tc>
      </w:tr>
      <w:tr w14:paraId="11B8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12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8A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木桩护岸</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8C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稍径12cm，桩长3.5m</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89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公里</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6E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0.52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B6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1B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2024HP002</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6F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含800立方米土方回填</w:t>
            </w:r>
            <w:r>
              <w:rPr>
                <w:rFonts w:hint="eastAsia" w:ascii="宋体" w:hAnsi="宋体" w:cs="宋体"/>
                <w:i w:val="0"/>
                <w:iCs w:val="0"/>
                <w:color w:val="0000FF"/>
                <w:kern w:val="0"/>
                <w:sz w:val="24"/>
                <w:szCs w:val="24"/>
                <w:u w:val="none"/>
                <w:lang w:val="en-US" w:eastAsia="zh-CN" w:bidi="ar"/>
              </w:rPr>
              <w:t>，岸坡清杂</w:t>
            </w:r>
          </w:p>
        </w:tc>
      </w:tr>
      <w:tr w14:paraId="4588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6A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三</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34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绿化</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1F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3EA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77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33D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68C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4D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7B39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E5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51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红叶石楠球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84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冠幅100</w:t>
            </w:r>
            <w:r>
              <w:rPr>
                <w:rFonts w:hint="default" w:ascii="Times New Roman" w:hAnsi="Times New Roman" w:eastAsia="宋体" w:cs="Times New Roman"/>
                <w:i w:val="0"/>
                <w:iCs w:val="0"/>
                <w:color w:val="0000FF"/>
                <w:kern w:val="0"/>
                <w:sz w:val="18"/>
                <w:szCs w:val="18"/>
                <w:u w:val="none"/>
                <w:lang w:val="en-US" w:eastAsia="zh-CN" w:bidi="ar"/>
              </w:rPr>
              <w:t>cm</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51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25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160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DA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A9A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AE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株距5米，间隔种植</w:t>
            </w:r>
          </w:p>
        </w:tc>
      </w:tr>
      <w:tr w14:paraId="3174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58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B6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紫薇</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53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胸径5cm</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C2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D5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160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55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82B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FE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株距5米，间隔种植</w:t>
            </w:r>
          </w:p>
        </w:tc>
      </w:tr>
      <w:tr w14:paraId="5269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C9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四</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28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田间道路</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EB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9B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公里</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7E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0.63</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BBF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16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E23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7550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6B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87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道路</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435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63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公里</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182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0.63</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CF9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787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1D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5142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E5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35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水泥路1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37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B6.0m</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43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公里</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82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0.63</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D5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55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2024DL001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56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拆建</w:t>
            </w:r>
          </w:p>
        </w:tc>
      </w:tr>
      <w:tr w14:paraId="3A30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7F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五</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4E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其他</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A58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5E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座</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2A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A00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E6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EC66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r w14:paraId="0AC5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47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BD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路灯迁移</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98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B6.0m</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AB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座</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CC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68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姜园村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EE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A8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FF"/>
                <w:sz w:val="24"/>
                <w:szCs w:val="24"/>
                <w:u w:val="none"/>
              </w:rPr>
            </w:pPr>
          </w:p>
        </w:tc>
      </w:tr>
    </w:tbl>
    <w:p w14:paraId="70600951">
      <w:pPr>
        <w:pStyle w:val="2"/>
      </w:pPr>
      <w:r>
        <w:t>2.设计依据、技术指标及采用规范</w:t>
      </w:r>
    </w:p>
    <w:p w14:paraId="2F5264E2">
      <w:pPr>
        <w:pStyle w:val="3"/>
        <w:ind w:firstLine="599"/>
        <w:rPr>
          <w:rFonts w:ascii="Times New Roman" w:hAnsi="Times New Roman"/>
        </w:rPr>
      </w:pPr>
      <w:r>
        <w:rPr>
          <w:rFonts w:ascii="Times New Roman" w:hAnsi="Times New Roman"/>
        </w:rPr>
        <w:t>2.</w:t>
      </w:r>
      <w:r>
        <w:rPr>
          <w:rFonts w:hint="eastAsia" w:ascii="Times New Roman" w:hAnsi="Times New Roman"/>
        </w:rPr>
        <w:t>1</w:t>
      </w:r>
      <w:r>
        <w:rPr>
          <w:rFonts w:ascii="Times New Roman" w:hAnsi="Times New Roman"/>
        </w:rPr>
        <w:t xml:space="preserve"> 设计采用规范：</w:t>
      </w:r>
    </w:p>
    <w:p w14:paraId="06F500B5">
      <w:pPr>
        <w:ind w:firstLine="597"/>
        <w:rPr>
          <w:rFonts w:hint="eastAsia" w:ascii="仿宋" w:hAnsi="仿宋" w:eastAsia="仿宋" w:cs="仿宋"/>
          <w:sz w:val="28"/>
          <w:szCs w:val="28"/>
        </w:rPr>
      </w:pPr>
      <w:r>
        <w:rPr>
          <w:rFonts w:hint="eastAsia" w:ascii="仿宋" w:hAnsi="仿宋" w:eastAsia="仿宋" w:cs="仿宋"/>
          <w:sz w:val="28"/>
          <w:szCs w:val="28"/>
        </w:rPr>
        <w:t>1）《水利水电工程等级划分及洪水标准》（SL252-2017）；</w:t>
      </w:r>
    </w:p>
    <w:p w14:paraId="0028C1A0">
      <w:pPr>
        <w:ind w:firstLine="597"/>
        <w:rPr>
          <w:rFonts w:hint="eastAsia" w:ascii="仿宋" w:hAnsi="仿宋" w:eastAsia="仿宋" w:cs="仿宋"/>
          <w:sz w:val="28"/>
          <w:szCs w:val="28"/>
        </w:rPr>
      </w:pPr>
      <w:r>
        <w:rPr>
          <w:rFonts w:hint="eastAsia" w:ascii="仿宋" w:hAnsi="仿宋" w:eastAsia="仿宋" w:cs="仿宋"/>
          <w:sz w:val="28"/>
          <w:szCs w:val="28"/>
        </w:rPr>
        <w:t>2）《水工金属结构防腐蚀规范》（SL105-2016）；</w:t>
      </w:r>
    </w:p>
    <w:p w14:paraId="3698CE7F">
      <w:pPr>
        <w:ind w:firstLine="597"/>
        <w:rPr>
          <w:rFonts w:hint="eastAsia" w:ascii="仿宋" w:hAnsi="仿宋" w:eastAsia="仿宋" w:cs="仿宋"/>
          <w:sz w:val="28"/>
          <w:szCs w:val="28"/>
        </w:rPr>
      </w:pPr>
      <w:r>
        <w:rPr>
          <w:rFonts w:hint="eastAsia" w:ascii="仿宋" w:hAnsi="仿宋" w:eastAsia="仿宋" w:cs="仿宋"/>
          <w:sz w:val="28"/>
          <w:szCs w:val="28"/>
        </w:rPr>
        <w:t>3）《水工混凝土结构设计规范》（SL191-2008）；</w:t>
      </w:r>
    </w:p>
    <w:p w14:paraId="1F36C0E5">
      <w:pPr>
        <w:ind w:firstLine="597"/>
        <w:rPr>
          <w:rFonts w:hint="eastAsia" w:ascii="仿宋" w:hAnsi="仿宋" w:eastAsia="仿宋" w:cs="仿宋"/>
          <w:sz w:val="28"/>
          <w:szCs w:val="28"/>
        </w:rPr>
      </w:pPr>
      <w:r>
        <w:rPr>
          <w:rFonts w:hint="eastAsia" w:ascii="仿宋" w:hAnsi="仿宋" w:eastAsia="仿宋" w:cs="仿宋"/>
          <w:sz w:val="28"/>
          <w:szCs w:val="28"/>
        </w:rPr>
        <w:t>4）《中国地震动参数区划图》（GB18306-2019）；</w:t>
      </w:r>
    </w:p>
    <w:p w14:paraId="1292E27E">
      <w:pPr>
        <w:ind w:firstLine="597"/>
        <w:rPr>
          <w:rFonts w:hint="eastAsia" w:ascii="仿宋" w:hAnsi="仿宋" w:eastAsia="仿宋" w:cs="仿宋"/>
          <w:sz w:val="28"/>
          <w:szCs w:val="28"/>
        </w:rPr>
      </w:pPr>
      <w:r>
        <w:rPr>
          <w:rFonts w:hint="eastAsia" w:ascii="仿宋" w:hAnsi="仿宋" w:eastAsia="仿宋" w:cs="仿宋"/>
          <w:sz w:val="28"/>
          <w:szCs w:val="28"/>
        </w:rPr>
        <w:t>5）《水利水电工程施工组织设计规范》（SL303-2017）；</w:t>
      </w:r>
    </w:p>
    <w:p w14:paraId="2807B253">
      <w:pPr>
        <w:ind w:firstLine="597"/>
        <w:rPr>
          <w:rFonts w:hint="eastAsia" w:ascii="仿宋" w:hAnsi="仿宋" w:eastAsia="仿宋" w:cs="仿宋"/>
          <w:sz w:val="28"/>
          <w:szCs w:val="28"/>
        </w:rPr>
      </w:pPr>
      <w:r>
        <w:rPr>
          <w:rFonts w:hint="eastAsia" w:ascii="仿宋" w:hAnsi="仿宋" w:eastAsia="仿宋" w:cs="仿宋"/>
          <w:sz w:val="28"/>
          <w:szCs w:val="28"/>
        </w:rPr>
        <w:t>6）《水利水电工程围堰设计规范》（SL645-2013）；</w:t>
      </w:r>
    </w:p>
    <w:p w14:paraId="4A50D69F">
      <w:pPr>
        <w:ind w:firstLine="597"/>
        <w:rPr>
          <w:rFonts w:hint="eastAsia" w:ascii="仿宋" w:hAnsi="仿宋" w:eastAsia="仿宋" w:cs="仿宋"/>
          <w:sz w:val="28"/>
          <w:szCs w:val="28"/>
        </w:rPr>
      </w:pPr>
      <w:r>
        <w:rPr>
          <w:rFonts w:hint="eastAsia" w:ascii="仿宋" w:hAnsi="仿宋" w:eastAsia="仿宋" w:cs="仿宋"/>
          <w:sz w:val="28"/>
          <w:szCs w:val="28"/>
        </w:rPr>
        <w:t>7）《水工建筑物抗震设计标准》（GB51247-2018）；</w:t>
      </w:r>
    </w:p>
    <w:p w14:paraId="1A465BA5">
      <w:pPr>
        <w:ind w:firstLine="597"/>
        <w:rPr>
          <w:rFonts w:hint="eastAsia" w:ascii="仿宋" w:hAnsi="仿宋" w:eastAsia="仿宋" w:cs="仿宋"/>
          <w:sz w:val="28"/>
          <w:szCs w:val="28"/>
        </w:rPr>
      </w:pPr>
      <w:r>
        <w:rPr>
          <w:rFonts w:hint="eastAsia" w:ascii="仿宋" w:hAnsi="仿宋" w:eastAsia="仿宋" w:cs="仿宋"/>
          <w:sz w:val="28"/>
          <w:szCs w:val="28"/>
        </w:rPr>
        <w:t>8）《水工挡土墙设计规范》（SL379-2017）；</w:t>
      </w:r>
    </w:p>
    <w:p w14:paraId="1836802B">
      <w:pPr>
        <w:pStyle w:val="4"/>
        <w:ind w:firstLine="597"/>
        <w:rPr>
          <w:rFonts w:hint="eastAsia" w:ascii="仿宋" w:hAnsi="仿宋" w:eastAsia="仿宋" w:cs="仿宋"/>
          <w:sz w:val="28"/>
          <w:szCs w:val="28"/>
        </w:rPr>
      </w:pPr>
      <w:r>
        <w:rPr>
          <w:rFonts w:hint="eastAsia" w:ascii="仿宋" w:hAnsi="仿宋" w:eastAsia="仿宋" w:cs="仿宋"/>
          <w:sz w:val="28"/>
          <w:szCs w:val="28"/>
        </w:rPr>
        <w:t>9）《公路桥涵设计通用规范》(JTG D60-2015)；</w:t>
      </w:r>
    </w:p>
    <w:p w14:paraId="7DDFA013">
      <w:pPr>
        <w:pStyle w:val="4"/>
        <w:ind w:firstLine="597"/>
        <w:rPr>
          <w:rFonts w:hint="eastAsia" w:ascii="仿宋" w:hAnsi="仿宋" w:eastAsia="仿宋" w:cs="仿宋"/>
          <w:sz w:val="28"/>
          <w:szCs w:val="28"/>
        </w:rPr>
      </w:pPr>
      <w:r>
        <w:rPr>
          <w:rFonts w:hint="eastAsia" w:ascii="仿宋" w:hAnsi="仿宋" w:eastAsia="仿宋" w:cs="仿宋"/>
          <w:sz w:val="28"/>
          <w:szCs w:val="28"/>
        </w:rPr>
        <w:t>10）《江苏省农村公路建设标准指导意见》；</w:t>
      </w:r>
    </w:p>
    <w:p w14:paraId="070CEA6C">
      <w:pPr>
        <w:ind w:firstLine="597"/>
        <w:rPr>
          <w:rFonts w:hint="eastAsia" w:ascii="仿宋" w:hAnsi="仿宋" w:eastAsia="仿宋" w:cs="仿宋"/>
          <w:kern w:val="0"/>
          <w:sz w:val="28"/>
          <w:szCs w:val="28"/>
        </w:rPr>
      </w:pPr>
      <w:r>
        <w:rPr>
          <w:rFonts w:hint="eastAsia" w:ascii="仿宋" w:hAnsi="仿宋" w:eastAsia="仿宋" w:cs="仿宋"/>
          <w:sz w:val="28"/>
          <w:szCs w:val="28"/>
        </w:rPr>
        <w:t>11）</w:t>
      </w:r>
      <w:r>
        <w:rPr>
          <w:rFonts w:hint="eastAsia" w:ascii="仿宋" w:hAnsi="仿宋" w:eastAsia="仿宋" w:cs="仿宋"/>
          <w:kern w:val="0"/>
          <w:sz w:val="28"/>
          <w:szCs w:val="28"/>
        </w:rPr>
        <w:t>《灌溉与排水工程设计标准》（GB50288－2018）；</w:t>
      </w:r>
    </w:p>
    <w:p w14:paraId="1589EBE8">
      <w:pPr>
        <w:pStyle w:val="4"/>
        <w:ind w:firstLine="597"/>
        <w:rPr>
          <w:rFonts w:hint="eastAsia" w:ascii="仿宋" w:hAnsi="仿宋" w:eastAsia="仿宋" w:cs="仿宋"/>
          <w:kern w:val="0"/>
          <w:sz w:val="28"/>
          <w:szCs w:val="28"/>
        </w:rPr>
      </w:pPr>
      <w:r>
        <w:rPr>
          <w:rFonts w:hint="eastAsia" w:ascii="仿宋" w:hAnsi="仿宋" w:eastAsia="仿宋" w:cs="仿宋"/>
          <w:kern w:val="0"/>
          <w:sz w:val="28"/>
          <w:szCs w:val="28"/>
        </w:rPr>
        <w:t>12）《渠道防渗衬砌工程技术标准》（GB/T50600－2020）；</w:t>
      </w:r>
    </w:p>
    <w:p w14:paraId="672BDF5F">
      <w:pPr>
        <w:ind w:firstLine="597"/>
        <w:rPr>
          <w:rFonts w:hint="eastAsia" w:ascii="仿宋" w:hAnsi="仿宋" w:eastAsia="仿宋" w:cs="仿宋"/>
          <w:sz w:val="28"/>
          <w:szCs w:val="28"/>
        </w:rPr>
      </w:pPr>
      <w:r>
        <w:rPr>
          <w:rFonts w:hint="eastAsia" w:ascii="仿宋" w:hAnsi="仿宋" w:eastAsia="仿宋" w:cs="仿宋"/>
          <w:kern w:val="0"/>
          <w:sz w:val="28"/>
          <w:szCs w:val="28"/>
        </w:rPr>
        <w:t>13）《灌溉与排水渠系建筑物设计规范》（SL482－2020）。</w:t>
      </w:r>
    </w:p>
    <w:p w14:paraId="19253347">
      <w:pPr>
        <w:pStyle w:val="2"/>
      </w:pPr>
      <w:r>
        <w:t>3.设计标准</w:t>
      </w:r>
    </w:p>
    <w:p w14:paraId="432CF69F">
      <w:pPr>
        <w:pStyle w:val="3"/>
        <w:ind w:firstLine="599"/>
        <w:rPr>
          <w:rFonts w:ascii="Times New Roman" w:hAnsi="Times New Roman"/>
        </w:rPr>
      </w:pPr>
      <w:r>
        <w:rPr>
          <w:rFonts w:ascii="Times New Roman" w:hAnsi="Times New Roman"/>
        </w:rPr>
        <w:t>3.1工程等级</w:t>
      </w:r>
    </w:p>
    <w:p w14:paraId="2EFE04B5">
      <w:pPr>
        <w:ind w:firstLine="597"/>
        <w:rPr>
          <w:rFonts w:hint="eastAsia" w:ascii="仿宋" w:hAnsi="仿宋" w:eastAsia="仿宋" w:cs="仿宋"/>
          <w:sz w:val="28"/>
          <w:szCs w:val="28"/>
        </w:rPr>
      </w:pPr>
      <w:r>
        <w:rPr>
          <w:rFonts w:hint="eastAsia" w:ascii="仿宋" w:hAnsi="仿宋" w:eastAsia="仿宋" w:cs="仿宋"/>
          <w:sz w:val="28"/>
          <w:szCs w:val="28"/>
        </w:rPr>
        <w:t>根据相关规范，本项目均为5级建筑物。</w:t>
      </w:r>
    </w:p>
    <w:p w14:paraId="62077083">
      <w:pPr>
        <w:pStyle w:val="3"/>
        <w:ind w:firstLine="599"/>
        <w:rPr>
          <w:rFonts w:ascii="Times New Roman" w:hAnsi="Times New Roman"/>
        </w:rPr>
      </w:pPr>
      <w:r>
        <w:rPr>
          <w:rFonts w:ascii="Times New Roman" w:hAnsi="Times New Roman"/>
        </w:rPr>
        <w:t>3.2地震设防烈度</w:t>
      </w:r>
    </w:p>
    <w:p w14:paraId="52744CD9">
      <w:pPr>
        <w:ind w:firstLine="597"/>
        <w:rPr>
          <w:rFonts w:hint="eastAsia" w:ascii="仿宋" w:hAnsi="仿宋" w:eastAsia="仿宋" w:cs="仿宋"/>
          <w:sz w:val="28"/>
          <w:szCs w:val="28"/>
        </w:rPr>
      </w:pPr>
      <w:r>
        <w:rPr>
          <w:rFonts w:hint="eastAsia" w:ascii="仿宋" w:hAnsi="仿宋" w:eastAsia="仿宋" w:cs="仿宋"/>
          <w:sz w:val="28"/>
          <w:szCs w:val="28"/>
        </w:rPr>
        <w:t>根据《水工建筑物抗震设计标准》(GB51247-2018）和《中国地震动参数区划图》（GB18306-2019），本区域抗震设防烈度为7 度，设计基本地震加速度为0.1g。</w:t>
      </w:r>
    </w:p>
    <w:p w14:paraId="52B4F2F4">
      <w:pPr>
        <w:pStyle w:val="2"/>
      </w:pPr>
      <w:r>
        <w:t>4.地质</w:t>
      </w:r>
    </w:p>
    <w:p w14:paraId="02D9577B">
      <w:pPr>
        <w:ind w:firstLine="597"/>
        <w:rPr>
          <w:rFonts w:hint="eastAsia" w:ascii="仿宋" w:hAnsi="仿宋" w:eastAsia="仿宋" w:cs="仿宋"/>
          <w:sz w:val="28"/>
          <w:szCs w:val="28"/>
        </w:rPr>
      </w:pPr>
      <w:r>
        <w:rPr>
          <w:rFonts w:hint="eastAsia" w:ascii="仿宋" w:hAnsi="仿宋" w:eastAsia="仿宋" w:cs="仿宋"/>
          <w:sz w:val="28"/>
          <w:szCs w:val="28"/>
        </w:rPr>
        <w:t>项目所在地区内地貌单元属江海平原区，地质构造隶属中国地质构造分区的下扬子台褶带。根据周边相关工程的地质钻探资料，地质构造比较简单，相对稳定，总体上土体结构基本相似，但其中厚度不等的夹层较多，岩性岩相、厚度在平面和剖面上都有变化，据区域钻孔资料揭示，自上而下，可大致划分为8个工程地质层：</w:t>
      </w:r>
    </w:p>
    <w:p w14:paraId="66FDBF2E">
      <w:pPr>
        <w:ind w:firstLine="597"/>
        <w:rPr>
          <w:rFonts w:hint="eastAsia" w:ascii="仿宋" w:hAnsi="仿宋" w:eastAsia="仿宋" w:cs="仿宋"/>
          <w:sz w:val="28"/>
          <w:szCs w:val="28"/>
        </w:rPr>
      </w:pPr>
      <w:r>
        <w:rPr>
          <w:rFonts w:hint="eastAsia" w:ascii="仿宋" w:hAnsi="仿宋" w:eastAsia="仿宋" w:cs="仿宋"/>
          <w:sz w:val="28"/>
          <w:szCs w:val="28"/>
        </w:rPr>
        <w:t>1）素填土（层1）</w:t>
      </w:r>
    </w:p>
    <w:p w14:paraId="2F9C3C14">
      <w:pPr>
        <w:ind w:firstLine="597"/>
        <w:rPr>
          <w:rFonts w:hint="eastAsia" w:ascii="仿宋" w:hAnsi="仿宋" w:eastAsia="仿宋" w:cs="仿宋"/>
          <w:sz w:val="28"/>
          <w:szCs w:val="28"/>
        </w:rPr>
      </w:pPr>
      <w:r>
        <w:rPr>
          <w:rFonts w:hint="eastAsia" w:ascii="仿宋" w:hAnsi="仿宋" w:eastAsia="仿宋" w:cs="仿宋"/>
          <w:sz w:val="28"/>
          <w:szCs w:val="28"/>
        </w:rPr>
        <w:t>以灰黄、灰色的粉质粘土和粉土为主，密实度和均匀性都差，松软，很湿，属高压缩性土层。此层土全场地分布。</w:t>
      </w:r>
    </w:p>
    <w:p w14:paraId="17B9991E">
      <w:pPr>
        <w:ind w:firstLine="597"/>
        <w:rPr>
          <w:rFonts w:hint="eastAsia" w:ascii="仿宋" w:hAnsi="仿宋" w:eastAsia="仿宋" w:cs="仿宋"/>
          <w:sz w:val="28"/>
          <w:szCs w:val="28"/>
        </w:rPr>
      </w:pPr>
      <w:r>
        <w:rPr>
          <w:rFonts w:hint="eastAsia" w:ascii="仿宋" w:hAnsi="仿宋" w:eastAsia="仿宋" w:cs="仿宋"/>
          <w:sz w:val="28"/>
          <w:szCs w:val="28"/>
        </w:rPr>
        <w:t>2）粉质粘土夹粉土（层2）</w:t>
      </w:r>
    </w:p>
    <w:p w14:paraId="4633E32C">
      <w:pPr>
        <w:ind w:firstLine="597"/>
        <w:rPr>
          <w:rFonts w:hint="eastAsia" w:ascii="仿宋" w:hAnsi="仿宋" w:eastAsia="仿宋" w:cs="仿宋"/>
          <w:sz w:val="28"/>
          <w:szCs w:val="28"/>
        </w:rPr>
      </w:pPr>
      <w:r>
        <w:rPr>
          <w:rFonts w:hint="eastAsia" w:ascii="仿宋" w:hAnsi="仿宋" w:eastAsia="仿宋" w:cs="仿宋"/>
          <w:sz w:val="28"/>
          <w:szCs w:val="28"/>
        </w:rPr>
        <w:t>灰黄、灰色，上部见Fe、Mn质斑痕，具层理构造。粉质粘土软塑～可塑，切面稍有光泽，干强度中等，韧性中等；粉土稍密，湿～很湿，无光泽，摇振反应中等，干强度低，韧性低。属中压缩性土层。此层土在河道内缺失。</w:t>
      </w:r>
    </w:p>
    <w:p w14:paraId="4F9EEF91">
      <w:pPr>
        <w:ind w:firstLine="597"/>
        <w:rPr>
          <w:rFonts w:hint="eastAsia" w:ascii="仿宋" w:hAnsi="仿宋" w:eastAsia="仿宋" w:cs="仿宋"/>
          <w:sz w:val="28"/>
          <w:szCs w:val="28"/>
        </w:rPr>
      </w:pPr>
      <w:r>
        <w:rPr>
          <w:rFonts w:hint="eastAsia" w:ascii="仿宋" w:hAnsi="仿宋" w:eastAsia="仿宋" w:cs="仿宋"/>
          <w:sz w:val="28"/>
          <w:szCs w:val="28"/>
        </w:rPr>
        <w:t>3）粉土夹粉砂（层3）</w:t>
      </w:r>
    </w:p>
    <w:p w14:paraId="1F596CB0">
      <w:pPr>
        <w:ind w:firstLine="597"/>
        <w:rPr>
          <w:rFonts w:hint="eastAsia" w:ascii="仿宋" w:hAnsi="仿宋" w:eastAsia="仿宋" w:cs="仿宋"/>
          <w:sz w:val="28"/>
          <w:szCs w:val="28"/>
        </w:rPr>
      </w:pPr>
      <w:r>
        <w:rPr>
          <w:rFonts w:hint="eastAsia" w:ascii="仿宋" w:hAnsi="仿宋" w:eastAsia="仿宋" w:cs="仿宋"/>
          <w:sz w:val="28"/>
          <w:szCs w:val="28"/>
        </w:rPr>
        <w:t>灰、青灰色，含云母。粉土中密，湿～很湿，无光泽，摇振反应中等，干强度低，韧性低；粉砂松散～稍密，饱和，主要矿物成分为石英和长石。属中压缩性土层。此层土全场地分布。</w:t>
      </w:r>
    </w:p>
    <w:p w14:paraId="44AB5BB4">
      <w:pPr>
        <w:ind w:firstLine="597"/>
        <w:rPr>
          <w:rFonts w:hint="eastAsia" w:ascii="仿宋" w:hAnsi="仿宋" w:eastAsia="仿宋" w:cs="仿宋"/>
          <w:sz w:val="28"/>
          <w:szCs w:val="28"/>
        </w:rPr>
      </w:pPr>
      <w:r>
        <w:rPr>
          <w:rFonts w:hint="eastAsia" w:ascii="仿宋" w:hAnsi="仿宋" w:eastAsia="仿宋" w:cs="仿宋"/>
          <w:sz w:val="28"/>
          <w:szCs w:val="28"/>
        </w:rPr>
        <w:t>4）粉砂夹粉土（层4）</w:t>
      </w:r>
    </w:p>
    <w:p w14:paraId="7CE9D1F8">
      <w:pPr>
        <w:ind w:firstLine="597"/>
        <w:rPr>
          <w:rFonts w:hint="eastAsia" w:ascii="仿宋" w:hAnsi="仿宋" w:eastAsia="仿宋" w:cs="仿宋"/>
          <w:sz w:val="28"/>
          <w:szCs w:val="28"/>
        </w:rPr>
      </w:pPr>
      <w:r>
        <w:rPr>
          <w:rFonts w:hint="eastAsia" w:ascii="仿宋" w:hAnsi="仿宋" w:eastAsia="仿宋" w:cs="仿宋"/>
          <w:sz w:val="28"/>
          <w:szCs w:val="28"/>
        </w:rPr>
        <w:t>灰、青灰色，含云母。粉砂稍密～中密，饱和，主要矿物成分为石英和长石；粉土中密，湿～很湿，无光泽，摇振反应中等，干强度低，韧性低。属中压缩性土层。此层土全场地分布。</w:t>
      </w:r>
    </w:p>
    <w:p w14:paraId="3128FF2C">
      <w:pPr>
        <w:ind w:firstLine="597"/>
        <w:rPr>
          <w:rFonts w:hint="eastAsia" w:ascii="仿宋" w:hAnsi="仿宋" w:eastAsia="仿宋" w:cs="仿宋"/>
          <w:sz w:val="28"/>
          <w:szCs w:val="28"/>
        </w:rPr>
      </w:pPr>
      <w:r>
        <w:rPr>
          <w:rFonts w:hint="eastAsia" w:ascii="仿宋" w:hAnsi="仿宋" w:eastAsia="仿宋" w:cs="仿宋"/>
          <w:sz w:val="28"/>
          <w:szCs w:val="28"/>
        </w:rPr>
        <w:t>5）粉土夹粉质粘土（层5）</w:t>
      </w:r>
    </w:p>
    <w:p w14:paraId="0CD1FA01">
      <w:pPr>
        <w:ind w:firstLine="597"/>
        <w:rPr>
          <w:rFonts w:hint="eastAsia" w:ascii="仿宋" w:hAnsi="仿宋" w:eastAsia="仿宋" w:cs="仿宋"/>
          <w:sz w:val="28"/>
          <w:szCs w:val="28"/>
        </w:rPr>
      </w:pPr>
      <w:r>
        <w:rPr>
          <w:rFonts w:hint="eastAsia" w:ascii="仿宋" w:hAnsi="仿宋" w:eastAsia="仿宋" w:cs="仿宋"/>
          <w:sz w:val="28"/>
          <w:szCs w:val="28"/>
        </w:rPr>
        <w:t>灰、青灰色，含少量云母。粉土稍密，很湿，无光泽，摇振反应中等，干强度低，韧性低；粉质粘土软塑，局部流塑，切面稍有光泽，干强度中等，韧性中等。属中压缩性土层。此层土全场地分布。</w:t>
      </w:r>
    </w:p>
    <w:p w14:paraId="6E70A29F">
      <w:pPr>
        <w:ind w:firstLine="597"/>
        <w:rPr>
          <w:rFonts w:hint="eastAsia" w:ascii="仿宋" w:hAnsi="仿宋" w:eastAsia="仿宋" w:cs="仿宋"/>
          <w:sz w:val="28"/>
          <w:szCs w:val="28"/>
        </w:rPr>
      </w:pPr>
      <w:r>
        <w:rPr>
          <w:rFonts w:hint="eastAsia" w:ascii="仿宋" w:hAnsi="仿宋" w:eastAsia="仿宋" w:cs="仿宋"/>
          <w:sz w:val="28"/>
          <w:szCs w:val="28"/>
        </w:rPr>
        <w:t>6）粉砂夹粉土（层6）</w:t>
      </w:r>
    </w:p>
    <w:p w14:paraId="721B98AF">
      <w:pPr>
        <w:ind w:firstLine="597"/>
        <w:rPr>
          <w:rFonts w:hint="eastAsia" w:ascii="仿宋" w:hAnsi="仿宋" w:eastAsia="仿宋" w:cs="仿宋"/>
          <w:sz w:val="28"/>
          <w:szCs w:val="28"/>
        </w:rPr>
      </w:pPr>
      <w:r>
        <w:rPr>
          <w:rFonts w:hint="eastAsia" w:ascii="仿宋" w:hAnsi="仿宋" w:eastAsia="仿宋" w:cs="仿宋"/>
          <w:sz w:val="28"/>
          <w:szCs w:val="28"/>
        </w:rPr>
        <w:t>灰、青灰色，含云母。粉砂中密～密实，饱和，主要矿物成分为石英和长石；粉土中密，湿，无光泽，摇振反应中等，干强度低，韧性低。属中压缩性土层。此层土全场地分布。</w:t>
      </w:r>
    </w:p>
    <w:p w14:paraId="27BD5335">
      <w:pPr>
        <w:ind w:firstLine="597"/>
        <w:rPr>
          <w:rFonts w:hint="eastAsia" w:ascii="仿宋" w:hAnsi="仿宋" w:eastAsia="仿宋" w:cs="仿宋"/>
          <w:sz w:val="28"/>
          <w:szCs w:val="28"/>
        </w:rPr>
      </w:pPr>
      <w:r>
        <w:rPr>
          <w:rFonts w:hint="eastAsia" w:ascii="仿宋" w:hAnsi="仿宋" w:eastAsia="仿宋" w:cs="仿宋"/>
          <w:sz w:val="28"/>
          <w:szCs w:val="28"/>
        </w:rPr>
        <w:t>7）粉砂夹粉质粘土（层7）</w:t>
      </w:r>
    </w:p>
    <w:p w14:paraId="252DE5CF">
      <w:pPr>
        <w:ind w:firstLine="597"/>
        <w:rPr>
          <w:rFonts w:hint="eastAsia" w:ascii="仿宋" w:hAnsi="仿宋" w:eastAsia="仿宋" w:cs="仿宋"/>
          <w:sz w:val="28"/>
          <w:szCs w:val="28"/>
        </w:rPr>
      </w:pPr>
      <w:r>
        <w:rPr>
          <w:rFonts w:hint="eastAsia" w:ascii="仿宋" w:hAnsi="仿宋" w:eastAsia="仿宋" w:cs="仿宋"/>
          <w:sz w:val="28"/>
          <w:szCs w:val="28"/>
        </w:rPr>
        <w:t>灰、青灰色。粉砂松散～稍密，饱和，主要矿物成分为石英和长石；粉质粘土软塑～可塑，切面有光泽，干强度中等，韧性中等。属中压缩性土层。此层土全场地分布。</w:t>
      </w:r>
    </w:p>
    <w:p w14:paraId="6CD5E999">
      <w:pPr>
        <w:ind w:firstLine="597"/>
        <w:rPr>
          <w:rFonts w:hint="eastAsia" w:ascii="仿宋" w:hAnsi="仿宋" w:eastAsia="仿宋" w:cs="仿宋"/>
          <w:sz w:val="28"/>
          <w:szCs w:val="28"/>
        </w:rPr>
      </w:pPr>
      <w:r>
        <w:rPr>
          <w:rFonts w:hint="eastAsia" w:ascii="仿宋" w:hAnsi="仿宋" w:eastAsia="仿宋" w:cs="仿宋"/>
          <w:sz w:val="28"/>
          <w:szCs w:val="28"/>
        </w:rPr>
        <w:t>8）粉砂夹粉土（层8）</w:t>
      </w:r>
    </w:p>
    <w:p w14:paraId="656F83A6">
      <w:pPr>
        <w:ind w:firstLine="597"/>
        <w:rPr>
          <w:rFonts w:hint="eastAsia" w:ascii="仿宋" w:hAnsi="仿宋" w:eastAsia="仿宋" w:cs="仿宋"/>
          <w:sz w:val="28"/>
          <w:szCs w:val="28"/>
        </w:rPr>
      </w:pPr>
      <w:r>
        <w:rPr>
          <w:rFonts w:hint="eastAsia" w:ascii="仿宋" w:hAnsi="仿宋" w:eastAsia="仿宋" w:cs="仿宋"/>
          <w:sz w:val="28"/>
          <w:szCs w:val="28"/>
        </w:rPr>
        <w:t>粉砂中密～密实，饱和，主要矿物成分为石英和长石；粉土中密，局部密实，湿，无光泽，摇振反应中等，干强度低，韧性低。属中压缩性土层。此层土未揭穿，局部缺失。</w:t>
      </w:r>
    </w:p>
    <w:p w14:paraId="021A54E5">
      <w:pPr>
        <w:ind w:firstLine="597"/>
        <w:rPr>
          <w:rFonts w:hint="eastAsia" w:ascii="仿宋" w:hAnsi="仿宋" w:eastAsia="仿宋" w:cs="仿宋"/>
          <w:sz w:val="28"/>
          <w:szCs w:val="28"/>
        </w:rPr>
      </w:pPr>
      <w:r>
        <w:rPr>
          <w:rFonts w:hint="eastAsia" w:ascii="仿宋" w:hAnsi="仿宋" w:eastAsia="仿宋" w:cs="仿宋"/>
          <w:sz w:val="28"/>
          <w:szCs w:val="28"/>
        </w:rPr>
        <w:t>地表水为地下水主要补给来源，其次为大气降水的渗入补给及地下迳流补给。蒸发、地下迳流为地下水的主要排泄方式。勘探期间无降雨，历史最高水位接近地表。地下水位主要随季节变化。大气降水为地下水主要补给来源，其次为地表水的渗入补给。蒸发、植物蒸腾、层间径流为地下水的主要排泄方式。未发现不良水文地质现象。</w:t>
      </w:r>
    </w:p>
    <w:p w14:paraId="473783A6">
      <w:pPr>
        <w:ind w:firstLine="597"/>
        <w:rPr>
          <w:rFonts w:hint="eastAsia" w:ascii="仿宋" w:hAnsi="仿宋" w:eastAsia="仿宋" w:cs="仿宋"/>
          <w:sz w:val="28"/>
          <w:szCs w:val="28"/>
        </w:rPr>
      </w:pPr>
      <w:r>
        <w:rPr>
          <w:rFonts w:hint="eastAsia" w:ascii="仿宋" w:hAnsi="仿宋" w:eastAsia="仿宋" w:cs="仿宋"/>
          <w:sz w:val="28"/>
          <w:szCs w:val="28"/>
        </w:rPr>
        <w:t>经初步调查，各场地附近均无明显污染源对地表水和地下水造成污染，根据区域水文地质资料，环境介质对混凝土无结晶类腐蚀、无分解类腐蚀、无结晶分解复合类腐蚀。混凝土腐蚀主要受物理作用控制，其主要因素有：河水位的波动、干湿交替作用、气温差异等。</w:t>
      </w:r>
    </w:p>
    <w:p w14:paraId="37C24276">
      <w:pPr>
        <w:pStyle w:val="2"/>
      </w:pPr>
      <w:r>
        <w:t>5.施工材料及耐久性要求</w:t>
      </w:r>
    </w:p>
    <w:p w14:paraId="327C7A77">
      <w:pPr>
        <w:pStyle w:val="3"/>
        <w:ind w:firstLine="599"/>
        <w:rPr>
          <w:rFonts w:hint="eastAsia" w:ascii="仿宋" w:hAnsi="仿宋" w:cs="仿宋"/>
          <w:szCs w:val="28"/>
        </w:rPr>
      </w:pPr>
      <w:r>
        <w:rPr>
          <w:rFonts w:hint="eastAsia" w:ascii="仿宋" w:hAnsi="仿宋" w:cs="仿宋"/>
          <w:szCs w:val="28"/>
        </w:rPr>
        <w:t>5.1工程所需材料均需满足标准要求：</w:t>
      </w:r>
    </w:p>
    <w:p w14:paraId="6C72F9A6">
      <w:pPr>
        <w:ind w:firstLine="597"/>
        <w:rPr>
          <w:rFonts w:hint="eastAsia" w:ascii="仿宋" w:hAnsi="仿宋" w:eastAsia="仿宋" w:cs="仿宋"/>
          <w:sz w:val="28"/>
          <w:szCs w:val="28"/>
        </w:rPr>
      </w:pPr>
      <w:r>
        <w:rPr>
          <w:rFonts w:hint="eastAsia" w:ascii="仿宋" w:hAnsi="仿宋" w:eastAsia="仿宋" w:cs="仿宋"/>
          <w:sz w:val="28"/>
          <w:szCs w:val="28"/>
        </w:rPr>
        <w:t>水泥根据混凝土及砂浆要求选用42.5级普通硅酸盐水泥；黄砂采用中砂，细度模数范围在2.3-3.0，不得采用海砂或淡化海砂；粗骨料石子不宜超过40mm，最大粒径不得超过结构截面最小尺寸的1/4，不得超过钢筋最小净距的3/4，对于实心板，不得超过板厚的1/3且不得超过40mm。混凝土水灰比宜在0.5左右，抗渗等级不小于W4，抗冻等级不低于F50。</w:t>
      </w:r>
    </w:p>
    <w:p w14:paraId="11E04E04">
      <w:pPr>
        <w:ind w:firstLine="457"/>
        <w:jc w:val="center"/>
        <w:rPr>
          <w:rFonts w:eastAsia="黑体"/>
        </w:rPr>
      </w:pPr>
      <w:r>
        <w:rPr>
          <w:rFonts w:eastAsia="黑体"/>
          <w:sz w:val="21"/>
          <w:szCs w:val="21"/>
        </w:rPr>
        <w:t>表</w:t>
      </w:r>
      <w:r>
        <w:rPr>
          <w:rFonts w:hint="eastAsia" w:eastAsia="黑体"/>
          <w:sz w:val="21"/>
          <w:szCs w:val="21"/>
        </w:rPr>
        <w:t>2</w:t>
      </w:r>
      <w:r>
        <w:rPr>
          <w:rFonts w:eastAsia="黑体"/>
          <w:sz w:val="21"/>
          <w:szCs w:val="21"/>
        </w:rPr>
        <w:t xml:space="preserve">  </w:t>
      </w:r>
      <w:r>
        <w:rPr>
          <w:rFonts w:hint="eastAsia" w:eastAsia="黑体"/>
          <w:sz w:val="21"/>
          <w:szCs w:val="21"/>
        </w:rPr>
        <w:t>混凝土配合比</w:t>
      </w:r>
    </w:p>
    <w:tbl>
      <w:tblPr>
        <w:tblStyle w:val="17"/>
        <w:tblW w:w="5000" w:type="pct"/>
        <w:jc w:val="center"/>
        <w:tblLayout w:type="autofit"/>
        <w:tblCellMar>
          <w:top w:w="0" w:type="dxa"/>
          <w:left w:w="108" w:type="dxa"/>
          <w:bottom w:w="0" w:type="dxa"/>
          <w:right w:w="108" w:type="dxa"/>
        </w:tblCellMar>
      </w:tblPr>
      <w:tblGrid>
        <w:gridCol w:w="1996"/>
        <w:gridCol w:w="2034"/>
        <w:gridCol w:w="1776"/>
        <w:gridCol w:w="2133"/>
        <w:gridCol w:w="2139"/>
      </w:tblGrid>
      <w:tr w14:paraId="333E2453">
        <w:tblPrEx>
          <w:tblCellMar>
            <w:top w:w="0" w:type="dxa"/>
            <w:left w:w="108" w:type="dxa"/>
            <w:bottom w:w="0" w:type="dxa"/>
            <w:right w:w="108" w:type="dxa"/>
          </w:tblCellMar>
        </w:tblPrEx>
        <w:trPr>
          <w:trHeight w:val="500" w:hRule="atLeast"/>
          <w:jc w:val="center"/>
        </w:trPr>
        <w:tc>
          <w:tcPr>
            <w:tcW w:w="991" w:type="pct"/>
            <w:vMerge w:val="restart"/>
            <w:tcBorders>
              <w:top w:val="single" w:color="000000" w:sz="4" w:space="0"/>
              <w:left w:val="single" w:color="000000" w:sz="4" w:space="0"/>
              <w:bottom w:val="single" w:color="000000" w:sz="4" w:space="0"/>
              <w:right w:val="single" w:color="000000" w:sz="4" w:space="0"/>
            </w:tcBorders>
            <w:vAlign w:val="center"/>
          </w:tcPr>
          <w:p w14:paraId="651DBAE7">
            <w:pPr>
              <w:ind w:firstLine="0" w:firstLineChars="0"/>
              <w:jc w:val="center"/>
            </w:pPr>
            <w:r>
              <w:rPr>
                <w:rFonts w:hint="eastAsia"/>
              </w:rPr>
              <w:t>混凝土强度等级</w:t>
            </w:r>
          </w:p>
        </w:tc>
        <w:tc>
          <w:tcPr>
            <w:tcW w:w="1009" w:type="pct"/>
            <w:vMerge w:val="restart"/>
            <w:tcBorders>
              <w:top w:val="single" w:color="000000" w:sz="4" w:space="0"/>
              <w:left w:val="single" w:color="000000" w:sz="4" w:space="0"/>
              <w:bottom w:val="single" w:color="000000" w:sz="4" w:space="0"/>
              <w:right w:val="single" w:color="000000" w:sz="4" w:space="0"/>
            </w:tcBorders>
            <w:vAlign w:val="center"/>
          </w:tcPr>
          <w:p w14:paraId="40982CC0">
            <w:pPr>
              <w:ind w:firstLine="0" w:firstLineChars="0"/>
              <w:jc w:val="center"/>
            </w:pPr>
            <w:r>
              <w:rPr>
                <w:rFonts w:hint="eastAsia"/>
              </w:rPr>
              <w:t>最小水泥用量</w:t>
            </w:r>
          </w:p>
          <w:p w14:paraId="28F98CC1">
            <w:pPr>
              <w:ind w:firstLine="0" w:firstLineChars="0"/>
              <w:jc w:val="center"/>
            </w:pPr>
            <w:r>
              <w:rPr>
                <w:rFonts w:hint="eastAsia"/>
              </w:rPr>
              <w:t>（kg/m³）</w:t>
            </w:r>
          </w:p>
        </w:tc>
        <w:tc>
          <w:tcPr>
            <w:tcW w:w="881" w:type="pct"/>
            <w:vMerge w:val="restart"/>
            <w:tcBorders>
              <w:top w:val="single" w:color="000000" w:sz="4" w:space="0"/>
              <w:left w:val="single" w:color="000000" w:sz="4" w:space="0"/>
              <w:bottom w:val="single" w:color="000000" w:sz="4" w:space="0"/>
              <w:right w:val="single" w:color="000000" w:sz="4" w:space="0"/>
            </w:tcBorders>
            <w:vAlign w:val="center"/>
          </w:tcPr>
          <w:p w14:paraId="08999B23">
            <w:pPr>
              <w:ind w:firstLine="0" w:firstLineChars="0"/>
              <w:jc w:val="center"/>
            </w:pPr>
            <w:r>
              <w:rPr>
                <w:rFonts w:hint="eastAsia"/>
              </w:rPr>
              <w:t>最大水灰比</w:t>
            </w:r>
          </w:p>
        </w:tc>
        <w:tc>
          <w:tcPr>
            <w:tcW w:w="1058" w:type="pct"/>
            <w:vMerge w:val="restart"/>
            <w:tcBorders>
              <w:top w:val="single" w:color="000000" w:sz="4" w:space="0"/>
              <w:left w:val="single" w:color="000000" w:sz="4" w:space="0"/>
              <w:bottom w:val="single" w:color="000000" w:sz="4" w:space="0"/>
              <w:right w:val="single" w:color="000000" w:sz="4" w:space="0"/>
            </w:tcBorders>
            <w:vAlign w:val="center"/>
          </w:tcPr>
          <w:p w14:paraId="07E14B16">
            <w:pPr>
              <w:ind w:firstLine="0" w:firstLineChars="0"/>
              <w:jc w:val="center"/>
            </w:pPr>
            <w:r>
              <w:rPr>
                <w:rFonts w:hint="eastAsia"/>
              </w:rPr>
              <w:t>最大氯离子含量（%）</w:t>
            </w:r>
          </w:p>
        </w:tc>
        <w:tc>
          <w:tcPr>
            <w:tcW w:w="1061" w:type="pct"/>
            <w:vMerge w:val="restart"/>
            <w:tcBorders>
              <w:top w:val="single" w:color="000000" w:sz="4" w:space="0"/>
              <w:left w:val="single" w:color="000000" w:sz="4" w:space="0"/>
              <w:bottom w:val="single" w:color="000000" w:sz="4" w:space="0"/>
              <w:right w:val="single" w:color="000000" w:sz="4" w:space="0"/>
            </w:tcBorders>
            <w:vAlign w:val="center"/>
          </w:tcPr>
          <w:p w14:paraId="690A3566">
            <w:pPr>
              <w:ind w:firstLine="0" w:firstLineChars="0"/>
              <w:jc w:val="center"/>
            </w:pPr>
            <w:r>
              <w:rPr>
                <w:rFonts w:hint="eastAsia"/>
              </w:rPr>
              <w:t>最大碱含量</w:t>
            </w:r>
          </w:p>
          <w:p w14:paraId="47AF82EA">
            <w:pPr>
              <w:ind w:firstLine="0" w:firstLineChars="0"/>
              <w:jc w:val="center"/>
            </w:pPr>
            <w:r>
              <w:rPr>
                <w:rFonts w:hint="eastAsia"/>
              </w:rPr>
              <w:t>（kg/m³）</w:t>
            </w:r>
          </w:p>
        </w:tc>
      </w:tr>
      <w:tr w14:paraId="649950C2">
        <w:tblPrEx>
          <w:tblCellMar>
            <w:top w:w="0" w:type="dxa"/>
            <w:left w:w="108" w:type="dxa"/>
            <w:bottom w:w="0" w:type="dxa"/>
            <w:right w:w="108" w:type="dxa"/>
          </w:tblCellMar>
        </w:tblPrEx>
        <w:trPr>
          <w:trHeight w:val="500" w:hRule="atLeast"/>
          <w:jc w:val="center"/>
        </w:trPr>
        <w:tc>
          <w:tcPr>
            <w:tcW w:w="991" w:type="pct"/>
            <w:vMerge w:val="continue"/>
            <w:tcBorders>
              <w:top w:val="single" w:color="000000" w:sz="4" w:space="0"/>
              <w:left w:val="single" w:color="000000" w:sz="4" w:space="0"/>
              <w:bottom w:val="single" w:color="000000" w:sz="4" w:space="0"/>
              <w:right w:val="single" w:color="000000" w:sz="4" w:space="0"/>
            </w:tcBorders>
            <w:vAlign w:val="center"/>
          </w:tcPr>
          <w:p w14:paraId="72044B68">
            <w:pPr>
              <w:ind w:firstLine="0" w:firstLineChars="0"/>
              <w:jc w:val="center"/>
            </w:pPr>
          </w:p>
        </w:tc>
        <w:tc>
          <w:tcPr>
            <w:tcW w:w="1009" w:type="pct"/>
            <w:vMerge w:val="continue"/>
            <w:tcBorders>
              <w:top w:val="single" w:color="000000" w:sz="4" w:space="0"/>
              <w:left w:val="single" w:color="000000" w:sz="4" w:space="0"/>
              <w:bottom w:val="single" w:color="000000" w:sz="4" w:space="0"/>
              <w:right w:val="single" w:color="000000" w:sz="4" w:space="0"/>
            </w:tcBorders>
            <w:vAlign w:val="center"/>
          </w:tcPr>
          <w:p w14:paraId="29CDCB05">
            <w:pPr>
              <w:ind w:firstLine="0" w:firstLineChars="0"/>
              <w:jc w:val="center"/>
            </w:pPr>
          </w:p>
        </w:tc>
        <w:tc>
          <w:tcPr>
            <w:tcW w:w="881" w:type="pct"/>
            <w:vMerge w:val="continue"/>
            <w:tcBorders>
              <w:top w:val="single" w:color="000000" w:sz="4" w:space="0"/>
              <w:left w:val="single" w:color="000000" w:sz="4" w:space="0"/>
              <w:bottom w:val="single" w:color="000000" w:sz="4" w:space="0"/>
              <w:right w:val="single" w:color="000000" w:sz="4" w:space="0"/>
            </w:tcBorders>
            <w:vAlign w:val="center"/>
          </w:tcPr>
          <w:p w14:paraId="56F24A91">
            <w:pPr>
              <w:ind w:firstLine="0" w:firstLineChars="0"/>
              <w:jc w:val="center"/>
            </w:pPr>
          </w:p>
        </w:tc>
        <w:tc>
          <w:tcPr>
            <w:tcW w:w="1058" w:type="pct"/>
            <w:vMerge w:val="continue"/>
            <w:tcBorders>
              <w:top w:val="single" w:color="000000" w:sz="4" w:space="0"/>
              <w:left w:val="single" w:color="000000" w:sz="4" w:space="0"/>
              <w:bottom w:val="single" w:color="000000" w:sz="4" w:space="0"/>
              <w:right w:val="single" w:color="000000" w:sz="4" w:space="0"/>
            </w:tcBorders>
            <w:vAlign w:val="center"/>
          </w:tcPr>
          <w:p w14:paraId="28238F05">
            <w:pPr>
              <w:ind w:firstLine="0" w:firstLineChars="0"/>
              <w:jc w:val="center"/>
            </w:pPr>
          </w:p>
        </w:tc>
        <w:tc>
          <w:tcPr>
            <w:tcW w:w="1061" w:type="pct"/>
            <w:vMerge w:val="continue"/>
            <w:tcBorders>
              <w:top w:val="single" w:color="000000" w:sz="4" w:space="0"/>
              <w:left w:val="single" w:color="000000" w:sz="4" w:space="0"/>
              <w:bottom w:val="single" w:color="000000" w:sz="4" w:space="0"/>
              <w:right w:val="single" w:color="000000" w:sz="4" w:space="0"/>
            </w:tcBorders>
            <w:vAlign w:val="center"/>
          </w:tcPr>
          <w:p w14:paraId="77326D55">
            <w:pPr>
              <w:ind w:firstLine="0" w:firstLineChars="0"/>
              <w:jc w:val="center"/>
            </w:pPr>
          </w:p>
        </w:tc>
      </w:tr>
      <w:tr w14:paraId="66E53554">
        <w:tblPrEx>
          <w:tblCellMar>
            <w:top w:w="0" w:type="dxa"/>
            <w:left w:w="108" w:type="dxa"/>
            <w:bottom w:w="0" w:type="dxa"/>
            <w:right w:w="108" w:type="dxa"/>
          </w:tblCellMar>
        </w:tblPrEx>
        <w:trPr>
          <w:trHeight w:val="500" w:hRule="atLeast"/>
          <w:jc w:val="center"/>
        </w:trPr>
        <w:tc>
          <w:tcPr>
            <w:tcW w:w="991" w:type="pct"/>
            <w:tcBorders>
              <w:top w:val="single" w:color="000000" w:sz="4" w:space="0"/>
              <w:left w:val="single" w:color="000000" w:sz="4" w:space="0"/>
              <w:bottom w:val="single" w:color="000000" w:sz="4" w:space="0"/>
              <w:right w:val="single" w:color="000000" w:sz="4" w:space="0"/>
            </w:tcBorders>
            <w:noWrap/>
            <w:vAlign w:val="center"/>
          </w:tcPr>
          <w:p w14:paraId="68BC1E7B">
            <w:pPr>
              <w:ind w:firstLine="0" w:firstLineChars="0"/>
              <w:jc w:val="center"/>
            </w:pPr>
            <w:r>
              <w:rPr>
                <w:rFonts w:hint="eastAsia"/>
              </w:rPr>
              <w:t>C20</w:t>
            </w:r>
          </w:p>
        </w:tc>
        <w:tc>
          <w:tcPr>
            <w:tcW w:w="1009" w:type="pct"/>
            <w:tcBorders>
              <w:top w:val="single" w:color="000000" w:sz="4" w:space="0"/>
              <w:left w:val="single" w:color="000000" w:sz="4" w:space="0"/>
              <w:bottom w:val="single" w:color="000000" w:sz="4" w:space="0"/>
              <w:right w:val="single" w:color="000000" w:sz="4" w:space="0"/>
            </w:tcBorders>
            <w:noWrap/>
            <w:vAlign w:val="center"/>
          </w:tcPr>
          <w:p w14:paraId="13EA4621">
            <w:pPr>
              <w:ind w:firstLine="0" w:firstLineChars="0"/>
              <w:jc w:val="center"/>
            </w:pPr>
            <w:r>
              <w:rPr>
                <w:rFonts w:hint="eastAsia"/>
              </w:rPr>
              <w:t>220</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D91139E">
            <w:pPr>
              <w:ind w:firstLine="0" w:firstLineChars="0"/>
              <w:jc w:val="center"/>
            </w:pPr>
            <w:r>
              <w:rPr>
                <w:rFonts w:hint="eastAsia"/>
              </w:rPr>
              <w:t>0.60</w:t>
            </w:r>
          </w:p>
        </w:tc>
        <w:tc>
          <w:tcPr>
            <w:tcW w:w="1058" w:type="pct"/>
            <w:tcBorders>
              <w:top w:val="single" w:color="000000" w:sz="4" w:space="0"/>
              <w:left w:val="single" w:color="000000" w:sz="4" w:space="0"/>
              <w:bottom w:val="single" w:color="000000" w:sz="4" w:space="0"/>
              <w:right w:val="single" w:color="000000" w:sz="4" w:space="0"/>
            </w:tcBorders>
            <w:noWrap/>
            <w:vAlign w:val="center"/>
          </w:tcPr>
          <w:p w14:paraId="61AA4DA4">
            <w:pPr>
              <w:ind w:firstLine="0" w:firstLineChars="0"/>
              <w:jc w:val="center"/>
            </w:pPr>
            <w:r>
              <w:rPr>
                <w:rFonts w:hint="eastAsia"/>
              </w:rPr>
              <w:t>1</w:t>
            </w:r>
          </w:p>
        </w:tc>
        <w:tc>
          <w:tcPr>
            <w:tcW w:w="1061" w:type="pct"/>
            <w:tcBorders>
              <w:top w:val="single" w:color="000000" w:sz="4" w:space="0"/>
              <w:left w:val="single" w:color="000000" w:sz="4" w:space="0"/>
              <w:bottom w:val="single" w:color="000000" w:sz="4" w:space="0"/>
              <w:right w:val="single" w:color="000000" w:sz="4" w:space="0"/>
            </w:tcBorders>
            <w:noWrap/>
            <w:vAlign w:val="center"/>
          </w:tcPr>
          <w:p w14:paraId="5D718416">
            <w:pPr>
              <w:ind w:firstLine="0" w:firstLineChars="0"/>
              <w:jc w:val="center"/>
            </w:pPr>
            <w:r>
              <w:rPr>
                <w:rFonts w:hint="eastAsia"/>
              </w:rPr>
              <w:t>不限制</w:t>
            </w:r>
          </w:p>
        </w:tc>
      </w:tr>
      <w:tr w14:paraId="3609132B">
        <w:tblPrEx>
          <w:tblCellMar>
            <w:top w:w="0" w:type="dxa"/>
            <w:left w:w="108" w:type="dxa"/>
            <w:bottom w:w="0" w:type="dxa"/>
            <w:right w:w="108" w:type="dxa"/>
          </w:tblCellMar>
        </w:tblPrEx>
        <w:trPr>
          <w:trHeight w:val="500" w:hRule="atLeast"/>
          <w:jc w:val="center"/>
        </w:trPr>
        <w:tc>
          <w:tcPr>
            <w:tcW w:w="991" w:type="pct"/>
            <w:tcBorders>
              <w:top w:val="single" w:color="000000" w:sz="4" w:space="0"/>
              <w:left w:val="single" w:color="000000" w:sz="4" w:space="0"/>
              <w:bottom w:val="single" w:color="000000" w:sz="4" w:space="0"/>
              <w:right w:val="single" w:color="000000" w:sz="4" w:space="0"/>
            </w:tcBorders>
            <w:noWrap/>
            <w:vAlign w:val="center"/>
          </w:tcPr>
          <w:p w14:paraId="023BC298">
            <w:pPr>
              <w:ind w:firstLine="0" w:firstLineChars="0"/>
              <w:jc w:val="center"/>
            </w:pPr>
            <w:r>
              <w:rPr>
                <w:rFonts w:hint="eastAsia"/>
              </w:rPr>
              <w:t>C25</w:t>
            </w:r>
          </w:p>
        </w:tc>
        <w:tc>
          <w:tcPr>
            <w:tcW w:w="1009" w:type="pct"/>
            <w:tcBorders>
              <w:top w:val="single" w:color="000000" w:sz="4" w:space="0"/>
              <w:left w:val="single" w:color="000000" w:sz="4" w:space="0"/>
              <w:bottom w:val="single" w:color="000000" w:sz="4" w:space="0"/>
              <w:right w:val="single" w:color="000000" w:sz="4" w:space="0"/>
            </w:tcBorders>
            <w:noWrap/>
            <w:vAlign w:val="center"/>
          </w:tcPr>
          <w:p w14:paraId="49A4E3FC">
            <w:pPr>
              <w:ind w:firstLine="0" w:firstLineChars="0"/>
              <w:jc w:val="center"/>
            </w:pPr>
            <w:r>
              <w:rPr>
                <w:rFonts w:hint="eastAsia"/>
              </w:rPr>
              <w:t>300</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5CB1F2D">
            <w:pPr>
              <w:ind w:firstLine="0" w:firstLineChars="0"/>
              <w:jc w:val="center"/>
            </w:pPr>
            <w:r>
              <w:rPr>
                <w:rFonts w:hint="eastAsia"/>
              </w:rPr>
              <w:t>0.50</w:t>
            </w:r>
          </w:p>
        </w:tc>
        <w:tc>
          <w:tcPr>
            <w:tcW w:w="1058" w:type="pct"/>
            <w:tcBorders>
              <w:top w:val="single" w:color="000000" w:sz="4" w:space="0"/>
              <w:left w:val="single" w:color="000000" w:sz="4" w:space="0"/>
              <w:bottom w:val="single" w:color="000000" w:sz="4" w:space="0"/>
              <w:right w:val="single" w:color="000000" w:sz="4" w:space="0"/>
            </w:tcBorders>
            <w:noWrap/>
            <w:vAlign w:val="center"/>
          </w:tcPr>
          <w:p w14:paraId="6C77F004">
            <w:pPr>
              <w:ind w:firstLine="0" w:firstLineChars="0"/>
              <w:jc w:val="center"/>
            </w:pPr>
            <w:r>
              <w:rPr>
                <w:rFonts w:hint="eastAsia"/>
              </w:rPr>
              <w:t>0.2</w:t>
            </w:r>
          </w:p>
        </w:tc>
        <w:tc>
          <w:tcPr>
            <w:tcW w:w="1061" w:type="pct"/>
            <w:tcBorders>
              <w:top w:val="single" w:color="000000" w:sz="4" w:space="0"/>
              <w:left w:val="single" w:color="000000" w:sz="4" w:space="0"/>
              <w:bottom w:val="single" w:color="000000" w:sz="4" w:space="0"/>
              <w:right w:val="single" w:color="000000" w:sz="4" w:space="0"/>
            </w:tcBorders>
            <w:noWrap/>
            <w:vAlign w:val="center"/>
          </w:tcPr>
          <w:p w14:paraId="503FAE28">
            <w:pPr>
              <w:ind w:firstLine="0" w:firstLineChars="0"/>
              <w:jc w:val="center"/>
            </w:pPr>
            <w:r>
              <w:rPr>
                <w:rFonts w:hint="eastAsia"/>
              </w:rPr>
              <w:t>3</w:t>
            </w:r>
          </w:p>
        </w:tc>
      </w:tr>
      <w:tr w14:paraId="3EEDA98F">
        <w:tblPrEx>
          <w:tblCellMar>
            <w:top w:w="0" w:type="dxa"/>
            <w:left w:w="108" w:type="dxa"/>
            <w:bottom w:w="0" w:type="dxa"/>
            <w:right w:w="108" w:type="dxa"/>
          </w:tblCellMar>
        </w:tblPrEx>
        <w:trPr>
          <w:trHeight w:val="500" w:hRule="atLeast"/>
          <w:jc w:val="center"/>
        </w:trPr>
        <w:tc>
          <w:tcPr>
            <w:tcW w:w="991" w:type="pct"/>
            <w:tcBorders>
              <w:top w:val="single" w:color="000000" w:sz="4" w:space="0"/>
              <w:left w:val="single" w:color="000000" w:sz="4" w:space="0"/>
              <w:bottom w:val="single" w:color="000000" w:sz="4" w:space="0"/>
              <w:right w:val="single" w:color="000000" w:sz="4" w:space="0"/>
            </w:tcBorders>
            <w:noWrap/>
            <w:vAlign w:val="center"/>
          </w:tcPr>
          <w:p w14:paraId="15311BE9">
            <w:pPr>
              <w:ind w:firstLine="0" w:firstLineChars="0"/>
              <w:jc w:val="center"/>
            </w:pPr>
            <w:r>
              <w:rPr>
                <w:rFonts w:hint="eastAsia"/>
              </w:rPr>
              <w:t>C30</w:t>
            </w:r>
          </w:p>
        </w:tc>
        <w:tc>
          <w:tcPr>
            <w:tcW w:w="1009" w:type="pct"/>
            <w:tcBorders>
              <w:top w:val="single" w:color="000000" w:sz="4" w:space="0"/>
              <w:left w:val="single" w:color="000000" w:sz="4" w:space="0"/>
              <w:bottom w:val="single" w:color="000000" w:sz="4" w:space="0"/>
              <w:right w:val="single" w:color="000000" w:sz="4" w:space="0"/>
            </w:tcBorders>
            <w:noWrap/>
            <w:vAlign w:val="center"/>
          </w:tcPr>
          <w:p w14:paraId="18087178">
            <w:pPr>
              <w:ind w:firstLine="0" w:firstLineChars="0"/>
              <w:jc w:val="center"/>
            </w:pPr>
            <w:r>
              <w:rPr>
                <w:rFonts w:hint="eastAsia"/>
              </w:rPr>
              <w:t>340</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6F5C86F">
            <w:pPr>
              <w:ind w:firstLine="0" w:firstLineChars="0"/>
              <w:jc w:val="center"/>
            </w:pPr>
            <w:r>
              <w:rPr>
                <w:rFonts w:hint="eastAsia"/>
              </w:rPr>
              <w:t>0.45</w:t>
            </w:r>
          </w:p>
        </w:tc>
        <w:tc>
          <w:tcPr>
            <w:tcW w:w="1058" w:type="pct"/>
            <w:tcBorders>
              <w:top w:val="single" w:color="000000" w:sz="4" w:space="0"/>
              <w:left w:val="single" w:color="000000" w:sz="4" w:space="0"/>
              <w:bottom w:val="single" w:color="000000" w:sz="4" w:space="0"/>
              <w:right w:val="single" w:color="000000" w:sz="4" w:space="0"/>
            </w:tcBorders>
            <w:noWrap/>
            <w:vAlign w:val="center"/>
          </w:tcPr>
          <w:p w14:paraId="6E171ADF">
            <w:pPr>
              <w:ind w:firstLine="0" w:firstLineChars="0"/>
              <w:jc w:val="center"/>
            </w:pPr>
            <w:r>
              <w:rPr>
                <w:rFonts w:hint="eastAsia"/>
              </w:rPr>
              <w:t>0.1</w:t>
            </w:r>
          </w:p>
        </w:tc>
        <w:tc>
          <w:tcPr>
            <w:tcW w:w="1061" w:type="pct"/>
            <w:tcBorders>
              <w:top w:val="single" w:color="000000" w:sz="4" w:space="0"/>
              <w:left w:val="single" w:color="000000" w:sz="4" w:space="0"/>
              <w:bottom w:val="single" w:color="000000" w:sz="4" w:space="0"/>
              <w:right w:val="single" w:color="000000" w:sz="4" w:space="0"/>
            </w:tcBorders>
            <w:noWrap/>
            <w:vAlign w:val="center"/>
          </w:tcPr>
          <w:p w14:paraId="076EC0F8">
            <w:pPr>
              <w:ind w:firstLine="0" w:firstLineChars="0"/>
              <w:jc w:val="center"/>
            </w:pPr>
            <w:r>
              <w:rPr>
                <w:rFonts w:hint="eastAsia"/>
              </w:rPr>
              <w:t>2.5</w:t>
            </w:r>
          </w:p>
        </w:tc>
      </w:tr>
    </w:tbl>
    <w:p w14:paraId="3E8EA705">
      <w:pPr>
        <w:ind w:firstLine="597"/>
        <w:rPr>
          <w:rFonts w:hint="eastAsia" w:ascii="仿宋" w:hAnsi="仿宋" w:eastAsia="仿宋" w:cs="仿宋"/>
          <w:sz w:val="28"/>
          <w:szCs w:val="28"/>
        </w:rPr>
      </w:pPr>
      <w:r>
        <w:rPr>
          <w:rFonts w:hint="eastAsia" w:ascii="仿宋" w:hAnsi="仿宋" w:eastAsia="仿宋" w:cs="仿宋"/>
          <w:sz w:val="28"/>
          <w:szCs w:val="28"/>
        </w:rPr>
        <w:t>钢筋采用HPB300光圆钢筋及HRB400带肋钢筋。</w:t>
      </w:r>
    </w:p>
    <w:p w14:paraId="01AA3D04">
      <w:pPr>
        <w:ind w:firstLine="597"/>
        <w:rPr>
          <w:rFonts w:hint="eastAsia" w:ascii="仿宋" w:hAnsi="仿宋" w:eastAsia="仿宋" w:cs="仿宋"/>
          <w:sz w:val="28"/>
          <w:szCs w:val="28"/>
        </w:rPr>
      </w:pPr>
      <w:r>
        <w:rPr>
          <w:rFonts w:hint="eastAsia" w:ascii="仿宋" w:hAnsi="仿宋" w:eastAsia="仿宋" w:cs="仿宋"/>
          <w:sz w:val="28"/>
          <w:szCs w:val="28"/>
        </w:rPr>
        <w:t>所有材料的性能和技术参数均须符合现行相关规范、文件的要求。</w:t>
      </w:r>
    </w:p>
    <w:p w14:paraId="7AF37FE4">
      <w:pPr>
        <w:pStyle w:val="3"/>
        <w:ind w:firstLine="599"/>
        <w:rPr>
          <w:rFonts w:ascii="Times New Roman" w:hAnsi="Times New Roman"/>
        </w:rPr>
      </w:pPr>
      <w:r>
        <w:rPr>
          <w:rFonts w:ascii="Times New Roman" w:hAnsi="Times New Roman"/>
        </w:rPr>
        <w:t>5.2耐久性</w:t>
      </w:r>
    </w:p>
    <w:p w14:paraId="6A7E4BEE">
      <w:pPr>
        <w:ind w:firstLine="597"/>
        <w:rPr>
          <w:rFonts w:hint="eastAsia" w:ascii="仿宋" w:hAnsi="仿宋" w:eastAsia="仿宋" w:cs="仿宋"/>
          <w:sz w:val="28"/>
          <w:szCs w:val="28"/>
        </w:rPr>
      </w:pPr>
      <w:r>
        <w:rPr>
          <w:rFonts w:hint="eastAsia" w:ascii="仿宋" w:hAnsi="仿宋" w:eastAsia="仿宋" w:cs="仿宋"/>
          <w:sz w:val="28"/>
          <w:szCs w:val="28"/>
        </w:rPr>
        <w:t>本项目泵站工程设计使用年限为30年，管道工程设计使用年限为20年，田间道路设计使用年限为10年。</w:t>
      </w:r>
    </w:p>
    <w:p w14:paraId="0A33E9D1">
      <w:pPr>
        <w:ind w:firstLine="597"/>
        <w:rPr>
          <w:rFonts w:hint="eastAsia" w:ascii="仿宋" w:hAnsi="仿宋" w:eastAsia="仿宋" w:cs="仿宋"/>
          <w:sz w:val="28"/>
          <w:szCs w:val="28"/>
        </w:rPr>
      </w:pPr>
      <w:r>
        <w:rPr>
          <w:rFonts w:hint="eastAsia" w:ascii="仿宋" w:hAnsi="仿宋" w:eastAsia="仿宋" w:cs="仿宋"/>
          <w:sz w:val="28"/>
          <w:szCs w:val="28"/>
        </w:rPr>
        <w:t>普通结构混凝土应符合下列条件：处垫层外，混凝土最低强度等级C25，最大水胶比0.50，最大氯离子含量0.2%，最大碱含量3.0kg/m</w:t>
      </w:r>
      <w:r>
        <w:rPr>
          <w:rFonts w:hint="eastAsia" w:ascii="仿宋" w:hAnsi="仿宋" w:eastAsia="仿宋" w:cs="仿宋"/>
          <w:sz w:val="28"/>
          <w:szCs w:val="28"/>
          <w:vertAlign w:val="superscript"/>
        </w:rPr>
        <w:t>3</w:t>
      </w:r>
      <w:r>
        <w:rPr>
          <w:rFonts w:hint="eastAsia" w:ascii="仿宋" w:hAnsi="仿宋" w:eastAsia="仿宋" w:cs="仿宋"/>
          <w:sz w:val="28"/>
          <w:szCs w:val="28"/>
        </w:rPr>
        <w:t>。</w:t>
      </w:r>
    </w:p>
    <w:p w14:paraId="049DB02D">
      <w:pPr>
        <w:ind w:firstLine="597"/>
        <w:rPr>
          <w:sz w:val="28"/>
          <w:szCs w:val="28"/>
        </w:rPr>
      </w:pPr>
      <w:r>
        <w:rPr>
          <w:rFonts w:hint="eastAsia" w:ascii="仿宋" w:hAnsi="仿宋" w:eastAsia="仿宋" w:cs="仿宋"/>
          <w:sz w:val="28"/>
          <w:szCs w:val="28"/>
        </w:rPr>
        <w:t>混凝土构件裂缝控制等级为三级；最大裂缝宽度0.25mm；严寒及寒冷地区的潮湿环境中，结构混凝土应满足抗冻要求；预埋件等应采取可靠的防锈措施；悬臂构件宜悬臂梁——板的结构形式，或在其上表面增设防护层</w:t>
      </w:r>
      <w:r>
        <w:rPr>
          <w:sz w:val="28"/>
          <w:szCs w:val="28"/>
        </w:rPr>
        <w:t>。</w:t>
      </w:r>
    </w:p>
    <w:p w14:paraId="307C5922">
      <w:pPr>
        <w:pStyle w:val="2"/>
        <w:rPr>
          <w:sz w:val="28"/>
          <w:szCs w:val="28"/>
        </w:rPr>
      </w:pPr>
      <w:r>
        <w:rPr>
          <w:rFonts w:hint="eastAsia"/>
          <w:sz w:val="28"/>
          <w:szCs w:val="28"/>
        </w:rPr>
        <w:t>6</w:t>
      </w:r>
      <w:r>
        <w:rPr>
          <w:sz w:val="28"/>
          <w:szCs w:val="28"/>
        </w:rPr>
        <w:t>.施工要求</w:t>
      </w:r>
    </w:p>
    <w:p w14:paraId="2D743C54">
      <w:pPr>
        <w:pStyle w:val="3"/>
        <w:ind w:firstLine="599"/>
        <w:rPr>
          <w:rFonts w:ascii="Times New Roman" w:hAnsi="Times New Roman" w:eastAsia="宋体"/>
          <w:szCs w:val="28"/>
        </w:rPr>
      </w:pPr>
      <w:r>
        <w:rPr>
          <w:rFonts w:hint="eastAsia" w:ascii="Times New Roman" w:hAnsi="Times New Roman" w:eastAsia="宋体"/>
          <w:szCs w:val="28"/>
        </w:rPr>
        <w:t>6</w:t>
      </w:r>
      <w:r>
        <w:rPr>
          <w:rFonts w:ascii="Times New Roman" w:hAnsi="Times New Roman" w:eastAsia="宋体"/>
          <w:szCs w:val="28"/>
        </w:rPr>
        <w:t>.</w:t>
      </w:r>
      <w:r>
        <w:rPr>
          <w:rFonts w:hint="eastAsia" w:ascii="Times New Roman" w:hAnsi="Times New Roman"/>
          <w:szCs w:val="28"/>
        </w:rPr>
        <w:t>1</w:t>
      </w:r>
      <w:r>
        <w:rPr>
          <w:rFonts w:hint="eastAsia" w:ascii="Times New Roman" w:hAnsi="Times New Roman" w:eastAsia="宋体"/>
          <w:szCs w:val="28"/>
        </w:rPr>
        <w:t>管道</w:t>
      </w:r>
      <w:r>
        <w:rPr>
          <w:rFonts w:hint="eastAsia" w:ascii="Times New Roman" w:hAnsi="Times New Roman"/>
          <w:szCs w:val="28"/>
        </w:rPr>
        <w:t>及配套建筑物</w:t>
      </w:r>
      <w:r>
        <w:rPr>
          <w:rFonts w:ascii="Times New Roman" w:hAnsi="Times New Roman" w:eastAsia="宋体"/>
          <w:szCs w:val="28"/>
        </w:rPr>
        <w:t>工程</w:t>
      </w:r>
    </w:p>
    <w:p w14:paraId="5F3B2739">
      <w:pPr>
        <w:pStyle w:val="127"/>
        <w:ind w:firstLine="597"/>
        <w:rPr>
          <w:rFonts w:hint="eastAsia" w:hAnsi="仿宋" w:cs="仿宋"/>
          <w:color w:val="auto"/>
          <w:szCs w:val="28"/>
        </w:rPr>
      </w:pPr>
      <w:r>
        <w:rPr>
          <w:rFonts w:hint="eastAsia" w:hAnsi="仿宋" w:cs="仿宋"/>
          <w:color w:val="auto"/>
          <w:szCs w:val="28"/>
        </w:rPr>
        <w:t>1）管道施工工艺。</w:t>
      </w:r>
    </w:p>
    <w:p w14:paraId="09900B36">
      <w:pPr>
        <w:ind w:firstLine="597"/>
        <w:rPr>
          <w:rFonts w:hint="eastAsia" w:ascii="仿宋" w:hAnsi="仿宋" w:eastAsia="仿宋" w:cs="仿宋"/>
          <w:sz w:val="28"/>
          <w:szCs w:val="28"/>
        </w:rPr>
      </w:pPr>
      <w:r>
        <w:rPr>
          <w:rFonts w:hint="eastAsia" w:ascii="仿宋" w:hAnsi="仿宋" w:eastAsia="仿宋" w:cs="仿宋"/>
          <w:sz w:val="28"/>
          <w:szCs w:val="28"/>
        </w:rPr>
        <w:t>测量放线→开挖沟槽→沟槽基地处理→管道敷设→检查井砌筑→检查验收→闭水试验→管道回填</w:t>
      </w:r>
    </w:p>
    <w:p w14:paraId="48447EE6">
      <w:pPr>
        <w:ind w:firstLine="597"/>
        <w:rPr>
          <w:rFonts w:hint="eastAsia" w:ascii="仿宋" w:hAnsi="仿宋" w:eastAsia="仿宋" w:cs="仿宋"/>
          <w:sz w:val="28"/>
          <w:szCs w:val="28"/>
        </w:rPr>
      </w:pPr>
      <w:r>
        <w:rPr>
          <w:rFonts w:hint="eastAsia" w:ascii="仿宋" w:hAnsi="仿宋" w:eastAsia="仿宋" w:cs="仿宋"/>
          <w:sz w:val="28"/>
          <w:szCs w:val="28"/>
        </w:rPr>
        <w:t>2）沟槽开挖前应</w:t>
      </w:r>
      <w:r>
        <w:rPr>
          <w:rFonts w:ascii="仿宋" w:hAnsi="仿宋" w:eastAsia="仿宋" w:cs="仿宋"/>
          <w:sz w:val="28"/>
          <w:szCs w:val="28"/>
        </w:rPr>
        <w:t>根据设计图纸进行测量放线，确定管道位置</w:t>
      </w:r>
      <w:r>
        <w:rPr>
          <w:rFonts w:hint="eastAsia" w:ascii="仿宋" w:hAnsi="仿宋" w:eastAsia="仿宋" w:cs="仿宋"/>
          <w:sz w:val="28"/>
          <w:szCs w:val="28"/>
        </w:rPr>
        <w:t>及走向。</w:t>
      </w:r>
    </w:p>
    <w:p w14:paraId="00B7CE3F">
      <w:pPr>
        <w:ind w:firstLine="597"/>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沟槽开挖时，应保证沟槽两侧土体稳定，严格控制槽底高程，不得超挖或扰动基面。</w:t>
      </w:r>
    </w:p>
    <w:p w14:paraId="677DA650">
      <w:pPr>
        <w:ind w:firstLine="597"/>
        <w:rPr>
          <w:rFonts w:hint="eastAsia"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管材现场应由人工搬运，搬运时应轻抬轻放。下管可用人工或起重机吊装进行，管材应将插口顺水流方向，承口逆水流方向安装，安装应由下游往上游进行。</w:t>
      </w:r>
    </w:p>
    <w:p w14:paraId="75C4A7C5">
      <w:pPr>
        <w:ind w:firstLine="597"/>
        <w:rPr>
          <w:rFonts w:hint="eastAsia" w:ascii="仿宋" w:hAnsi="仿宋" w:eastAsia="仿宋" w:cs="仿宋"/>
          <w:sz w:val="28"/>
          <w:szCs w:val="28"/>
        </w:rPr>
      </w:pPr>
      <w:r>
        <w:rPr>
          <w:rFonts w:hint="eastAsia" w:ascii="仿宋" w:hAnsi="仿宋" w:eastAsia="仿宋" w:cs="仿宋"/>
          <w:sz w:val="28"/>
          <w:szCs w:val="28"/>
        </w:rPr>
        <w:t>5）施工前应摸排清楚各出户管位置及高程，确保每个出户管都能连接主管道。</w:t>
      </w:r>
    </w:p>
    <w:p w14:paraId="5A6C1CC7">
      <w:pPr>
        <w:pStyle w:val="3"/>
        <w:ind w:firstLine="599"/>
        <w:rPr>
          <w:rFonts w:ascii="Times New Roman" w:hAnsi="Times New Roman"/>
          <w:szCs w:val="28"/>
        </w:rPr>
      </w:pPr>
      <w:r>
        <w:rPr>
          <w:rFonts w:hint="eastAsia" w:ascii="Times New Roman" w:hAnsi="Times New Roman"/>
          <w:szCs w:val="28"/>
        </w:rPr>
        <w:t>6</w:t>
      </w:r>
      <w:r>
        <w:rPr>
          <w:rFonts w:ascii="Times New Roman" w:hAnsi="Times New Roman"/>
          <w:szCs w:val="28"/>
        </w:rPr>
        <w:t>.</w:t>
      </w:r>
      <w:r>
        <w:rPr>
          <w:rFonts w:hint="eastAsia" w:ascii="Times New Roman" w:hAnsi="Times New Roman"/>
          <w:szCs w:val="28"/>
        </w:rPr>
        <w:t>2</w:t>
      </w:r>
      <w:r>
        <w:rPr>
          <w:rFonts w:ascii="Times New Roman" w:hAnsi="Times New Roman"/>
          <w:szCs w:val="28"/>
        </w:rPr>
        <w:t>道路工程</w:t>
      </w:r>
    </w:p>
    <w:p w14:paraId="0098EB05">
      <w:pPr>
        <w:ind w:firstLine="597"/>
        <w:rPr>
          <w:rFonts w:hint="eastAsia" w:ascii="仿宋" w:hAnsi="仿宋" w:eastAsia="仿宋" w:cs="仿宋"/>
          <w:sz w:val="28"/>
          <w:szCs w:val="28"/>
        </w:rPr>
      </w:pPr>
      <w:r>
        <w:rPr>
          <w:rFonts w:hint="eastAsia" w:ascii="仿宋" w:hAnsi="仿宋" w:eastAsia="仿宋" w:cs="仿宋"/>
          <w:sz w:val="28"/>
          <w:szCs w:val="28"/>
        </w:rPr>
        <w:t>1）道路放线时，要保证平、直，需要转弯时，必须采用大于最小半转弯半径弧度。</w:t>
      </w:r>
    </w:p>
    <w:p w14:paraId="057CC170">
      <w:pPr>
        <w:ind w:firstLine="597"/>
        <w:rPr>
          <w:rFonts w:hint="eastAsia" w:ascii="仿宋" w:hAnsi="仿宋" w:eastAsia="仿宋" w:cs="仿宋"/>
          <w:sz w:val="28"/>
          <w:szCs w:val="28"/>
        </w:rPr>
      </w:pPr>
      <w:r>
        <w:rPr>
          <w:rFonts w:hint="eastAsia" w:ascii="仿宋" w:hAnsi="仿宋" w:eastAsia="仿宋" w:cs="仿宋"/>
          <w:sz w:val="28"/>
          <w:szCs w:val="28"/>
        </w:rPr>
        <w:t>2）路基填筑前进行基底平整，选择压路机碾压路基，宜采用“薄填、慢驶、多次”的方法，即：填土层厚度较薄（25~30cm左右），先慢后快，先轻碾后重碾。碾压数据及压实度可根据实验段确定，压实度不小于0.93。</w:t>
      </w:r>
    </w:p>
    <w:p w14:paraId="1E159605">
      <w:pPr>
        <w:spacing w:line="480" w:lineRule="exact"/>
        <w:ind w:firstLine="597"/>
        <w:rPr>
          <w:rFonts w:hint="eastAsia" w:ascii="仿宋" w:hAnsi="仿宋" w:eastAsia="仿宋" w:cs="仿宋"/>
          <w:sz w:val="28"/>
          <w:szCs w:val="28"/>
        </w:rPr>
      </w:pPr>
      <w:r>
        <w:rPr>
          <w:rFonts w:hint="eastAsia" w:ascii="仿宋" w:hAnsi="仿宋" w:eastAsia="仿宋" w:cs="仿宋"/>
          <w:sz w:val="28"/>
          <w:szCs w:val="28"/>
        </w:rPr>
        <w:t>3）泥灰结石层施工建议采用以下施工流程：施工放样→摊铺碎石→铺土→拌和→整形→碾压→检测合格。</w:t>
      </w:r>
    </w:p>
    <w:p w14:paraId="3D2902DC">
      <w:pPr>
        <w:ind w:firstLine="597"/>
        <w:rPr>
          <w:rFonts w:hint="eastAsia" w:ascii="仿宋" w:hAnsi="仿宋" w:eastAsia="仿宋" w:cs="仿宋"/>
          <w:sz w:val="28"/>
          <w:szCs w:val="28"/>
        </w:rPr>
      </w:pPr>
      <w:r>
        <w:rPr>
          <w:rFonts w:hint="eastAsia" w:ascii="仿宋" w:hAnsi="仿宋" w:eastAsia="仿宋" w:cs="仿宋"/>
          <w:sz w:val="28"/>
          <w:szCs w:val="28"/>
        </w:rPr>
        <w:t>A、测量放线</w:t>
      </w:r>
    </w:p>
    <w:p w14:paraId="695F7F95">
      <w:pPr>
        <w:ind w:firstLine="597"/>
        <w:rPr>
          <w:rFonts w:hint="eastAsia" w:ascii="仿宋" w:hAnsi="仿宋" w:eastAsia="仿宋" w:cs="仿宋"/>
          <w:sz w:val="28"/>
          <w:szCs w:val="28"/>
        </w:rPr>
      </w:pPr>
      <w:r>
        <w:rPr>
          <w:rFonts w:hint="eastAsia" w:ascii="仿宋" w:hAnsi="仿宋" w:eastAsia="仿宋" w:cs="仿宋"/>
          <w:sz w:val="28"/>
          <w:szCs w:val="28"/>
        </w:rPr>
        <w:t>根据泥灰结石施工宽度，实际宽度较泥灰结石基层宽出50cm，以保证基层压实质量。</w:t>
      </w:r>
    </w:p>
    <w:p w14:paraId="0FAE6E91">
      <w:pPr>
        <w:numPr>
          <w:ilvl w:val="0"/>
          <w:numId w:val="1"/>
        </w:numPr>
        <w:ind w:firstLine="597"/>
        <w:rPr>
          <w:rFonts w:hint="eastAsia" w:ascii="仿宋" w:hAnsi="仿宋" w:eastAsia="仿宋" w:cs="仿宋"/>
          <w:sz w:val="28"/>
          <w:szCs w:val="28"/>
        </w:rPr>
      </w:pPr>
      <w:r>
        <w:rPr>
          <w:rFonts w:hint="eastAsia" w:ascii="仿宋" w:hAnsi="仿宋" w:eastAsia="仿宋" w:cs="仿宋"/>
          <w:sz w:val="28"/>
          <w:szCs w:val="28"/>
        </w:rPr>
        <w:t>摊铺碎石</w:t>
      </w:r>
    </w:p>
    <w:p w14:paraId="31D478AF">
      <w:pPr>
        <w:ind w:firstLine="597"/>
        <w:rPr>
          <w:rFonts w:hint="eastAsia" w:ascii="仿宋" w:hAnsi="仿宋" w:eastAsia="仿宋" w:cs="仿宋"/>
          <w:sz w:val="28"/>
          <w:szCs w:val="28"/>
        </w:rPr>
      </w:pPr>
      <w:r>
        <w:rPr>
          <w:rFonts w:hint="eastAsia" w:ascii="仿宋" w:hAnsi="仿宋" w:eastAsia="仿宋" w:cs="仿宋"/>
          <w:sz w:val="28"/>
          <w:szCs w:val="28"/>
        </w:rPr>
        <w:t>按松铺厚度（约为压实厚度的1.2倍）一次性均匀铺足，并整平表面，注意做出路拱。</w:t>
      </w:r>
    </w:p>
    <w:p w14:paraId="3F269A68">
      <w:pPr>
        <w:numPr>
          <w:ilvl w:val="0"/>
          <w:numId w:val="1"/>
        </w:numPr>
        <w:ind w:firstLine="597"/>
        <w:rPr>
          <w:rFonts w:hint="eastAsia" w:ascii="仿宋" w:hAnsi="仿宋" w:eastAsia="仿宋" w:cs="仿宋"/>
          <w:sz w:val="28"/>
          <w:szCs w:val="28"/>
        </w:rPr>
      </w:pPr>
      <w:r>
        <w:rPr>
          <w:rFonts w:hint="eastAsia" w:ascii="仿宋" w:hAnsi="仿宋" w:eastAsia="仿宋" w:cs="仿宋"/>
          <w:sz w:val="28"/>
          <w:szCs w:val="28"/>
        </w:rPr>
        <w:t>铺土</w:t>
      </w:r>
    </w:p>
    <w:p w14:paraId="46FE5089">
      <w:pPr>
        <w:ind w:firstLine="597"/>
        <w:rPr>
          <w:rFonts w:hint="eastAsia" w:ascii="仿宋" w:hAnsi="仿宋" w:eastAsia="仿宋" w:cs="仿宋"/>
          <w:sz w:val="28"/>
          <w:szCs w:val="28"/>
        </w:rPr>
      </w:pPr>
      <w:r>
        <w:rPr>
          <w:rFonts w:hint="eastAsia" w:ascii="仿宋" w:hAnsi="仿宋" w:eastAsia="仿宋" w:cs="仿宋"/>
          <w:sz w:val="28"/>
          <w:szCs w:val="28"/>
        </w:rPr>
        <w:t>将规定用量的土，均匀摊铺在碎石层顶。要求使用粘土，并事先将土翻松、翻透、打碎、晾干。</w:t>
      </w:r>
    </w:p>
    <w:p w14:paraId="25647FEC">
      <w:pPr>
        <w:numPr>
          <w:ilvl w:val="0"/>
          <w:numId w:val="1"/>
        </w:numPr>
        <w:ind w:firstLine="597"/>
        <w:rPr>
          <w:rFonts w:hint="eastAsia" w:ascii="仿宋" w:hAnsi="仿宋" w:eastAsia="仿宋" w:cs="仿宋"/>
          <w:sz w:val="28"/>
          <w:szCs w:val="28"/>
        </w:rPr>
      </w:pPr>
      <w:r>
        <w:rPr>
          <w:rFonts w:hint="eastAsia" w:ascii="仿宋" w:hAnsi="仿宋" w:eastAsia="仿宋" w:cs="仿宋"/>
          <w:sz w:val="28"/>
          <w:szCs w:val="28"/>
        </w:rPr>
        <w:t>拌和</w:t>
      </w:r>
    </w:p>
    <w:p w14:paraId="1B8C46A5">
      <w:pPr>
        <w:ind w:firstLine="597"/>
        <w:rPr>
          <w:rFonts w:hint="eastAsia" w:ascii="仿宋" w:hAnsi="仿宋" w:eastAsia="仿宋" w:cs="仿宋"/>
          <w:sz w:val="28"/>
          <w:szCs w:val="28"/>
        </w:rPr>
      </w:pPr>
      <w:r>
        <w:rPr>
          <w:rFonts w:hint="eastAsia" w:ascii="仿宋" w:hAnsi="仿宋" w:eastAsia="仿宋" w:cs="仿宋"/>
          <w:sz w:val="28"/>
          <w:szCs w:val="28"/>
        </w:rPr>
        <w:t>用拖拉机牵引铧犁拌和。缺乏机械时也可用齿耙、铁锹由人工拌和。拌和一遍后，随拌和随洒水，一般翻拌3~4遍，以粘土成浆与碎石粘结在一起为度。</w:t>
      </w:r>
    </w:p>
    <w:p w14:paraId="6F7EED79">
      <w:pPr>
        <w:numPr>
          <w:ilvl w:val="0"/>
          <w:numId w:val="1"/>
        </w:numPr>
        <w:ind w:firstLine="597"/>
        <w:rPr>
          <w:rFonts w:hint="eastAsia" w:ascii="仿宋" w:hAnsi="仿宋" w:eastAsia="仿宋" w:cs="仿宋"/>
          <w:sz w:val="28"/>
          <w:szCs w:val="28"/>
        </w:rPr>
      </w:pPr>
      <w:r>
        <w:rPr>
          <w:rFonts w:hint="eastAsia" w:ascii="仿宋" w:hAnsi="仿宋" w:eastAsia="仿宋" w:cs="仿宋"/>
          <w:sz w:val="28"/>
          <w:szCs w:val="28"/>
        </w:rPr>
        <w:t>整形</w:t>
      </w:r>
    </w:p>
    <w:p w14:paraId="73692A5F">
      <w:pPr>
        <w:ind w:firstLine="597"/>
        <w:rPr>
          <w:rFonts w:hint="eastAsia" w:ascii="仿宋" w:hAnsi="仿宋" w:eastAsia="仿宋" w:cs="仿宋"/>
          <w:sz w:val="28"/>
          <w:szCs w:val="28"/>
        </w:rPr>
      </w:pPr>
      <w:r>
        <w:rPr>
          <w:rFonts w:hint="eastAsia" w:ascii="仿宋" w:hAnsi="仿宋" w:eastAsia="仿宋" w:cs="仿宋"/>
          <w:sz w:val="28"/>
          <w:szCs w:val="28"/>
        </w:rPr>
        <w:t>用平地机或铁锹、齿耙等工具将路面整平，使符合路拱。</w:t>
      </w:r>
    </w:p>
    <w:p w14:paraId="248B829D">
      <w:pPr>
        <w:ind w:firstLine="597"/>
        <w:rPr>
          <w:rFonts w:hint="eastAsia" w:ascii="仿宋" w:hAnsi="仿宋" w:eastAsia="仿宋" w:cs="仿宋"/>
          <w:sz w:val="28"/>
          <w:szCs w:val="28"/>
        </w:rPr>
      </w:pPr>
      <w:r>
        <w:rPr>
          <w:rFonts w:hint="eastAsia" w:ascii="仿宋" w:hAnsi="仿宋" w:eastAsia="仿宋" w:cs="仿宋"/>
          <w:sz w:val="28"/>
          <w:szCs w:val="28"/>
        </w:rPr>
        <w:t>F、碾压</w:t>
      </w:r>
    </w:p>
    <w:p w14:paraId="171E7D81">
      <w:pPr>
        <w:ind w:firstLine="597"/>
        <w:rPr>
          <w:rFonts w:hint="eastAsia" w:ascii="仿宋" w:hAnsi="仿宋" w:eastAsia="仿宋" w:cs="仿宋"/>
          <w:sz w:val="28"/>
          <w:szCs w:val="28"/>
        </w:rPr>
      </w:pPr>
      <w:r>
        <w:rPr>
          <w:rFonts w:hint="eastAsia" w:ascii="仿宋" w:hAnsi="仿宋" w:eastAsia="仿宋" w:cs="仿宋"/>
          <w:sz w:val="28"/>
          <w:szCs w:val="28"/>
        </w:rPr>
        <w:t>采用滚浆法，即在整形后用6~8T压路机洒水碾压，使泥浆上冒，表层石缝中充满一层泥浆即停止碾压。过几小时（干热季节）或1~2天（湿冷季节）后，再用10~12T压路机进行收浆碾压，碾压一遍后，即加洒嵌缝料，再压两边左右，至表面密实稳定无明显轮迹为止。</w:t>
      </w:r>
    </w:p>
    <w:p w14:paraId="07C187BF">
      <w:pPr>
        <w:ind w:firstLine="597"/>
        <w:rPr>
          <w:rFonts w:hint="eastAsia" w:ascii="仿宋" w:hAnsi="仿宋" w:eastAsia="仿宋" w:cs="仿宋"/>
          <w:sz w:val="28"/>
          <w:szCs w:val="28"/>
        </w:rPr>
      </w:pPr>
      <w:r>
        <w:rPr>
          <w:rFonts w:hint="eastAsia" w:ascii="仿宋" w:hAnsi="仿宋" w:eastAsia="仿宋" w:cs="仿宋"/>
          <w:sz w:val="28"/>
          <w:szCs w:val="28"/>
        </w:rPr>
        <w:t>4）混凝土浇筑时须振捣密实，表面收光平滑。混凝土浇筑后需要进行养护。</w:t>
      </w:r>
    </w:p>
    <w:p w14:paraId="2681619C">
      <w:pPr>
        <w:ind w:firstLine="597"/>
        <w:rPr>
          <w:rFonts w:hint="eastAsia" w:ascii="仿宋" w:hAnsi="仿宋" w:eastAsia="仿宋" w:cs="仿宋"/>
          <w:sz w:val="28"/>
          <w:szCs w:val="28"/>
        </w:rPr>
      </w:pPr>
      <w:r>
        <w:rPr>
          <w:rFonts w:hint="eastAsia" w:ascii="仿宋" w:hAnsi="仿宋" w:eastAsia="仿宋" w:cs="仿宋"/>
          <w:sz w:val="28"/>
          <w:szCs w:val="28"/>
        </w:rPr>
        <w:t>5）宽度为4.0m及以上的路面需做拉纹处理，拉槽深度2~4mm，槽宽3~5mm，槽间距15~25mm。</w:t>
      </w:r>
    </w:p>
    <w:p w14:paraId="4C8A727E">
      <w:pPr>
        <w:ind w:firstLine="597"/>
        <w:rPr>
          <w:rFonts w:hint="eastAsia" w:ascii="仿宋" w:hAnsi="仿宋" w:eastAsia="仿宋" w:cs="仿宋"/>
          <w:sz w:val="28"/>
          <w:szCs w:val="28"/>
        </w:rPr>
      </w:pPr>
      <w:r>
        <w:rPr>
          <w:rFonts w:hint="eastAsia" w:ascii="仿宋" w:hAnsi="仿宋" w:eastAsia="仿宋" w:cs="仿宋"/>
          <w:sz w:val="28"/>
          <w:szCs w:val="28"/>
        </w:rPr>
        <w:t>6）道路如遇过路涵管需在路面结构层加钢筋网。</w:t>
      </w:r>
    </w:p>
    <w:p w14:paraId="4132563E">
      <w:pPr>
        <w:pStyle w:val="3"/>
        <w:ind w:firstLine="599"/>
        <w:rPr>
          <w:rFonts w:ascii="Times New Roman" w:hAnsi="Times New Roman"/>
          <w:szCs w:val="28"/>
        </w:rPr>
      </w:pPr>
      <w:r>
        <w:rPr>
          <w:rFonts w:hint="eastAsia" w:ascii="Times New Roman" w:hAnsi="Times New Roman"/>
          <w:szCs w:val="28"/>
        </w:rPr>
        <w:t>6</w:t>
      </w:r>
      <w:r>
        <w:rPr>
          <w:rFonts w:ascii="Times New Roman" w:hAnsi="Times New Roman"/>
          <w:szCs w:val="28"/>
        </w:rPr>
        <w:t>.</w:t>
      </w:r>
      <w:r>
        <w:rPr>
          <w:rFonts w:hint="eastAsia" w:ascii="Times New Roman" w:hAnsi="Times New Roman"/>
          <w:szCs w:val="28"/>
        </w:rPr>
        <w:t>3木桩</w:t>
      </w:r>
      <w:r>
        <w:rPr>
          <w:rFonts w:ascii="Times New Roman" w:hAnsi="Times New Roman"/>
          <w:szCs w:val="28"/>
        </w:rPr>
        <w:t>工程</w:t>
      </w:r>
    </w:p>
    <w:p w14:paraId="6370FF47">
      <w:pPr>
        <w:ind w:firstLine="597"/>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在施工前必须进行桩位放线，确认桩位的准确性和合理性</w:t>
      </w:r>
      <w:r>
        <w:rPr>
          <w:rFonts w:hint="eastAsia" w:ascii="仿宋" w:hAnsi="仿宋" w:eastAsia="仿宋" w:cs="仿宋"/>
          <w:sz w:val="28"/>
          <w:szCs w:val="28"/>
        </w:rPr>
        <w:t>。</w:t>
      </w:r>
    </w:p>
    <w:p w14:paraId="0549B352">
      <w:pPr>
        <w:ind w:firstLine="597"/>
        <w:rPr>
          <w:rFonts w:hint="eastAsia" w:ascii="仿宋" w:hAnsi="仿宋" w:eastAsia="仿宋" w:cs="仿宋"/>
          <w:sz w:val="28"/>
          <w:szCs w:val="28"/>
        </w:rPr>
      </w:pPr>
      <w:r>
        <w:rPr>
          <w:rFonts w:hint="eastAsia" w:ascii="仿宋" w:hAnsi="仿宋" w:eastAsia="仿宋" w:cs="仿宋"/>
          <w:sz w:val="28"/>
          <w:szCs w:val="28"/>
        </w:rPr>
        <w:t>2）打桩前需对实施段进行整坡，清杂。</w:t>
      </w:r>
    </w:p>
    <w:p w14:paraId="7FFDD73E">
      <w:pPr>
        <w:pStyle w:val="3"/>
        <w:ind w:firstLine="599"/>
        <w:rPr>
          <w:rFonts w:ascii="Times New Roman" w:hAnsi="Times New Roman" w:eastAsia="宋体"/>
        </w:rPr>
      </w:pPr>
      <w:r>
        <w:rPr>
          <w:rFonts w:hint="eastAsia" w:ascii="Times New Roman" w:hAnsi="Times New Roman"/>
        </w:rPr>
        <w:t>6.4栈道钢筋混凝土方桩</w:t>
      </w:r>
    </w:p>
    <w:p w14:paraId="483753F8">
      <w:pPr>
        <w:pStyle w:val="130"/>
        <w:ind w:firstLine="597"/>
        <w:rPr>
          <w:color w:val="0000FF"/>
        </w:rPr>
      </w:pPr>
      <w:bookmarkStart w:id="0" w:name="_Toc21418043"/>
      <w:r>
        <w:rPr>
          <w:rFonts w:hint="eastAsia"/>
          <w:color w:val="0000FF"/>
        </w:rPr>
        <w:t>（1）施工测量控制</w:t>
      </w:r>
      <w:bookmarkEnd w:id="0"/>
    </w:p>
    <w:p w14:paraId="0D9D2C6F">
      <w:pPr>
        <w:pStyle w:val="130"/>
        <w:ind w:firstLine="597"/>
        <w:rPr>
          <w:color w:val="0000FF"/>
        </w:rPr>
      </w:pPr>
      <w:r>
        <w:rPr>
          <w:rFonts w:hint="eastAsia"/>
          <w:color w:val="0000FF"/>
        </w:rPr>
        <w:t>施工单位需设置测放组，由专职测量工程师负责整个工程测量放样工作，在开工前，校正好用于本工程的各种仪器及测量工具，认真熟悉施工图纸，做好施工测量的一切准备工作，开工后立即对工程原始资料进行校对复测，并将成果报监理工程师确认，原始资料经监理工程师确认后，根据确认的资料，在施工现场布设测量控制网，测量控制网布设要安全可靠，便于测放，通视，同时在施工中做好保护，设置可识别标志，防止破坏，直至工程结束。</w:t>
      </w:r>
    </w:p>
    <w:p w14:paraId="61BE61E8">
      <w:pPr>
        <w:pStyle w:val="130"/>
        <w:ind w:firstLine="597"/>
        <w:rPr>
          <w:color w:val="0000FF"/>
        </w:rPr>
      </w:pPr>
      <w:r>
        <w:rPr>
          <w:rFonts w:hint="eastAsia"/>
          <w:color w:val="0000FF"/>
        </w:rPr>
        <w:t>码头基线采用全站仪布设。用经纬仪测量控制码头轴线及前沿线位置，用水准仪控制各结构面高程。</w:t>
      </w:r>
    </w:p>
    <w:p w14:paraId="5FBEFB56">
      <w:pPr>
        <w:pStyle w:val="130"/>
        <w:ind w:firstLine="597"/>
        <w:rPr>
          <w:color w:val="0000FF"/>
        </w:rPr>
      </w:pPr>
      <w:bookmarkStart w:id="1" w:name="_Toc21418044"/>
      <w:r>
        <w:rPr>
          <w:rFonts w:hint="eastAsia"/>
          <w:color w:val="0000FF"/>
        </w:rPr>
        <w:t>（2）工程材料试验</w:t>
      </w:r>
      <w:bookmarkEnd w:id="1"/>
    </w:p>
    <w:p w14:paraId="3CBD0E53">
      <w:pPr>
        <w:pStyle w:val="130"/>
        <w:ind w:firstLine="597"/>
        <w:rPr>
          <w:color w:val="0000FF"/>
        </w:rPr>
      </w:pPr>
      <w:r>
        <w:rPr>
          <w:rFonts w:hint="eastAsia"/>
          <w:color w:val="0000FF"/>
        </w:rPr>
        <w:t>开工前，施工单位须对工程所使用的原材料进行试验，包括:钢筋、水泥、黄砂、石子等，配合比试验，包括砼（各种标号）及水泥砂浆配合比试验，其中亦包括用量较大的商品砼各种试验，并测量土的最佳含水量，最佳密实度，最大干密度，所有检测结果按规定及时报监理工程师审查、认可。</w:t>
      </w:r>
    </w:p>
    <w:p w14:paraId="3BDB5833">
      <w:pPr>
        <w:pStyle w:val="130"/>
        <w:ind w:firstLine="597"/>
        <w:rPr>
          <w:color w:val="0000FF"/>
        </w:rPr>
      </w:pPr>
      <w:bookmarkStart w:id="2" w:name="_Toc21418045"/>
      <w:r>
        <w:rPr>
          <w:rFonts w:hint="eastAsia"/>
          <w:color w:val="0000FF"/>
        </w:rPr>
        <w:t>（3）施工工艺总流程</w:t>
      </w:r>
      <w:bookmarkEnd w:id="2"/>
    </w:p>
    <w:p w14:paraId="68D37265">
      <w:pPr>
        <w:pStyle w:val="130"/>
        <w:ind w:firstLine="597"/>
        <w:jc w:val="center"/>
        <w:rPr>
          <w:color w:val="0000FF"/>
        </w:rPr>
      </w:pPr>
      <w:r>
        <w:rPr>
          <w:rFonts w:hint="eastAsia"/>
          <w:color w:val="0000FF"/>
        </w:rPr>
        <w:drawing>
          <wp:inline distT="0" distB="0" distL="114300" distR="114300">
            <wp:extent cx="3087370" cy="1934210"/>
            <wp:effectExtent l="0" t="0" r="11430" b="8890"/>
            <wp:docPr id="1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4"/>
                    <pic:cNvPicPr>
                      <a:picLocks noChangeAspect="1"/>
                    </pic:cNvPicPr>
                  </pic:nvPicPr>
                  <pic:blipFill>
                    <a:blip r:embed="rId9"/>
                    <a:srcRect b="56685"/>
                    <a:stretch>
                      <a:fillRect/>
                    </a:stretch>
                  </pic:blipFill>
                  <pic:spPr>
                    <a:xfrm>
                      <a:off x="0" y="0"/>
                      <a:ext cx="3087370" cy="1934210"/>
                    </a:xfrm>
                    <a:prstGeom prst="rect">
                      <a:avLst/>
                    </a:prstGeom>
                    <a:noFill/>
                    <a:ln>
                      <a:noFill/>
                    </a:ln>
                  </pic:spPr>
                </pic:pic>
              </a:graphicData>
            </a:graphic>
          </wp:inline>
        </w:drawing>
      </w:r>
    </w:p>
    <w:p w14:paraId="12D86CAD">
      <w:pPr>
        <w:pStyle w:val="130"/>
        <w:ind w:firstLine="597"/>
        <w:rPr>
          <w:color w:val="0000FF"/>
        </w:rPr>
      </w:pPr>
      <w:bookmarkStart w:id="3" w:name="_Toc21418046"/>
      <w:r>
        <w:rPr>
          <w:rFonts w:hint="eastAsia"/>
          <w:color w:val="0000FF"/>
        </w:rPr>
        <w:t>（4）</w:t>
      </w:r>
      <w:bookmarkStart w:id="4" w:name="_Hlk20417677"/>
      <w:r>
        <w:rPr>
          <w:rFonts w:hint="eastAsia"/>
          <w:color w:val="0000FF"/>
        </w:rPr>
        <w:t>预制混凝土方桩施工</w:t>
      </w:r>
      <w:bookmarkEnd w:id="3"/>
      <w:bookmarkEnd w:id="4"/>
    </w:p>
    <w:p w14:paraId="13CDF67A">
      <w:pPr>
        <w:pStyle w:val="130"/>
        <w:ind w:firstLine="597"/>
        <w:rPr>
          <w:color w:val="0000FF"/>
        </w:rPr>
      </w:pPr>
      <w:r>
        <w:rPr>
          <w:rFonts w:hint="eastAsia"/>
          <w:color w:val="0000FF"/>
        </w:rPr>
        <w:t>预制构件所用的钢筋、钢丝等材料的品种、规格和数量应满足设计要求其性能和质量,应符合国家现行有关标准的规定。钢丝应符合现行国家标准《预应力混凝土用钢丝》（GB/T5223）的规定；螺纹钢筋应符合现行国家标准《预应力混凝土用螺纹钢筋》（CB/T20065）的规定。</w:t>
      </w:r>
    </w:p>
    <w:p w14:paraId="5F7560B0">
      <w:pPr>
        <w:pStyle w:val="130"/>
        <w:ind w:firstLine="597"/>
        <w:rPr>
          <w:color w:val="0000FF"/>
        </w:rPr>
      </w:pPr>
      <w:r>
        <w:rPr>
          <w:rFonts w:hint="eastAsia"/>
          <w:color w:val="0000FF"/>
        </w:rPr>
        <w:t>a.桩身混凝土浇筑必须连续进行,不得留有施工缝。</w:t>
      </w:r>
    </w:p>
    <w:p w14:paraId="350B2CE2">
      <w:pPr>
        <w:pStyle w:val="130"/>
        <w:ind w:firstLine="597"/>
        <w:rPr>
          <w:color w:val="0000FF"/>
        </w:rPr>
      </w:pPr>
      <w:r>
        <w:rPr>
          <w:rFonts w:hint="eastAsia"/>
          <w:color w:val="0000FF"/>
        </w:rPr>
        <w:t>b.主筋应对称切割。</w:t>
      </w:r>
    </w:p>
    <w:p w14:paraId="08C5B7FE">
      <w:pPr>
        <w:pStyle w:val="130"/>
        <w:ind w:firstLine="597"/>
        <w:rPr>
          <w:color w:val="0000FF"/>
        </w:rPr>
      </w:pPr>
      <w:r>
        <w:rPr>
          <w:rFonts w:hint="eastAsia"/>
          <w:color w:val="0000FF"/>
        </w:rPr>
        <w:t>c.预制混凝土方桩的偏差应符合下表规定。</w:t>
      </w:r>
    </w:p>
    <w:p w14:paraId="24302F3E">
      <w:pPr>
        <w:pStyle w:val="130"/>
        <w:ind w:firstLine="597"/>
        <w:rPr>
          <w:color w:val="0000FF"/>
        </w:rPr>
      </w:pPr>
      <w:r>
        <w:rPr>
          <w:rFonts w:hint="eastAsia"/>
          <w:color w:val="0000FF"/>
        </w:rPr>
        <w:t>表8.4-2：预制混凝土方桩的偏差允许值</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4231"/>
        <w:gridCol w:w="4229"/>
      </w:tblGrid>
      <w:tr w14:paraId="70E8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02" w:type="pct"/>
            <w:vAlign w:val="center"/>
          </w:tcPr>
          <w:p w14:paraId="67911831">
            <w:pPr>
              <w:pStyle w:val="130"/>
              <w:ind w:firstLine="298" w:firstLineChars="100"/>
              <w:rPr>
                <w:color w:val="0000FF"/>
              </w:rPr>
            </w:pPr>
            <w:r>
              <w:rPr>
                <w:rFonts w:hint="eastAsia"/>
                <w:color w:val="0000FF"/>
              </w:rPr>
              <w:t>序号</w:t>
            </w:r>
          </w:p>
        </w:tc>
        <w:tc>
          <w:tcPr>
            <w:tcW w:w="2099" w:type="pct"/>
            <w:vAlign w:val="center"/>
          </w:tcPr>
          <w:p w14:paraId="4459F242">
            <w:pPr>
              <w:pStyle w:val="130"/>
              <w:ind w:firstLine="597"/>
              <w:rPr>
                <w:color w:val="0000FF"/>
              </w:rPr>
            </w:pPr>
            <w:r>
              <w:rPr>
                <w:rFonts w:hint="eastAsia"/>
                <w:color w:val="0000FF"/>
              </w:rPr>
              <w:t>项目</w:t>
            </w:r>
          </w:p>
        </w:tc>
        <w:tc>
          <w:tcPr>
            <w:tcW w:w="2098" w:type="pct"/>
            <w:vAlign w:val="center"/>
          </w:tcPr>
          <w:p w14:paraId="49AF9B61">
            <w:pPr>
              <w:pStyle w:val="130"/>
              <w:ind w:firstLine="597"/>
              <w:rPr>
                <w:color w:val="0000FF"/>
              </w:rPr>
            </w:pPr>
            <w:r>
              <w:rPr>
                <w:rFonts w:hint="eastAsia"/>
                <w:color w:val="0000FF"/>
              </w:rPr>
              <w:t>允许偏差（mm）</w:t>
            </w:r>
          </w:p>
        </w:tc>
      </w:tr>
      <w:tr w14:paraId="313C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pct"/>
            <w:vAlign w:val="center"/>
          </w:tcPr>
          <w:p w14:paraId="27EAF320">
            <w:pPr>
              <w:pStyle w:val="130"/>
              <w:ind w:firstLine="597"/>
              <w:rPr>
                <w:color w:val="0000FF"/>
              </w:rPr>
            </w:pPr>
            <w:r>
              <w:rPr>
                <w:rFonts w:hint="eastAsia"/>
                <w:color w:val="0000FF"/>
              </w:rPr>
              <w:t>1</w:t>
            </w:r>
          </w:p>
        </w:tc>
        <w:tc>
          <w:tcPr>
            <w:tcW w:w="2099" w:type="pct"/>
            <w:vAlign w:val="center"/>
          </w:tcPr>
          <w:p w14:paraId="7B7DC918">
            <w:pPr>
              <w:pStyle w:val="130"/>
              <w:ind w:firstLine="597"/>
              <w:rPr>
                <w:color w:val="0000FF"/>
              </w:rPr>
            </w:pPr>
            <w:r>
              <w:rPr>
                <w:rFonts w:hint="eastAsia"/>
                <w:color w:val="0000FF"/>
              </w:rPr>
              <w:t>长度</w:t>
            </w:r>
          </w:p>
        </w:tc>
        <w:tc>
          <w:tcPr>
            <w:tcW w:w="2098" w:type="pct"/>
            <w:vAlign w:val="center"/>
          </w:tcPr>
          <w:p w14:paraId="23989FF2">
            <w:pPr>
              <w:pStyle w:val="130"/>
              <w:ind w:firstLine="597"/>
              <w:rPr>
                <w:color w:val="0000FF"/>
              </w:rPr>
            </w:pPr>
            <w:r>
              <w:rPr>
                <w:rFonts w:hint="eastAsia"/>
                <w:color w:val="0000FF"/>
              </w:rPr>
              <w:t>±50</w:t>
            </w:r>
          </w:p>
        </w:tc>
      </w:tr>
      <w:tr w14:paraId="581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pct"/>
            <w:vAlign w:val="center"/>
          </w:tcPr>
          <w:p w14:paraId="05C6B1F7">
            <w:pPr>
              <w:pStyle w:val="130"/>
              <w:ind w:firstLine="597"/>
              <w:rPr>
                <w:color w:val="0000FF"/>
              </w:rPr>
            </w:pPr>
            <w:r>
              <w:rPr>
                <w:rFonts w:hint="eastAsia"/>
                <w:color w:val="0000FF"/>
              </w:rPr>
              <w:t>2</w:t>
            </w:r>
          </w:p>
        </w:tc>
        <w:tc>
          <w:tcPr>
            <w:tcW w:w="2099" w:type="pct"/>
            <w:vAlign w:val="center"/>
          </w:tcPr>
          <w:p w14:paraId="32A5FA77">
            <w:pPr>
              <w:pStyle w:val="130"/>
              <w:ind w:firstLine="597"/>
              <w:rPr>
                <w:color w:val="0000FF"/>
              </w:rPr>
            </w:pPr>
            <w:r>
              <w:rPr>
                <w:rFonts w:hint="eastAsia"/>
                <w:color w:val="0000FF"/>
              </w:rPr>
              <w:t>横截面边长</w:t>
            </w:r>
          </w:p>
        </w:tc>
        <w:tc>
          <w:tcPr>
            <w:tcW w:w="2098" w:type="pct"/>
            <w:vAlign w:val="center"/>
          </w:tcPr>
          <w:p w14:paraId="248687BD">
            <w:pPr>
              <w:pStyle w:val="130"/>
              <w:ind w:firstLine="597"/>
              <w:rPr>
                <w:color w:val="0000FF"/>
              </w:rPr>
            </w:pPr>
            <w:r>
              <w:rPr>
                <w:rFonts w:hint="eastAsia"/>
                <w:color w:val="0000FF"/>
              </w:rPr>
              <w:t>±5</w:t>
            </w:r>
          </w:p>
        </w:tc>
      </w:tr>
      <w:tr w14:paraId="6C73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pct"/>
            <w:vAlign w:val="center"/>
          </w:tcPr>
          <w:p w14:paraId="4DA2FE46">
            <w:pPr>
              <w:pStyle w:val="130"/>
              <w:ind w:firstLine="597"/>
              <w:rPr>
                <w:color w:val="0000FF"/>
              </w:rPr>
            </w:pPr>
            <w:r>
              <w:rPr>
                <w:rFonts w:hint="eastAsia"/>
                <w:color w:val="0000FF"/>
              </w:rPr>
              <w:t>3</w:t>
            </w:r>
          </w:p>
        </w:tc>
        <w:tc>
          <w:tcPr>
            <w:tcW w:w="2099" w:type="pct"/>
            <w:vAlign w:val="center"/>
          </w:tcPr>
          <w:p w14:paraId="0101B301">
            <w:pPr>
              <w:pStyle w:val="130"/>
              <w:ind w:firstLine="597"/>
              <w:rPr>
                <w:color w:val="0000FF"/>
              </w:rPr>
            </w:pPr>
            <w:r>
              <w:rPr>
                <w:rFonts w:hint="eastAsia"/>
                <w:color w:val="0000FF"/>
              </w:rPr>
              <w:t>抹面平整度</w:t>
            </w:r>
          </w:p>
        </w:tc>
        <w:tc>
          <w:tcPr>
            <w:tcW w:w="2098" w:type="pct"/>
            <w:vAlign w:val="center"/>
          </w:tcPr>
          <w:p w14:paraId="393CCC3C">
            <w:pPr>
              <w:pStyle w:val="130"/>
              <w:ind w:firstLine="597"/>
              <w:rPr>
                <w:color w:val="0000FF"/>
              </w:rPr>
            </w:pPr>
            <w:r>
              <w:rPr>
                <w:rFonts w:hint="eastAsia"/>
                <w:color w:val="0000FF"/>
              </w:rPr>
              <w:t>8</w:t>
            </w:r>
          </w:p>
        </w:tc>
      </w:tr>
      <w:tr w14:paraId="1A00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pct"/>
            <w:vAlign w:val="center"/>
          </w:tcPr>
          <w:p w14:paraId="36651C37">
            <w:pPr>
              <w:pStyle w:val="130"/>
              <w:ind w:firstLine="597"/>
              <w:rPr>
                <w:color w:val="0000FF"/>
              </w:rPr>
            </w:pPr>
            <w:r>
              <w:rPr>
                <w:rFonts w:hint="eastAsia"/>
                <w:color w:val="0000FF"/>
              </w:rPr>
              <w:t>4</w:t>
            </w:r>
          </w:p>
        </w:tc>
        <w:tc>
          <w:tcPr>
            <w:tcW w:w="2099" w:type="pct"/>
            <w:vAlign w:val="center"/>
          </w:tcPr>
          <w:p w14:paraId="5FF83C53">
            <w:pPr>
              <w:pStyle w:val="130"/>
              <w:ind w:firstLine="597"/>
              <w:rPr>
                <w:color w:val="0000FF"/>
              </w:rPr>
            </w:pPr>
            <w:r>
              <w:rPr>
                <w:rFonts w:hint="eastAsia"/>
                <w:color w:val="0000FF"/>
              </w:rPr>
              <w:t>桩尖对桩纵轴偏移</w:t>
            </w:r>
          </w:p>
        </w:tc>
        <w:tc>
          <w:tcPr>
            <w:tcW w:w="2098" w:type="pct"/>
            <w:vAlign w:val="center"/>
          </w:tcPr>
          <w:p w14:paraId="512F2DE5">
            <w:pPr>
              <w:pStyle w:val="130"/>
              <w:ind w:firstLine="597"/>
              <w:rPr>
                <w:color w:val="0000FF"/>
              </w:rPr>
            </w:pPr>
            <w:r>
              <w:rPr>
                <w:rFonts w:hint="eastAsia"/>
                <w:color w:val="0000FF"/>
              </w:rPr>
              <w:t>15</w:t>
            </w:r>
          </w:p>
        </w:tc>
      </w:tr>
      <w:tr w14:paraId="422B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pct"/>
            <w:vAlign w:val="center"/>
          </w:tcPr>
          <w:p w14:paraId="1F494A6D">
            <w:pPr>
              <w:pStyle w:val="130"/>
              <w:ind w:firstLine="597"/>
              <w:rPr>
                <w:color w:val="0000FF"/>
              </w:rPr>
            </w:pPr>
            <w:r>
              <w:rPr>
                <w:rFonts w:hint="eastAsia"/>
                <w:color w:val="0000FF"/>
              </w:rPr>
              <w:t>5</w:t>
            </w:r>
          </w:p>
        </w:tc>
        <w:tc>
          <w:tcPr>
            <w:tcW w:w="2099" w:type="pct"/>
            <w:vAlign w:val="center"/>
          </w:tcPr>
          <w:p w14:paraId="59B90A3E">
            <w:pPr>
              <w:pStyle w:val="130"/>
              <w:ind w:firstLine="597"/>
              <w:rPr>
                <w:color w:val="0000FF"/>
              </w:rPr>
            </w:pPr>
            <w:r>
              <w:rPr>
                <w:rFonts w:hint="eastAsia"/>
                <w:color w:val="0000FF"/>
              </w:rPr>
              <w:t>桩顶面倾斜</w:t>
            </w:r>
          </w:p>
        </w:tc>
        <w:tc>
          <w:tcPr>
            <w:tcW w:w="2098" w:type="pct"/>
            <w:vAlign w:val="center"/>
          </w:tcPr>
          <w:p w14:paraId="2ACAD3C7">
            <w:pPr>
              <w:pStyle w:val="130"/>
              <w:ind w:firstLine="597"/>
              <w:rPr>
                <w:color w:val="0000FF"/>
              </w:rPr>
            </w:pPr>
            <w:r>
              <w:rPr>
                <w:rFonts w:hint="eastAsia"/>
                <w:color w:val="0000FF"/>
              </w:rPr>
              <w:t>b/100</w:t>
            </w:r>
          </w:p>
        </w:tc>
      </w:tr>
      <w:tr w14:paraId="549F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pct"/>
            <w:vAlign w:val="center"/>
          </w:tcPr>
          <w:p w14:paraId="0F1BFF53">
            <w:pPr>
              <w:pStyle w:val="130"/>
              <w:ind w:firstLine="597"/>
              <w:rPr>
                <w:color w:val="0000FF"/>
              </w:rPr>
            </w:pPr>
            <w:r>
              <w:rPr>
                <w:rFonts w:hint="eastAsia"/>
                <w:color w:val="0000FF"/>
              </w:rPr>
              <w:t>6</w:t>
            </w:r>
          </w:p>
        </w:tc>
        <w:tc>
          <w:tcPr>
            <w:tcW w:w="2099" w:type="pct"/>
            <w:vAlign w:val="center"/>
          </w:tcPr>
          <w:p w14:paraId="401ED7B6">
            <w:pPr>
              <w:pStyle w:val="130"/>
              <w:ind w:firstLine="597"/>
              <w:rPr>
                <w:color w:val="0000FF"/>
              </w:rPr>
            </w:pPr>
            <w:r>
              <w:rPr>
                <w:rFonts w:hint="eastAsia"/>
                <w:color w:val="0000FF"/>
              </w:rPr>
              <w:t>桩顶外伸钢筋长度</w:t>
            </w:r>
          </w:p>
        </w:tc>
        <w:tc>
          <w:tcPr>
            <w:tcW w:w="2098" w:type="pct"/>
            <w:vAlign w:val="center"/>
          </w:tcPr>
          <w:p w14:paraId="7A4642AC">
            <w:pPr>
              <w:pStyle w:val="130"/>
              <w:ind w:firstLine="597"/>
              <w:rPr>
                <w:color w:val="0000FF"/>
              </w:rPr>
            </w:pPr>
            <w:r>
              <w:rPr>
                <w:rFonts w:hint="eastAsia"/>
                <w:color w:val="0000FF"/>
              </w:rPr>
              <w:t>+20mm</w:t>
            </w:r>
          </w:p>
          <w:p w14:paraId="7478AD5A">
            <w:pPr>
              <w:pStyle w:val="130"/>
              <w:ind w:firstLine="597"/>
              <w:rPr>
                <w:color w:val="0000FF"/>
              </w:rPr>
            </w:pPr>
            <w:r>
              <w:rPr>
                <w:rFonts w:hint="eastAsia"/>
                <w:color w:val="0000FF"/>
              </w:rPr>
              <w:t>-10mm</w:t>
            </w:r>
          </w:p>
        </w:tc>
      </w:tr>
      <w:tr w14:paraId="47BA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pct"/>
            <w:vAlign w:val="center"/>
          </w:tcPr>
          <w:p w14:paraId="7F41EF36">
            <w:pPr>
              <w:pStyle w:val="130"/>
              <w:ind w:firstLine="597"/>
              <w:rPr>
                <w:color w:val="0000FF"/>
              </w:rPr>
            </w:pPr>
            <w:r>
              <w:rPr>
                <w:rFonts w:hint="eastAsia"/>
                <w:color w:val="0000FF"/>
              </w:rPr>
              <w:t>7</w:t>
            </w:r>
          </w:p>
        </w:tc>
        <w:tc>
          <w:tcPr>
            <w:tcW w:w="2099" w:type="pct"/>
            <w:vAlign w:val="center"/>
          </w:tcPr>
          <w:p w14:paraId="1F82F47D">
            <w:pPr>
              <w:pStyle w:val="130"/>
              <w:ind w:firstLine="597"/>
              <w:rPr>
                <w:color w:val="0000FF"/>
              </w:rPr>
            </w:pPr>
            <w:r>
              <w:rPr>
                <w:rFonts w:hint="eastAsia"/>
                <w:color w:val="0000FF"/>
              </w:rPr>
              <w:t>混凝土保护层厚度</w:t>
            </w:r>
          </w:p>
        </w:tc>
        <w:tc>
          <w:tcPr>
            <w:tcW w:w="2098" w:type="pct"/>
            <w:vAlign w:val="center"/>
          </w:tcPr>
          <w:p w14:paraId="7DEA1B46">
            <w:pPr>
              <w:pStyle w:val="130"/>
              <w:ind w:firstLine="597"/>
              <w:rPr>
                <w:color w:val="0000FF"/>
              </w:rPr>
            </w:pPr>
            <w:r>
              <w:rPr>
                <w:rFonts w:hint="eastAsia"/>
                <w:color w:val="0000FF"/>
              </w:rPr>
              <w:t>+10mm</w:t>
            </w:r>
          </w:p>
          <w:p w14:paraId="192551A8">
            <w:pPr>
              <w:pStyle w:val="130"/>
              <w:ind w:firstLine="597"/>
              <w:rPr>
                <w:color w:val="0000FF"/>
              </w:rPr>
            </w:pPr>
            <w:r>
              <w:rPr>
                <w:rFonts w:hint="eastAsia"/>
                <w:color w:val="0000FF"/>
              </w:rPr>
              <w:t>0</w:t>
            </w:r>
          </w:p>
        </w:tc>
      </w:tr>
      <w:tr w14:paraId="414C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pct"/>
            <w:vAlign w:val="center"/>
          </w:tcPr>
          <w:p w14:paraId="5102C87C">
            <w:pPr>
              <w:pStyle w:val="130"/>
              <w:ind w:firstLine="597"/>
              <w:rPr>
                <w:color w:val="0000FF"/>
              </w:rPr>
            </w:pPr>
            <w:r>
              <w:rPr>
                <w:rFonts w:hint="eastAsia"/>
                <w:color w:val="0000FF"/>
              </w:rPr>
              <w:t>8</w:t>
            </w:r>
          </w:p>
        </w:tc>
        <w:tc>
          <w:tcPr>
            <w:tcW w:w="2099" w:type="pct"/>
            <w:vAlign w:val="center"/>
          </w:tcPr>
          <w:p w14:paraId="72D21C21">
            <w:pPr>
              <w:pStyle w:val="130"/>
              <w:ind w:firstLine="597"/>
              <w:rPr>
                <w:color w:val="0000FF"/>
              </w:rPr>
            </w:pPr>
            <w:r>
              <w:rPr>
                <w:rFonts w:hint="eastAsia"/>
                <w:color w:val="0000FF"/>
              </w:rPr>
              <w:t>桩纵轴线的弯曲矢高</w:t>
            </w:r>
          </w:p>
        </w:tc>
        <w:tc>
          <w:tcPr>
            <w:tcW w:w="2098" w:type="pct"/>
            <w:vAlign w:val="center"/>
          </w:tcPr>
          <w:p w14:paraId="018E0B17">
            <w:pPr>
              <w:pStyle w:val="130"/>
              <w:ind w:firstLine="597"/>
              <w:rPr>
                <w:color w:val="0000FF"/>
              </w:rPr>
            </w:pPr>
            <w:r>
              <w:rPr>
                <w:rFonts w:hint="eastAsia"/>
                <w:color w:val="0000FF"/>
              </w:rPr>
              <w:t>0.1%L且不大于20mm</w:t>
            </w:r>
          </w:p>
        </w:tc>
      </w:tr>
    </w:tbl>
    <w:p w14:paraId="1E1FF43B">
      <w:pPr>
        <w:pStyle w:val="130"/>
        <w:ind w:firstLine="597"/>
        <w:rPr>
          <w:color w:val="0000FF"/>
        </w:rPr>
      </w:pPr>
      <w:r>
        <w:rPr>
          <w:rFonts w:hint="eastAsia"/>
          <w:color w:val="0000FF"/>
        </w:rPr>
        <w:t>d.预制混凝土方桩的质量应符合下列要求。</w:t>
      </w:r>
    </w:p>
    <w:p w14:paraId="4AE94251">
      <w:pPr>
        <w:pStyle w:val="130"/>
        <w:ind w:firstLine="597"/>
        <w:rPr>
          <w:color w:val="0000FF"/>
        </w:rPr>
      </w:pPr>
      <w:r>
        <w:rPr>
          <w:rFonts w:hint="eastAsia"/>
          <w:color w:val="0000FF"/>
        </w:rPr>
        <w:t>桩身表面干缩裂缝宽度不得超过0.2mm,深度不得超过20mm,裂缝长度不得超过1/2桩宽。</w:t>
      </w:r>
    </w:p>
    <w:p w14:paraId="71A1F0D1">
      <w:pPr>
        <w:pStyle w:val="130"/>
        <w:ind w:firstLine="597"/>
        <w:rPr>
          <w:color w:val="0000FF"/>
        </w:rPr>
      </w:pPr>
      <w:r>
        <w:rPr>
          <w:rFonts w:hint="eastAsia"/>
          <w:color w:val="0000FF"/>
        </w:rPr>
        <w:t>e.桩身缺陷的允许值应符合下列要求</w:t>
      </w:r>
    </w:p>
    <w:p w14:paraId="6CA0887F">
      <w:pPr>
        <w:pStyle w:val="130"/>
        <w:ind w:firstLine="597"/>
        <w:rPr>
          <w:color w:val="0000FF"/>
        </w:rPr>
      </w:pPr>
      <w:r>
        <w:rPr>
          <w:rFonts w:hint="eastAsia"/>
          <w:color w:val="0000FF"/>
        </w:rPr>
        <w:t>桩表面的蜂窝、麻面和气孔的深度不超过5mm,且在每个面上所占面积的总和不超过该面面积的0.5%；沿边缘棱角破损的深度不超过5mm,且每10m长的边棱角上只有一处破损,在根桩上边棱破损总长度不超500mm。</w:t>
      </w:r>
    </w:p>
    <w:p w14:paraId="65A152AA">
      <w:pPr>
        <w:pStyle w:val="130"/>
        <w:ind w:firstLine="597"/>
        <w:rPr>
          <w:color w:val="0000FF"/>
        </w:rPr>
      </w:pPr>
      <w:r>
        <w:rPr>
          <w:rFonts w:hint="eastAsia"/>
          <w:color w:val="0000FF"/>
        </w:rPr>
        <w:t>f.不符合规定的桩,应进行修补,满足质量要求后方可使用。</w:t>
      </w:r>
    </w:p>
    <w:p w14:paraId="78ED3E90">
      <w:pPr>
        <w:pStyle w:val="130"/>
        <w:ind w:firstLine="597"/>
        <w:rPr>
          <w:color w:val="0000FF"/>
        </w:rPr>
      </w:pPr>
      <w:r>
        <w:rPr>
          <w:rFonts w:hint="eastAsia"/>
          <w:color w:val="0000FF"/>
        </w:rPr>
        <w:t>g.吊运桩时桩身混凝土强度应符合设计要求。在出槽、搬运等阶段均应按设计要求的混凝土强度、龄期、吊点位置进行施工。</w:t>
      </w:r>
    </w:p>
    <w:p w14:paraId="40860F5A">
      <w:pPr>
        <w:pStyle w:val="130"/>
        <w:ind w:firstLine="597"/>
        <w:rPr>
          <w:color w:val="0000FF"/>
        </w:rPr>
      </w:pPr>
      <w:r>
        <w:rPr>
          <w:rFonts w:hint="eastAsia"/>
          <w:color w:val="0000FF"/>
        </w:rPr>
        <w:t>h.桩存放场地应平整、坚实、稳定。桩多层堆放时,堆放层数应按地基承载力、垫木强度和堆垛稳定性等确定。各层垫木应处于同一垂直面上。</w:t>
      </w:r>
    </w:p>
    <w:p w14:paraId="7207BF0B">
      <w:pPr>
        <w:pStyle w:val="130"/>
        <w:ind w:firstLine="597"/>
        <w:rPr>
          <w:color w:val="0000FF"/>
        </w:rPr>
      </w:pPr>
      <w:bookmarkStart w:id="5" w:name="_Toc21418047"/>
      <w:r>
        <w:rPr>
          <w:rFonts w:hint="eastAsia"/>
          <w:color w:val="0000FF"/>
        </w:rPr>
        <w:t>（5）沉桩施工</w:t>
      </w:r>
    </w:p>
    <w:p w14:paraId="2E38F08C">
      <w:pPr>
        <w:pStyle w:val="130"/>
        <w:ind w:firstLine="597"/>
        <w:rPr>
          <w:color w:val="0000FF"/>
        </w:rPr>
      </w:pPr>
      <w:r>
        <w:rPr>
          <w:rFonts w:hint="eastAsia"/>
          <w:color w:val="0000FF"/>
        </w:rPr>
        <w:t>本次兴石河整治工程护岸一般采用桩式护岸，桩型包括预制混凝土方桩、方桩、木桩等。由于河道沿线多为农田、局部为农村水泥道路等，大型施工设备通行难度较大，故本次工程结合本地区以往类似工程施工经验，选择采用水上打桩船平台进行桩基施工。</w:t>
      </w:r>
    </w:p>
    <w:p w14:paraId="597105E5">
      <w:pPr>
        <w:pStyle w:val="130"/>
        <w:ind w:firstLine="597"/>
        <w:rPr>
          <w:color w:val="0000FF"/>
        </w:rPr>
      </w:pPr>
      <w:r>
        <w:rPr>
          <w:rFonts w:hint="eastAsia"/>
          <w:color w:val="0000FF"/>
        </w:rPr>
        <w:t>常见打桩方式有锤击沉桩、静压沉桩和液压震动沉桩等。锤击沉桩震动较大、噪音较大，一般情况下不予采用；静压沉桩需要较大的陆上施工作业面，且桩机自重较大，接地荷载大，也不适合本工程；</w:t>
      </w:r>
    </w:p>
    <w:p w14:paraId="5FFC16A1">
      <w:pPr>
        <w:pStyle w:val="130"/>
        <w:ind w:firstLine="597"/>
        <w:rPr>
          <w:color w:val="0000FF"/>
        </w:rPr>
      </w:pPr>
      <w:r>
        <w:rPr>
          <w:rFonts w:hint="eastAsia"/>
          <w:color w:val="0000FF"/>
        </w:rPr>
        <w:t>故本工程拟采用液压震动沉桩，具有噪音小、打桩速度快、节能环保等优点。</w:t>
      </w:r>
    </w:p>
    <w:p w14:paraId="64FD02AA">
      <w:pPr>
        <w:pStyle w:val="130"/>
        <w:ind w:firstLine="597"/>
        <w:rPr>
          <w:color w:val="0000FF"/>
        </w:rPr>
      </w:pPr>
      <w:r>
        <w:rPr>
          <w:rFonts w:hint="eastAsia"/>
          <w:color w:val="0000FF"/>
        </w:rPr>
        <w:t>沉桩施工的一般流程为：</w:t>
      </w:r>
    </w:p>
    <w:p w14:paraId="595C2E57">
      <w:pPr>
        <w:pStyle w:val="130"/>
        <w:ind w:firstLine="597"/>
        <w:rPr>
          <w:color w:val="0000FF"/>
        </w:rPr>
      </w:pPr>
      <w:r>
        <w:rPr>
          <w:rFonts w:hint="eastAsia"/>
          <w:color w:val="0000FF"/>
        </w:rPr>
        <w:t>1）钢筋砼方桩、木桩施工前，应先沿桩轴线开挖扫床，以尽量排除可能存在的妨碍沉桩的建筑垃圾等。</w:t>
      </w:r>
    </w:p>
    <w:p w14:paraId="406A9FBD">
      <w:pPr>
        <w:pStyle w:val="130"/>
        <w:ind w:firstLine="597"/>
        <w:rPr>
          <w:color w:val="0000FF"/>
        </w:rPr>
      </w:pPr>
      <w:r>
        <w:rPr>
          <w:rFonts w:hint="eastAsia"/>
          <w:color w:val="0000FF"/>
        </w:rPr>
        <w:t>2）施工一般在水上进行。沉桩时桩身应垂直，误差不大于0.5%。应在桩机影响范围外，设置相关校准仪器，出现超差及时调整。</w:t>
      </w:r>
    </w:p>
    <w:p w14:paraId="557EF139">
      <w:pPr>
        <w:pStyle w:val="130"/>
        <w:ind w:firstLine="597"/>
        <w:rPr>
          <w:color w:val="0000FF"/>
        </w:rPr>
      </w:pPr>
      <w:r>
        <w:rPr>
          <w:rFonts w:hint="eastAsia"/>
          <w:color w:val="0000FF"/>
        </w:rPr>
        <w:t>3）桩夹持器应与桩身夹持部位尺寸匹配，并有足够的夹持长度，避免桩身混凝土夹碎或滑动。</w:t>
      </w:r>
    </w:p>
    <w:p w14:paraId="01F8F034">
      <w:pPr>
        <w:pStyle w:val="130"/>
        <w:ind w:firstLine="597"/>
        <w:rPr>
          <w:color w:val="0000FF"/>
        </w:rPr>
      </w:pPr>
      <w:r>
        <w:rPr>
          <w:rFonts w:hint="eastAsia"/>
          <w:color w:val="0000FF"/>
        </w:rPr>
        <w:t>4）沉桩连续进行，尽量一次打（压）到底，减少间隔时间。</w:t>
      </w:r>
    </w:p>
    <w:p w14:paraId="46239BDC">
      <w:pPr>
        <w:pStyle w:val="130"/>
        <w:ind w:firstLine="597"/>
        <w:rPr>
          <w:color w:val="0000FF"/>
        </w:rPr>
      </w:pPr>
      <w:r>
        <w:rPr>
          <w:rFonts w:hint="eastAsia"/>
          <w:color w:val="0000FF"/>
        </w:rPr>
        <w:t>5）沉桩施工时，如出现下沉量反常、桩身倾斜、位移过大、桩身或桩顶破损等异常情况时，应停止沉桩，待查明原因并进行必要的处理后方可继续施工。</w:t>
      </w:r>
    </w:p>
    <w:p w14:paraId="5F1F1DC4">
      <w:pPr>
        <w:pStyle w:val="130"/>
        <w:ind w:firstLine="597"/>
        <w:rPr>
          <w:color w:val="0000FF"/>
        </w:rPr>
      </w:pPr>
      <w:r>
        <w:rPr>
          <w:rFonts w:hint="eastAsia"/>
          <w:color w:val="0000FF"/>
        </w:rPr>
        <w:t>6）对于临近房屋的护岸，建议采用免共振液压震动设备沉桩。</w:t>
      </w:r>
    </w:p>
    <w:p w14:paraId="47C5C6B0">
      <w:pPr>
        <w:pStyle w:val="130"/>
        <w:ind w:firstLine="597"/>
        <w:rPr>
          <w:color w:val="0000FF"/>
        </w:rPr>
      </w:pPr>
      <w:r>
        <w:rPr>
          <w:rFonts w:hint="eastAsia"/>
          <w:color w:val="0000FF"/>
        </w:rPr>
        <w:t>（</w:t>
      </w:r>
      <w:bookmarkEnd w:id="5"/>
      <w:r>
        <w:rPr>
          <w:rFonts w:hint="eastAsia"/>
          <w:color w:val="0000FF"/>
        </w:rPr>
        <w:t>6）沉桩注意事项</w:t>
      </w:r>
    </w:p>
    <w:p w14:paraId="096429A7">
      <w:pPr>
        <w:pStyle w:val="130"/>
        <w:ind w:firstLine="597"/>
        <w:rPr>
          <w:color w:val="0000FF"/>
        </w:rPr>
      </w:pPr>
      <w:r>
        <w:rPr>
          <w:rFonts w:hint="eastAsia"/>
          <w:color w:val="0000FF"/>
        </w:rPr>
        <w:t>沉桩施工宜选择有代表性的区域进行试沉桩,对桩能否穿过桩端设计高程以上的土层、进入持力层的深度和最后贯入度、沉桩设备性能、桩身结构强度是否与沉桩地质情况相适应等进行检验。试沉桩不宜少于2根,且附近应有钻孔资料。试沉桩应按要求记录。</w:t>
      </w:r>
    </w:p>
    <w:p w14:paraId="629EABBB">
      <w:pPr>
        <w:pStyle w:val="130"/>
        <w:ind w:firstLine="597"/>
        <w:rPr>
          <w:color w:val="0000FF"/>
        </w:rPr>
      </w:pPr>
      <w:r>
        <w:rPr>
          <w:rFonts w:hint="eastAsia"/>
          <w:color w:val="0000FF"/>
        </w:rPr>
        <w:t>a.本工程沉桩以标高控制为主,以贯入度作为校核。</w:t>
      </w:r>
    </w:p>
    <w:p w14:paraId="7C2F0A62">
      <w:pPr>
        <w:pStyle w:val="130"/>
        <w:ind w:firstLine="597"/>
        <w:rPr>
          <w:color w:val="0000FF"/>
        </w:rPr>
      </w:pPr>
      <w:r>
        <w:rPr>
          <w:rFonts w:hint="eastAsia"/>
          <w:color w:val="0000FF"/>
        </w:rPr>
        <w:t>b.应严格控制桩的顺直度,桩身不顺直,除了桩顶产生集中应力外,桩身还要受到压弯联合作用,产生拉应力和弯曲应力,对桩不利。</w:t>
      </w:r>
    </w:p>
    <w:p w14:paraId="33AE4F8F">
      <w:pPr>
        <w:pStyle w:val="130"/>
        <w:ind w:firstLine="597"/>
        <w:rPr>
          <w:color w:val="0000FF"/>
        </w:rPr>
      </w:pPr>
      <w:r>
        <w:rPr>
          <w:rFonts w:hint="eastAsia"/>
          <w:color w:val="0000FF"/>
        </w:rPr>
        <w:t>c.沉桩前,对到场桩身的制作、防护等质量进行逐根检査。沉桩时随时注意贯入度变化,防止钢护筒卷边。</w:t>
      </w:r>
    </w:p>
    <w:p w14:paraId="412EE176">
      <w:pPr>
        <w:pStyle w:val="130"/>
        <w:ind w:firstLine="597"/>
        <w:rPr>
          <w:color w:val="0000FF"/>
        </w:rPr>
      </w:pPr>
      <w:r>
        <w:rPr>
          <w:rFonts w:hint="eastAsia"/>
          <w:color w:val="0000FF"/>
        </w:rPr>
        <w:t>d.对已沉到位的桩及时进行夹桩处理,以免单根桩受到碰撞或其他原因产生倾斜或破坏。并做醒目标志,提醒过往船只。</w:t>
      </w:r>
    </w:p>
    <w:p w14:paraId="3E8C54C4">
      <w:pPr>
        <w:pStyle w:val="130"/>
        <w:ind w:firstLine="597"/>
        <w:rPr>
          <w:color w:val="0000FF"/>
        </w:rPr>
      </w:pPr>
      <w:r>
        <w:rPr>
          <w:rFonts w:hint="eastAsia"/>
          <w:color w:val="0000FF"/>
        </w:rPr>
        <w:t>e.沉桩时考虑到有可能出现的偏位,施工前应清楚水下可能存在的障碍物并根据事先探明的地质变化情况决定下桩时的提前量,沉桩作业中注意随时观察,对提前量参数及时进行调整。</w:t>
      </w:r>
    </w:p>
    <w:p w14:paraId="289CC86F">
      <w:pPr>
        <w:pStyle w:val="130"/>
        <w:ind w:firstLine="597"/>
        <w:rPr>
          <w:color w:val="0000FF"/>
        </w:rPr>
      </w:pPr>
      <w:r>
        <w:rPr>
          <w:rFonts w:hint="eastAsia"/>
          <w:color w:val="0000FF"/>
        </w:rPr>
        <w:t>f.及时测出已沉桩的成果资料。为保证沉桩质量,对桩位数据必须认真计算、校对、确认无误后方可用于施工。沉桩期间如遇异常情况应暂停施工,将情况汇报监理及设计经硏究决定后再行施工。</w:t>
      </w:r>
    </w:p>
    <w:p w14:paraId="21C20D03">
      <w:pPr>
        <w:pStyle w:val="130"/>
        <w:ind w:firstLine="597"/>
        <w:rPr>
          <w:color w:val="0000FF"/>
        </w:rPr>
      </w:pPr>
      <w:r>
        <w:rPr>
          <w:rFonts w:hint="eastAsia"/>
          <w:color w:val="0000FF"/>
        </w:rPr>
        <w:t>g.沉桩过程中发生的断桩、桩身破损、溜桩、贯入度异常和桩周冒泡等异常现象均应记录。</w:t>
      </w:r>
    </w:p>
    <w:p w14:paraId="2C79F8E5">
      <w:pPr>
        <w:pStyle w:val="130"/>
        <w:ind w:firstLine="597"/>
        <w:rPr>
          <w:color w:val="0000FF"/>
        </w:rPr>
      </w:pPr>
      <w:r>
        <w:rPr>
          <w:rFonts w:hint="eastAsia"/>
          <w:color w:val="0000FF"/>
        </w:rPr>
        <w:t>3）沉桩控制</w:t>
      </w:r>
    </w:p>
    <w:p w14:paraId="5E4E23A2">
      <w:pPr>
        <w:pStyle w:val="130"/>
        <w:ind w:firstLine="597"/>
        <w:rPr>
          <w:color w:val="0000FF"/>
        </w:rPr>
      </w:pPr>
      <w:r>
        <w:rPr>
          <w:rFonts w:hint="eastAsia"/>
          <w:color w:val="0000FF"/>
        </w:rPr>
        <w:t>a.偏位控制:一般情况下,直桩桩顶偏差不得大于10cm,桩轴线倾斜偏差不得大于1%</w:t>
      </w:r>
    </w:p>
    <w:p w14:paraId="76B9F1C3">
      <w:pPr>
        <w:pStyle w:val="130"/>
        <w:ind w:firstLine="597"/>
        <w:rPr>
          <w:color w:val="0000FF"/>
        </w:rPr>
      </w:pPr>
      <w:r>
        <w:rPr>
          <w:rFonts w:hint="eastAsia"/>
          <w:color w:val="0000FF"/>
        </w:rPr>
        <w:t>b.桩的裂损和标高控制</w:t>
      </w:r>
    </w:p>
    <w:p w14:paraId="567CC5F7">
      <w:pPr>
        <w:pStyle w:val="130"/>
        <w:ind w:firstLine="597"/>
        <w:rPr>
          <w:color w:val="0000FF"/>
        </w:rPr>
      </w:pPr>
      <w:r>
        <w:rPr>
          <w:rFonts w:hint="eastAsia"/>
          <w:color w:val="0000FF"/>
        </w:rPr>
        <w:t>桩顶高程高于设计高程或桩顶混凝土裂损部分应截除或凿除。凿除桩顶混凝土裂损部分时应防止凿除面以下混凝土掉角、松动及开裂。在桩顶设计高程处,宜先环桩周预切割,切割深度宜为30m~50m。桩顶截除后的高程允许偏差为-3mm~+10mm。桩顶低于设计高程时,可采用接桩进行处理,接高部分应满足设计要求。</w:t>
      </w:r>
    </w:p>
    <w:p w14:paraId="0BC385F3">
      <w:pPr>
        <w:pStyle w:val="130"/>
        <w:ind w:firstLine="597"/>
        <w:rPr>
          <w:color w:val="0000FF"/>
        </w:rPr>
      </w:pPr>
      <w:r>
        <w:rPr>
          <w:rFonts w:hint="eastAsia"/>
          <w:color w:val="0000FF"/>
        </w:rPr>
        <w:t>（7）预制桩检测要求</w:t>
      </w:r>
    </w:p>
    <w:p w14:paraId="66F6805C">
      <w:pPr>
        <w:pStyle w:val="130"/>
        <w:ind w:firstLine="597"/>
        <w:rPr>
          <w:color w:val="0000FF"/>
        </w:rPr>
      </w:pPr>
      <w:r>
        <w:rPr>
          <w:rFonts w:hint="eastAsia"/>
          <w:color w:val="0000FF"/>
        </w:rPr>
        <w:t>①桩身强度</w:t>
      </w:r>
    </w:p>
    <w:p w14:paraId="19A73565">
      <w:pPr>
        <w:pStyle w:val="130"/>
        <w:ind w:firstLine="597"/>
        <w:rPr>
          <w:color w:val="0000FF"/>
        </w:rPr>
      </w:pPr>
      <w:r>
        <w:rPr>
          <w:rFonts w:hint="eastAsia"/>
          <w:color w:val="0000FF"/>
        </w:rPr>
        <w:t>预制桩与插板C35，盖梁C30混凝土抗压参数检测。</w:t>
      </w:r>
    </w:p>
    <w:p w14:paraId="3EB833B7">
      <w:pPr>
        <w:pStyle w:val="130"/>
        <w:ind w:firstLine="597"/>
        <w:rPr>
          <w:color w:val="0000FF"/>
        </w:rPr>
      </w:pPr>
      <w:r>
        <w:rPr>
          <w:rFonts w:hint="eastAsia"/>
          <w:color w:val="0000FF"/>
        </w:rPr>
        <w:t>②试桩</w:t>
      </w:r>
    </w:p>
    <w:p w14:paraId="3BA4CD05">
      <w:pPr>
        <w:pStyle w:val="130"/>
        <w:ind w:firstLine="597"/>
        <w:rPr>
          <w:color w:val="0000FF"/>
        </w:rPr>
      </w:pPr>
      <w:r>
        <w:rPr>
          <w:color w:val="0000FF"/>
        </w:rPr>
        <w:t>工程施工前，宜在河道两岸沿线各段通过试桩，优选基施打等施工工艺。同时利用现场试桩作为单桩水平静载试验用桩，确定单桩临界荷载，推定土抗力系数，判定水平承载力或水平位移是否满足设计要求。根据《建筑基检测技术规范》JGJ106-2014 第 3.3.1条规定，检测数量在相同施工工艺和相近地基条件下，数量不应少于3根。试验桩施打到位，桩后开挖至高程1.6m开始检测，具体加载及检测方法、成果处理参照《建筑基桩检测技术规范》(JGJ106-2014)第 6.3 节相关规定。重点检测数据需包含:a般砂土段水平荷载 H1=15kN时入土点水平位移量AL1的数值;b一般砂土段入土点水平位移量△L2-10mm 时，水平荷载 H2 数值。</w:t>
      </w:r>
    </w:p>
    <w:p w14:paraId="3C5A14FB">
      <w:pPr>
        <w:pStyle w:val="130"/>
        <w:ind w:firstLine="597"/>
        <w:rPr>
          <w:color w:val="0000FF"/>
        </w:rPr>
      </w:pPr>
      <w:r>
        <w:rPr>
          <w:color w:val="0000FF"/>
        </w:rPr>
        <w:t>③</w:t>
      </w:r>
      <w:r>
        <w:rPr>
          <w:rFonts w:hint="eastAsia"/>
          <w:color w:val="0000FF"/>
        </w:rPr>
        <w:t>桩的检测</w:t>
      </w:r>
    </w:p>
    <w:p w14:paraId="66E3A4B1">
      <w:pPr>
        <w:pStyle w:val="130"/>
        <w:ind w:firstLine="597"/>
        <w:rPr>
          <w:color w:val="0000FF"/>
        </w:rPr>
      </w:pPr>
      <w:r>
        <w:rPr>
          <w:rFonts w:hint="eastAsia"/>
          <w:color w:val="0000FF"/>
        </w:rPr>
        <w:t>根据《水利工程施工质量检验与评定规范》(DB32/T 2334.2-2013)第 6.4.4 条，需进行以下检测:</w:t>
      </w:r>
    </w:p>
    <w:p w14:paraId="46320D64">
      <w:pPr>
        <w:pStyle w:val="130"/>
        <w:ind w:firstLine="597"/>
        <w:rPr>
          <w:color w:val="0000FF"/>
        </w:rPr>
      </w:pPr>
      <w:r>
        <w:rPr>
          <w:rFonts w:hint="eastAsia"/>
          <w:color w:val="0000FF"/>
        </w:rPr>
        <w:t>采用低应变法检测桩身完整性，检测数量不少于总桩数的 20%，并不少于 10 根。</w:t>
      </w:r>
    </w:p>
    <w:p w14:paraId="09388F2C">
      <w:pPr>
        <w:pStyle w:val="130"/>
        <w:ind w:firstLine="597"/>
        <w:rPr>
          <w:color w:val="0000FF"/>
        </w:rPr>
      </w:pPr>
      <w:r>
        <w:rPr>
          <w:rFonts w:hint="eastAsia"/>
          <w:color w:val="0000FF"/>
        </w:rPr>
        <w:t>采用线锤或测斜仪检测垂直度，求偏差不得超过 1%。</w:t>
      </w:r>
    </w:p>
    <w:p w14:paraId="59D9364B">
      <w:pPr>
        <w:pStyle w:val="130"/>
        <w:ind w:firstLine="597"/>
        <w:rPr>
          <w:color w:val="0000FF"/>
        </w:rPr>
      </w:pPr>
      <w:r>
        <w:rPr>
          <w:rFonts w:hint="eastAsia"/>
          <w:color w:val="0000FF"/>
        </w:rPr>
        <w:t>采用全站仪检测桩位偏差，位允许偏差不超过 20mm。</w:t>
      </w:r>
    </w:p>
    <w:p w14:paraId="7D04B4A2">
      <w:pPr>
        <w:pStyle w:val="130"/>
        <w:ind w:firstLine="597"/>
        <w:rPr>
          <w:color w:val="0000FF"/>
        </w:rPr>
      </w:pPr>
      <w:r>
        <w:rPr>
          <w:rFonts w:hint="eastAsia"/>
          <w:color w:val="0000FF"/>
        </w:rPr>
        <w:t>终止沉桩条件根据实际施工方式按规范检测。</w:t>
      </w:r>
    </w:p>
    <w:p w14:paraId="38929F71">
      <w:pPr>
        <w:pStyle w:val="130"/>
        <w:ind w:firstLine="597"/>
        <w:rPr>
          <w:color w:val="0000FF"/>
        </w:rPr>
      </w:pPr>
      <w:r>
        <w:rPr>
          <w:rFonts w:hint="eastAsia"/>
          <w:color w:val="0000FF"/>
        </w:rPr>
        <w:t>采用水准仪检测桩顶高，要求偏差±50mm。</w:t>
      </w:r>
    </w:p>
    <w:p w14:paraId="6BFB7DCD">
      <w:pPr>
        <w:pStyle w:val="130"/>
        <w:ind w:firstLine="597"/>
        <w:rPr>
          <w:color w:val="0000FF"/>
        </w:rPr>
      </w:pPr>
      <w:r>
        <w:rPr>
          <w:rFonts w:hint="eastAsia"/>
          <w:color w:val="0000FF"/>
        </w:rPr>
        <w:t>其他检测要求等需满足《建筑基桩检测技术规范》(JGJ106-2014)等要求。</w:t>
      </w:r>
    </w:p>
    <w:p w14:paraId="2A1613D1">
      <w:pPr>
        <w:pStyle w:val="3"/>
        <w:ind w:firstLine="599"/>
        <w:rPr>
          <w:rFonts w:ascii="Times New Roman" w:hAnsi="Times New Roman" w:eastAsia="宋体"/>
        </w:rPr>
      </w:pPr>
      <w:r>
        <w:rPr>
          <w:rFonts w:hint="eastAsia" w:ascii="Times New Roman" w:hAnsi="Times New Roman"/>
        </w:rPr>
        <w:t>6.5土方开挖</w:t>
      </w:r>
    </w:p>
    <w:p w14:paraId="2C02F399">
      <w:pPr>
        <w:pStyle w:val="130"/>
        <w:ind w:firstLine="597"/>
        <w:rPr>
          <w:color w:val="0000FF"/>
        </w:rPr>
      </w:pPr>
      <w:r>
        <w:rPr>
          <w:color w:val="0000FF"/>
        </w:rPr>
        <w:t>土方开挖以机械开挖为主，配合人工开挖，土质较好的开挖土方就近堆放用于回填。底部预留50cm宽操作平台，开挖边坡不小于1:1，用于铺设土工布等，开挖前，应降低地下水位，使其低于开挖面0.5～1.0m。</w:t>
      </w:r>
    </w:p>
    <w:p w14:paraId="0847F0AE">
      <w:pPr>
        <w:pStyle w:val="3"/>
        <w:ind w:firstLine="599"/>
        <w:rPr>
          <w:rFonts w:ascii="Times New Roman" w:hAnsi="Times New Roman" w:eastAsia="宋体"/>
        </w:rPr>
      </w:pPr>
      <w:r>
        <w:rPr>
          <w:rFonts w:hint="eastAsia" w:ascii="Times New Roman" w:hAnsi="Times New Roman"/>
        </w:rPr>
        <w:t>6.6土方回填</w:t>
      </w:r>
    </w:p>
    <w:p w14:paraId="4AE8EA40">
      <w:pPr>
        <w:pStyle w:val="130"/>
        <w:ind w:firstLine="597"/>
        <w:rPr>
          <w:color w:val="0000FF"/>
        </w:rPr>
      </w:pPr>
      <w:r>
        <w:rPr>
          <w:rFonts w:hint="eastAsia"/>
          <w:color w:val="0000FF"/>
        </w:rPr>
        <w:t>桩后土方回填应分层铺土压实，铺土厚度不大于30cm。采用粘性土回填，要求压实度不小于0.91；采用砂性土回填，要求回填土相对密度不小于0.60。回填土的土质应符合有关要求，填土中不得含有淤泥、植物根茎、垃圾杂物等杂质。本工程开挖土方较回填土方多，应尽量利用开挖土方作为回填土方的土源，减少或避免从项目区外的料场调取土源，在保证不影响当地群众生产生活的前提下尽量选用运距近的弃土区。</w:t>
      </w:r>
    </w:p>
    <w:p w14:paraId="646F6513">
      <w:pPr>
        <w:pStyle w:val="3"/>
        <w:ind w:firstLine="599"/>
        <w:rPr>
          <w:rFonts w:ascii="Times New Roman" w:hAnsi="Times New Roman"/>
        </w:rPr>
      </w:pPr>
      <w:r>
        <w:rPr>
          <w:rFonts w:hint="eastAsia" w:ascii="Times New Roman" w:hAnsi="Times New Roman"/>
        </w:rPr>
        <w:t>6.7</w:t>
      </w:r>
      <w:r>
        <w:rPr>
          <w:rFonts w:ascii="Times New Roman" w:hAnsi="Times New Roman"/>
        </w:rPr>
        <w:t>其他</w:t>
      </w:r>
    </w:p>
    <w:p w14:paraId="20858337">
      <w:pPr>
        <w:spacing w:line="360" w:lineRule="auto"/>
        <w:ind w:firstLine="597"/>
        <w:rPr>
          <w:rFonts w:ascii="宋体" w:eastAsia="仿宋" w:cs="宋体"/>
          <w:color w:val="0000FF"/>
          <w:sz w:val="28"/>
        </w:rPr>
      </w:pPr>
      <w:r>
        <w:rPr>
          <w:rFonts w:hint="eastAsia" w:ascii="宋体" w:eastAsia="仿宋" w:cs="宋体"/>
          <w:color w:val="0000FF"/>
          <w:sz w:val="28"/>
        </w:rPr>
        <w:t>1）</w:t>
      </w:r>
      <w:r>
        <w:rPr>
          <w:rFonts w:ascii="宋体" w:eastAsia="仿宋" w:cs="宋体"/>
          <w:color w:val="0000FF"/>
          <w:sz w:val="28"/>
        </w:rPr>
        <w:t>施工时</w:t>
      </w:r>
      <w:r>
        <w:rPr>
          <w:rFonts w:hint="eastAsia" w:ascii="宋体" w:eastAsia="仿宋" w:cs="宋体"/>
          <w:color w:val="0000FF"/>
          <w:sz w:val="28"/>
        </w:rPr>
        <w:t>，</w:t>
      </w:r>
      <w:r>
        <w:rPr>
          <w:rFonts w:ascii="宋体" w:eastAsia="仿宋" w:cs="宋体"/>
          <w:color w:val="0000FF"/>
          <w:sz w:val="28"/>
        </w:rPr>
        <w:t>对安全、劳动保护、放水、防火和环境保护等方面应按有关规定执行。</w:t>
      </w:r>
    </w:p>
    <w:p w14:paraId="3D078B61">
      <w:pPr>
        <w:spacing w:line="360" w:lineRule="auto"/>
        <w:ind w:firstLine="597"/>
        <w:rPr>
          <w:rFonts w:ascii="宋体" w:eastAsia="仿宋" w:cs="宋体"/>
          <w:color w:val="0000FF"/>
          <w:sz w:val="28"/>
        </w:rPr>
      </w:pPr>
      <w:r>
        <w:rPr>
          <w:rFonts w:hint="eastAsia" w:ascii="宋体" w:eastAsia="仿宋" w:cs="宋体"/>
          <w:color w:val="0000FF"/>
          <w:sz w:val="28"/>
        </w:rPr>
        <w:t>2）</w:t>
      </w:r>
      <w:r>
        <w:rPr>
          <w:rFonts w:ascii="宋体" w:eastAsia="仿宋" w:cs="宋体"/>
          <w:color w:val="0000FF"/>
          <w:sz w:val="28"/>
        </w:rPr>
        <w:t>土建施工注意与其他专业的配合</w:t>
      </w:r>
      <w:r>
        <w:rPr>
          <w:rFonts w:hint="eastAsia" w:ascii="宋体" w:eastAsia="仿宋" w:cs="宋体"/>
          <w:color w:val="0000FF"/>
          <w:sz w:val="28"/>
        </w:rPr>
        <w:t>，</w:t>
      </w:r>
      <w:r>
        <w:rPr>
          <w:rFonts w:ascii="宋体" w:eastAsia="仿宋" w:cs="宋体"/>
          <w:color w:val="0000FF"/>
          <w:sz w:val="28"/>
        </w:rPr>
        <w:t>包括房建、电气等。</w:t>
      </w:r>
    </w:p>
    <w:p w14:paraId="657ADD21">
      <w:pPr>
        <w:spacing w:line="360" w:lineRule="auto"/>
        <w:ind w:firstLine="597"/>
        <w:rPr>
          <w:rFonts w:ascii="宋体" w:eastAsia="仿宋" w:cs="宋体"/>
          <w:color w:val="0000FF"/>
          <w:sz w:val="28"/>
        </w:rPr>
      </w:pPr>
      <w:r>
        <w:rPr>
          <w:rFonts w:hint="eastAsia" w:ascii="宋体" w:eastAsia="仿宋" w:cs="宋体"/>
          <w:color w:val="0000FF"/>
          <w:sz w:val="28"/>
        </w:rPr>
        <w:t>3）</w:t>
      </w:r>
      <w:r>
        <w:rPr>
          <w:rFonts w:ascii="宋体" w:eastAsia="仿宋" w:cs="宋体"/>
          <w:color w:val="0000FF"/>
          <w:sz w:val="28"/>
        </w:rPr>
        <w:t>基坑开挖后</w:t>
      </w:r>
      <w:r>
        <w:rPr>
          <w:rFonts w:hint="eastAsia" w:ascii="宋体" w:eastAsia="仿宋" w:cs="宋体"/>
          <w:color w:val="0000FF"/>
          <w:sz w:val="28"/>
        </w:rPr>
        <w:t>，</w:t>
      </w:r>
      <w:r>
        <w:rPr>
          <w:rFonts w:ascii="宋体" w:eastAsia="仿宋" w:cs="宋体"/>
          <w:color w:val="0000FF"/>
          <w:sz w:val="28"/>
        </w:rPr>
        <w:t>需验槽合格方可进行下一步工序</w:t>
      </w:r>
      <w:r>
        <w:rPr>
          <w:rFonts w:hint="eastAsia" w:ascii="宋体" w:eastAsia="仿宋" w:cs="宋体"/>
          <w:color w:val="0000FF"/>
          <w:sz w:val="28"/>
        </w:rPr>
        <w:t>，</w:t>
      </w:r>
      <w:r>
        <w:rPr>
          <w:rFonts w:ascii="宋体" w:eastAsia="仿宋" w:cs="宋体"/>
          <w:color w:val="0000FF"/>
          <w:sz w:val="28"/>
        </w:rPr>
        <w:t>施工中应加强对基础的夯实</w:t>
      </w:r>
      <w:r>
        <w:rPr>
          <w:rFonts w:hint="eastAsia" w:ascii="宋体" w:eastAsia="仿宋" w:cs="宋体"/>
          <w:color w:val="0000FF"/>
          <w:sz w:val="28"/>
        </w:rPr>
        <w:t>，</w:t>
      </w:r>
      <w:r>
        <w:rPr>
          <w:rFonts w:ascii="宋体" w:eastAsia="仿宋" w:cs="宋体"/>
          <w:color w:val="0000FF"/>
          <w:sz w:val="28"/>
        </w:rPr>
        <w:t>若发现现场土质与地质报告不符</w:t>
      </w:r>
      <w:r>
        <w:rPr>
          <w:rFonts w:hint="eastAsia" w:ascii="宋体" w:eastAsia="仿宋" w:cs="宋体"/>
          <w:color w:val="0000FF"/>
          <w:sz w:val="28"/>
        </w:rPr>
        <w:t>，</w:t>
      </w:r>
      <w:r>
        <w:rPr>
          <w:rFonts w:ascii="宋体" w:eastAsia="仿宋" w:cs="宋体"/>
          <w:color w:val="0000FF"/>
          <w:sz w:val="28"/>
        </w:rPr>
        <w:t>需联系设计单位进行确认后方可进行施工。</w:t>
      </w:r>
    </w:p>
    <w:p w14:paraId="35823379">
      <w:pPr>
        <w:spacing w:line="360" w:lineRule="auto"/>
        <w:ind w:firstLine="597"/>
        <w:rPr>
          <w:rFonts w:ascii="宋体" w:eastAsia="仿宋" w:cs="宋体"/>
          <w:color w:val="0000FF"/>
          <w:sz w:val="28"/>
        </w:rPr>
      </w:pPr>
      <w:r>
        <w:rPr>
          <w:rFonts w:hint="eastAsia" w:ascii="宋体" w:eastAsia="仿宋" w:cs="宋体"/>
          <w:color w:val="0000FF"/>
          <w:sz w:val="28"/>
        </w:rPr>
        <w:t>4）</w:t>
      </w:r>
      <w:r>
        <w:rPr>
          <w:rFonts w:ascii="宋体" w:eastAsia="仿宋" w:cs="宋体"/>
          <w:color w:val="0000FF"/>
          <w:sz w:val="28"/>
        </w:rPr>
        <w:t>施工过程中发现其他问题和图中未尽事宜</w:t>
      </w:r>
      <w:r>
        <w:rPr>
          <w:rFonts w:hint="eastAsia" w:ascii="宋体" w:eastAsia="仿宋" w:cs="宋体"/>
          <w:color w:val="0000FF"/>
          <w:sz w:val="28"/>
        </w:rPr>
        <w:t>，</w:t>
      </w:r>
      <w:r>
        <w:rPr>
          <w:rFonts w:ascii="宋体" w:eastAsia="仿宋" w:cs="宋体"/>
          <w:color w:val="0000FF"/>
          <w:sz w:val="28"/>
        </w:rPr>
        <w:t>请及时与设计单位联系</w:t>
      </w:r>
      <w:r>
        <w:rPr>
          <w:rFonts w:hint="eastAsia" w:ascii="宋体" w:eastAsia="仿宋" w:cs="宋体"/>
          <w:color w:val="0000FF"/>
          <w:sz w:val="28"/>
        </w:rPr>
        <w:t>，</w:t>
      </w:r>
      <w:r>
        <w:rPr>
          <w:rFonts w:ascii="宋体" w:eastAsia="仿宋" w:cs="宋体"/>
          <w:color w:val="0000FF"/>
          <w:sz w:val="28"/>
        </w:rPr>
        <w:t>以便会同研究处理。</w:t>
      </w:r>
    </w:p>
    <w:p w14:paraId="5EFD85CB">
      <w:pPr>
        <w:spacing w:line="360" w:lineRule="auto"/>
        <w:ind w:firstLine="597"/>
        <w:rPr>
          <w:rFonts w:ascii="宋体" w:eastAsia="仿宋" w:cs="宋体"/>
          <w:color w:val="0000FF"/>
          <w:sz w:val="28"/>
        </w:rPr>
      </w:pPr>
      <w:r>
        <w:rPr>
          <w:rFonts w:hint="eastAsia" w:ascii="宋体" w:eastAsia="仿宋" w:cs="宋体"/>
          <w:color w:val="0000FF"/>
          <w:sz w:val="28"/>
        </w:rPr>
        <w:t>5）</w:t>
      </w:r>
      <w:r>
        <w:rPr>
          <w:rFonts w:ascii="宋体" w:eastAsia="仿宋" w:cs="宋体"/>
          <w:color w:val="0000FF"/>
          <w:sz w:val="28"/>
        </w:rPr>
        <w:t>未尽事宜严格按相关规范、规定执行。</w:t>
      </w:r>
    </w:p>
    <w:p w14:paraId="3F02989C">
      <w:pPr>
        <w:pStyle w:val="2"/>
      </w:pPr>
      <w:r>
        <w:rPr>
          <w:rFonts w:hint="eastAsia"/>
        </w:rPr>
        <w:t>7</w:t>
      </w:r>
      <w:r>
        <w:t>、劳动安全与工业卫生</w:t>
      </w:r>
    </w:p>
    <w:p w14:paraId="61A566AC">
      <w:pPr>
        <w:pStyle w:val="130"/>
        <w:ind w:firstLine="597"/>
        <w:rPr>
          <w:color w:val="0000FF"/>
        </w:rPr>
      </w:pPr>
      <w:r>
        <w:rPr>
          <w:color w:val="0000FF"/>
        </w:rPr>
        <w:t>施工安全设计参照《水利水电工程劳动安全与工业卫生设计规范》（GB50706-2011）、《水利水电施工通用安全技术规范》（SL398-20</w:t>
      </w:r>
      <w:r>
        <w:rPr>
          <w:rFonts w:hint="eastAsia"/>
          <w:color w:val="0000FF"/>
        </w:rPr>
        <w:t>22</w:t>
      </w:r>
      <w:r>
        <w:rPr>
          <w:color w:val="0000FF"/>
        </w:rPr>
        <w:t>）、《水利水电工程施工安全防护设施技术规范》（SL714-2015）等相关规范。</w:t>
      </w:r>
    </w:p>
    <w:p w14:paraId="2160B1B3">
      <w:pPr>
        <w:pStyle w:val="130"/>
        <w:ind w:firstLine="597"/>
        <w:rPr>
          <w:color w:val="0000FF"/>
        </w:rPr>
      </w:pPr>
      <w:r>
        <w:rPr>
          <w:color w:val="0000FF"/>
        </w:rPr>
        <w:t>施工区域宜按照实际需要采用封闭措施</w:t>
      </w:r>
      <w:r>
        <w:rPr>
          <w:rFonts w:hint="eastAsia"/>
          <w:color w:val="0000FF"/>
        </w:rPr>
        <w:t>，</w:t>
      </w:r>
      <w:r>
        <w:rPr>
          <w:color w:val="0000FF"/>
        </w:rPr>
        <w:t>主要进出口处应设置明显施工警示标识。对施工中的关键区域和危险区域</w:t>
      </w:r>
      <w:r>
        <w:rPr>
          <w:rFonts w:hint="eastAsia"/>
          <w:color w:val="0000FF"/>
        </w:rPr>
        <w:t>，</w:t>
      </w:r>
      <w:r>
        <w:rPr>
          <w:color w:val="0000FF"/>
        </w:rPr>
        <w:t>应实施封闭管理</w:t>
      </w:r>
      <w:r>
        <w:rPr>
          <w:rFonts w:hint="eastAsia"/>
          <w:color w:val="0000FF"/>
        </w:rPr>
        <w:t>，</w:t>
      </w:r>
      <w:r>
        <w:rPr>
          <w:color w:val="0000FF"/>
        </w:rPr>
        <w:t>设置安全警示标识且安排专人值守</w:t>
      </w:r>
      <w:r>
        <w:rPr>
          <w:rFonts w:hint="eastAsia"/>
          <w:color w:val="0000FF"/>
        </w:rPr>
        <w:t>，</w:t>
      </w:r>
      <w:r>
        <w:rPr>
          <w:color w:val="0000FF"/>
        </w:rPr>
        <w:t>夜间应有灯光警告标志。施工现场作业人员</w:t>
      </w:r>
      <w:r>
        <w:rPr>
          <w:rFonts w:hint="eastAsia"/>
          <w:color w:val="0000FF"/>
        </w:rPr>
        <w:t>，</w:t>
      </w:r>
      <w:r>
        <w:rPr>
          <w:color w:val="0000FF"/>
        </w:rPr>
        <w:t>应遵守以下要求：</w:t>
      </w:r>
    </w:p>
    <w:p w14:paraId="158DD202">
      <w:pPr>
        <w:pStyle w:val="130"/>
        <w:ind w:firstLine="597"/>
        <w:rPr>
          <w:color w:val="0000FF"/>
        </w:rPr>
      </w:pPr>
      <w:r>
        <w:rPr>
          <w:color w:val="0000FF"/>
        </w:rPr>
        <w:t>（1）进入施工现场</w:t>
      </w:r>
      <w:r>
        <w:rPr>
          <w:rFonts w:hint="eastAsia"/>
          <w:color w:val="0000FF"/>
        </w:rPr>
        <w:t>，</w:t>
      </w:r>
      <w:r>
        <w:rPr>
          <w:color w:val="0000FF"/>
        </w:rPr>
        <w:t>应遵守岗位责任制和执行交接班制度</w:t>
      </w:r>
      <w:r>
        <w:rPr>
          <w:rFonts w:hint="eastAsia"/>
          <w:color w:val="0000FF"/>
        </w:rPr>
        <w:t>，</w:t>
      </w:r>
      <w:r>
        <w:rPr>
          <w:color w:val="0000FF"/>
        </w:rPr>
        <w:t>坚守工作岗位</w:t>
      </w:r>
      <w:r>
        <w:rPr>
          <w:rFonts w:hint="eastAsia"/>
          <w:color w:val="0000FF"/>
        </w:rPr>
        <w:t>，</w:t>
      </w:r>
      <w:r>
        <w:rPr>
          <w:color w:val="0000FF"/>
        </w:rPr>
        <w:t>不得擅离岗位或从事与岗位无关的事情。</w:t>
      </w:r>
    </w:p>
    <w:p w14:paraId="7CBE501E">
      <w:pPr>
        <w:pStyle w:val="130"/>
        <w:ind w:firstLine="597"/>
        <w:rPr>
          <w:color w:val="0000FF"/>
        </w:rPr>
      </w:pPr>
      <w:r>
        <w:rPr>
          <w:color w:val="0000FF"/>
        </w:rPr>
        <w:t>（2）严禁酒后作业</w:t>
      </w:r>
      <w:r>
        <w:rPr>
          <w:rFonts w:hint="eastAsia"/>
          <w:color w:val="0000FF"/>
        </w:rPr>
        <w:t>，</w:t>
      </w:r>
      <w:r>
        <w:rPr>
          <w:color w:val="0000FF"/>
        </w:rPr>
        <w:t>应按规定穿戴安全帽、工作服、工作鞋等防护用品</w:t>
      </w:r>
      <w:r>
        <w:rPr>
          <w:rFonts w:hint="eastAsia"/>
          <w:color w:val="0000FF"/>
        </w:rPr>
        <w:t>，</w:t>
      </w:r>
      <w:r>
        <w:rPr>
          <w:color w:val="0000FF"/>
        </w:rPr>
        <w:t>正确使用安全绳、安全带等安全防护用具及工具</w:t>
      </w:r>
      <w:r>
        <w:rPr>
          <w:rFonts w:hint="eastAsia"/>
          <w:color w:val="0000FF"/>
        </w:rPr>
        <w:t>，</w:t>
      </w:r>
      <w:r>
        <w:rPr>
          <w:color w:val="0000FF"/>
        </w:rPr>
        <w:t>严禁穿拖鞋、高跟鞋或赤脚进入施工现场。</w:t>
      </w:r>
    </w:p>
    <w:p w14:paraId="2C149459">
      <w:pPr>
        <w:pStyle w:val="130"/>
        <w:ind w:firstLine="597"/>
        <w:rPr>
          <w:color w:val="0000FF"/>
        </w:rPr>
      </w:pPr>
      <w:r>
        <w:rPr>
          <w:color w:val="0000FF"/>
        </w:rPr>
        <w:t>（3）严禁在洞口、陡坡、高处及水上边缘、设备运输通道等危险地带停留和休息。</w:t>
      </w:r>
    </w:p>
    <w:p w14:paraId="2C8BE124">
      <w:pPr>
        <w:pStyle w:val="130"/>
        <w:ind w:firstLine="597"/>
        <w:rPr>
          <w:color w:val="0000FF"/>
        </w:rPr>
      </w:pPr>
      <w:r>
        <w:rPr>
          <w:color w:val="0000FF"/>
        </w:rPr>
        <w:t>（4）起重、挖掘机等应与高压电缆保持一定安全距离</w:t>
      </w:r>
      <w:r>
        <w:rPr>
          <w:rFonts w:hint="eastAsia"/>
          <w:color w:val="0000FF"/>
        </w:rPr>
        <w:t>，</w:t>
      </w:r>
      <w:r>
        <w:rPr>
          <w:color w:val="0000FF"/>
        </w:rPr>
        <w:t>非作业人员严禁进入其工作范围内。</w:t>
      </w:r>
    </w:p>
    <w:p w14:paraId="0D48EE82">
      <w:pPr>
        <w:pStyle w:val="130"/>
        <w:ind w:firstLine="597"/>
        <w:rPr>
          <w:color w:val="0000FF"/>
        </w:rPr>
      </w:pPr>
      <w:r>
        <w:rPr>
          <w:color w:val="0000FF"/>
        </w:rPr>
        <w:t>（5）不应随意移动、拆除、损坏安全卫生及环境保护设施和警示标识。</w:t>
      </w:r>
    </w:p>
    <w:p w14:paraId="41F2AF31">
      <w:pPr>
        <w:pStyle w:val="130"/>
        <w:ind w:firstLine="597"/>
        <w:rPr>
          <w:color w:val="0000FF"/>
        </w:rPr>
      </w:pPr>
      <w:r>
        <w:rPr>
          <w:color w:val="0000FF"/>
        </w:rPr>
        <w:t>（</w:t>
      </w:r>
      <w:r>
        <w:rPr>
          <w:rFonts w:hint="eastAsia"/>
          <w:color w:val="0000FF"/>
        </w:rPr>
        <w:t>6</w:t>
      </w:r>
      <w:r>
        <w:rPr>
          <w:color w:val="0000FF"/>
        </w:rPr>
        <w:t>）</w:t>
      </w:r>
      <w:r>
        <w:rPr>
          <w:rFonts w:hint="eastAsia"/>
          <w:color w:val="0000FF"/>
        </w:rPr>
        <w:t>水上施工安全措施：</w:t>
      </w:r>
    </w:p>
    <w:p w14:paraId="1637CCF6">
      <w:pPr>
        <w:pStyle w:val="130"/>
        <w:ind w:firstLine="597"/>
        <w:rPr>
          <w:color w:val="0000FF"/>
        </w:rPr>
      </w:pPr>
      <w:r>
        <w:rPr>
          <w:rFonts w:hint="eastAsia"/>
          <w:color w:val="0000FF"/>
        </w:rPr>
        <w:t>工程的防洪设计应符合国家现行标准《防洪标准》（GB50201）、《水利水电工程等级划分及水标准》（SL252）的有关规定。河道护岸的设计顶高程均高于施工期控制水位，满足施工期防淹要求。疏浚、沉桩等临水、水上作业必须佩戴安全帽、救生衣、保险绳等相应的防护用品，现场配备救生圈。</w:t>
      </w:r>
    </w:p>
    <w:p w14:paraId="75BEAAE4">
      <w:pPr>
        <w:pStyle w:val="130"/>
        <w:ind w:firstLine="597"/>
        <w:rPr>
          <w:color w:val="0000FF"/>
        </w:rPr>
      </w:pPr>
      <w:r>
        <w:rPr>
          <w:rFonts w:hint="eastAsia"/>
          <w:color w:val="0000FF"/>
        </w:rPr>
        <w:t>由于河道施工期河道不断流，承包人须按照水利部门要求,设置警示标志、标牌、警示灯，并办理好相关手续，同时做好水上交通管制，落实水上施工安全措施，确保施工安全。具体施工方法及相关安全措施由承包人根据工程实际情况自行决定，并报经监理人审核同意后方可实施。</w:t>
      </w:r>
    </w:p>
    <w:p w14:paraId="2EAEEF81">
      <w:pPr>
        <w:pStyle w:val="130"/>
        <w:ind w:firstLine="597"/>
        <w:rPr>
          <w:color w:val="0000FF"/>
        </w:rPr>
      </w:pPr>
      <w:r>
        <w:rPr>
          <w:rFonts w:hint="eastAsia"/>
          <w:color w:val="0000FF"/>
        </w:rPr>
        <w:t>水上作业具体安全措施：(1)水上作业人员应持有相应的船员适任证书与船员服务簿方可上岗。(2)任何水上作业不应少于两人。(3)所有作业人员应穿戴防护衣服、防护手套、安全帽以及救生衣等防护和救生装备。(4)从事高处作业和舷外作业时，应系无损的安全带，所使用的工具必须放在专用袋内，并用绳子系牢:所用的工器具应在检查合格后方可使用。作业现场下方划定一定的警戒区，并有专人指挥、监护。(5)舷外作业和水上作业时应关闭舷边出水阀(6)遇风力6级以上强风时应停止高处作业，特殊情况急需时，必须采取安全措施;航行时不应舷外作业;舷外作业应挂慢车信号，过往船只应慢速通过。(7)陆地、各船舶、各作业点等均应配有高频无线电话或其他通信设备、始终保持相互通信畅通。(8)船与船之间的跳板应坡度适宜、加设扶手;雨、雪、霜后应及时清理，并垫上草袋或其他防滑物品。(9)在两船(艇、筏)配合作业时，应系紧缆绳，严禁同时踩踏两艘船进行作业。</w:t>
      </w:r>
    </w:p>
    <w:p w14:paraId="0826F950">
      <w:pPr>
        <w:pStyle w:val="2"/>
      </w:pPr>
      <w:r>
        <w:rPr>
          <w:rFonts w:hint="eastAsia"/>
        </w:rPr>
        <w:t>8、主要施工注意点</w:t>
      </w:r>
    </w:p>
    <w:p w14:paraId="5A37368C">
      <w:pPr>
        <w:spacing w:line="360" w:lineRule="auto"/>
        <w:ind w:firstLine="597"/>
        <w:rPr>
          <w:rFonts w:ascii="宋体" w:eastAsia="仿宋" w:cs="宋体"/>
          <w:color w:val="0000FF"/>
          <w:sz w:val="28"/>
        </w:rPr>
      </w:pPr>
      <w:r>
        <w:rPr>
          <w:rFonts w:hint="eastAsia" w:ascii="宋体" w:eastAsia="仿宋" w:cs="宋体"/>
          <w:color w:val="0000FF"/>
          <w:sz w:val="28"/>
        </w:rPr>
        <w:t>1、本设计说明应与图纸对照阅读，本图及说明未尽处均参照现行规范执行。</w:t>
      </w:r>
    </w:p>
    <w:p w14:paraId="13347373">
      <w:pPr>
        <w:spacing w:line="360" w:lineRule="auto"/>
        <w:ind w:firstLine="597"/>
        <w:rPr>
          <w:rFonts w:ascii="宋体" w:eastAsia="仿宋" w:cs="宋体"/>
          <w:color w:val="0000FF"/>
          <w:sz w:val="28"/>
        </w:rPr>
      </w:pPr>
      <w:r>
        <w:rPr>
          <w:rFonts w:hint="eastAsia" w:ascii="宋体" w:eastAsia="仿宋" w:cs="宋体"/>
          <w:color w:val="0000FF"/>
          <w:sz w:val="28"/>
        </w:rPr>
        <w:t>2、本工程施工放样若与现场实际情况有出入，请及时与设计单位联系。</w:t>
      </w:r>
    </w:p>
    <w:p w14:paraId="5E3DCD68">
      <w:pPr>
        <w:spacing w:line="360" w:lineRule="auto"/>
        <w:ind w:firstLine="597"/>
        <w:rPr>
          <w:rFonts w:ascii="宋体" w:eastAsia="仿宋" w:cs="宋体"/>
          <w:color w:val="0000FF"/>
          <w:sz w:val="28"/>
        </w:rPr>
      </w:pPr>
      <w:r>
        <w:rPr>
          <w:rFonts w:hint="eastAsia" w:ascii="宋体" w:eastAsia="仿宋" w:cs="宋体"/>
          <w:color w:val="0000FF"/>
          <w:sz w:val="28"/>
        </w:rPr>
        <w:t>3、工程施工须注意文明施工，应采取防扬尘措施等，满足市政府下达的《南通市城市施工工地扬尘排污费征收管理试行办法》要求。</w:t>
      </w:r>
    </w:p>
    <w:p w14:paraId="03FDE554">
      <w:pPr>
        <w:spacing w:line="360" w:lineRule="auto"/>
        <w:ind w:firstLine="597"/>
        <w:rPr>
          <w:rFonts w:ascii="宋体" w:eastAsia="仿宋" w:cs="宋体"/>
          <w:color w:val="0000FF"/>
          <w:sz w:val="28"/>
        </w:rPr>
      </w:pPr>
      <w:r>
        <w:rPr>
          <w:rFonts w:hint="eastAsia" w:ascii="宋体" w:eastAsia="仿宋" w:cs="宋体"/>
          <w:color w:val="0000FF"/>
          <w:sz w:val="28"/>
        </w:rPr>
        <w:t>4、未尽事宜应按国家现行相关规范、规定执行。</w:t>
      </w:r>
    </w:p>
    <w:p w14:paraId="3E537320">
      <w:pPr>
        <w:pStyle w:val="2"/>
      </w:pPr>
      <w:r>
        <w:rPr>
          <w:rFonts w:hint="eastAsia"/>
        </w:rPr>
        <w:t>9、强制性条文执行情况</w:t>
      </w:r>
    </w:p>
    <w:tbl>
      <w:tblPr>
        <w:tblStyle w:val="17"/>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8"/>
        <w:gridCol w:w="2124"/>
        <w:gridCol w:w="4988"/>
        <w:gridCol w:w="1966"/>
      </w:tblGrid>
      <w:tr w14:paraId="43A9E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blHeader/>
        </w:trPr>
        <w:tc>
          <w:tcPr>
            <w:tcW w:w="543" w:type="pct"/>
            <w:vAlign w:val="center"/>
          </w:tcPr>
          <w:p w14:paraId="22746187">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项目</w:t>
            </w:r>
          </w:p>
        </w:tc>
        <w:tc>
          <w:tcPr>
            <w:tcW w:w="910" w:type="pct"/>
            <w:tcBorders>
              <w:bottom w:val="single" w:color="auto" w:sz="4" w:space="0"/>
            </w:tcBorders>
            <w:vAlign w:val="center"/>
          </w:tcPr>
          <w:p w14:paraId="65CE35C8">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强制性条文规定</w:t>
            </w:r>
          </w:p>
        </w:tc>
        <w:tc>
          <w:tcPr>
            <w:tcW w:w="2522" w:type="pct"/>
            <w:vAlign w:val="center"/>
          </w:tcPr>
          <w:p w14:paraId="32F22D46">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标准序号</w:t>
            </w:r>
          </w:p>
        </w:tc>
        <w:tc>
          <w:tcPr>
            <w:tcW w:w="1023" w:type="pct"/>
            <w:vAlign w:val="center"/>
          </w:tcPr>
          <w:p w14:paraId="0FBF945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执行情况</w:t>
            </w:r>
          </w:p>
        </w:tc>
      </w:tr>
      <w:tr w14:paraId="1DB7F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restart"/>
            <w:vAlign w:val="center"/>
          </w:tcPr>
          <w:p w14:paraId="685B9AD5">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工程等别与建筑物级别</w:t>
            </w:r>
          </w:p>
        </w:tc>
        <w:tc>
          <w:tcPr>
            <w:tcW w:w="910" w:type="pct"/>
            <w:vMerge w:val="restart"/>
            <w:tcBorders>
              <w:top w:val="single" w:color="auto" w:sz="4" w:space="0"/>
            </w:tcBorders>
            <w:vAlign w:val="center"/>
          </w:tcPr>
          <w:p w14:paraId="1D4FB952">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《水利水电工程等级划分及洪水标准》</w:t>
            </w:r>
          </w:p>
          <w:p w14:paraId="16852D66">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（SL252-20</w:t>
            </w:r>
            <w:r>
              <w:rPr>
                <w:rFonts w:hint="eastAsia" w:ascii="宋体" w:hAnsi="宋体"/>
                <w:kern w:val="0"/>
                <w:sz w:val="22"/>
                <w:szCs w:val="22"/>
              </w:rPr>
              <w:t>17</w:t>
            </w:r>
            <w:r>
              <w:rPr>
                <w:rFonts w:ascii="宋体" w:hAnsi="宋体"/>
                <w:kern w:val="0"/>
                <w:sz w:val="22"/>
                <w:szCs w:val="22"/>
              </w:rPr>
              <w:t>）</w:t>
            </w:r>
          </w:p>
        </w:tc>
        <w:tc>
          <w:tcPr>
            <w:tcW w:w="2522" w:type="pct"/>
            <w:vAlign w:val="center"/>
          </w:tcPr>
          <w:p w14:paraId="0E2B54C9">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3.0.1水利水电工程的等别，应根据其工程规模、效益和在经济社会中的重要性，按表3.0.1确定。</w:t>
            </w:r>
          </w:p>
        </w:tc>
        <w:tc>
          <w:tcPr>
            <w:tcW w:w="1023" w:type="pct"/>
            <w:vAlign w:val="center"/>
          </w:tcPr>
          <w:p w14:paraId="2F60555F">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本工程等别为</w:t>
            </w:r>
            <w:r>
              <w:rPr>
                <w:rFonts w:hint="eastAsia" w:ascii="宋体" w:hAnsi="宋体"/>
                <w:sz w:val="22"/>
                <w:szCs w:val="22"/>
              </w:rPr>
              <w:t>Ⅳ</w:t>
            </w:r>
            <w:r>
              <w:rPr>
                <w:rFonts w:hint="eastAsia" w:ascii="宋体" w:hAnsi="宋体"/>
                <w:kern w:val="0"/>
                <w:sz w:val="22"/>
                <w:szCs w:val="22"/>
              </w:rPr>
              <w:t>等，工程规模为小（1）型</w:t>
            </w:r>
          </w:p>
        </w:tc>
      </w:tr>
      <w:tr w14:paraId="004668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35F5053B">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13D6710B">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24BB66D9">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4.5.1治涝、排水工程中排水渠（沟）永久性水工建筑物级别，应根据设计流量按表4.5.1确定。</w:t>
            </w:r>
          </w:p>
        </w:tc>
        <w:tc>
          <w:tcPr>
            <w:tcW w:w="1023" w:type="pct"/>
            <w:vAlign w:val="center"/>
          </w:tcPr>
          <w:p w14:paraId="446560FB">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本工程建筑物等级均为5级。</w:t>
            </w:r>
          </w:p>
        </w:tc>
      </w:tr>
      <w:tr w14:paraId="6079F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281D54FB">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tcBorders>
              <w:top w:val="single" w:color="auto" w:sz="4" w:space="0"/>
            </w:tcBorders>
            <w:vAlign w:val="center"/>
          </w:tcPr>
          <w:p w14:paraId="0851DB55">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《水利水电工程等级划分及洪水标准》</w:t>
            </w:r>
          </w:p>
          <w:p w14:paraId="47580BF1">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（SL252-20</w:t>
            </w:r>
            <w:r>
              <w:rPr>
                <w:rFonts w:hint="eastAsia" w:ascii="宋体" w:hAnsi="宋体"/>
                <w:kern w:val="0"/>
                <w:sz w:val="22"/>
                <w:szCs w:val="22"/>
              </w:rPr>
              <w:t>17</w:t>
            </w:r>
            <w:r>
              <w:rPr>
                <w:rFonts w:ascii="宋体" w:hAnsi="宋体"/>
                <w:kern w:val="0"/>
                <w:sz w:val="22"/>
                <w:szCs w:val="22"/>
              </w:rPr>
              <w:t>）</w:t>
            </w:r>
            <w:r>
              <w:rPr>
                <w:rFonts w:hint="eastAsia" w:ascii="宋体" w:hAnsi="宋体"/>
                <w:kern w:val="0"/>
                <w:sz w:val="22"/>
                <w:szCs w:val="22"/>
              </w:rPr>
              <w:t>《水利水电工程围堰设计规范》（SL 645-2013）</w:t>
            </w:r>
          </w:p>
        </w:tc>
        <w:tc>
          <w:tcPr>
            <w:tcW w:w="2522" w:type="pct"/>
            <w:vAlign w:val="center"/>
          </w:tcPr>
          <w:p w14:paraId="17CF0202">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4.8.1（3.0.1）水利水电工程施工期使用的临时性挡水、泄水等水工建筑物的级别，应根据保护对象、失事后果、使用年限和临时性挡水建筑物规模，按表4.8.1（3.0.1）确定。</w:t>
            </w:r>
          </w:p>
        </w:tc>
        <w:tc>
          <w:tcPr>
            <w:tcW w:w="1023" w:type="pct"/>
            <w:vAlign w:val="center"/>
          </w:tcPr>
          <w:p w14:paraId="7B8CB7F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工程临时建筑物级别为5级。</w:t>
            </w:r>
          </w:p>
        </w:tc>
      </w:tr>
      <w:tr w14:paraId="0C1B3B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restart"/>
            <w:vAlign w:val="center"/>
          </w:tcPr>
          <w:p w14:paraId="4156BAFB">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洪水标准和安全超高</w:t>
            </w:r>
          </w:p>
        </w:tc>
        <w:tc>
          <w:tcPr>
            <w:tcW w:w="910" w:type="pct"/>
            <w:vAlign w:val="center"/>
          </w:tcPr>
          <w:p w14:paraId="37501889">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《水利水电工程等级划分及洪水标准》</w:t>
            </w:r>
          </w:p>
          <w:p w14:paraId="16CA0215">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（SL252-20</w:t>
            </w:r>
            <w:r>
              <w:rPr>
                <w:rFonts w:hint="eastAsia" w:ascii="宋体" w:hAnsi="宋体"/>
                <w:kern w:val="0"/>
                <w:sz w:val="22"/>
                <w:szCs w:val="22"/>
              </w:rPr>
              <w:t>17</w:t>
            </w:r>
            <w:r>
              <w:rPr>
                <w:rFonts w:ascii="宋体" w:hAnsi="宋体"/>
                <w:kern w:val="0"/>
                <w:sz w:val="22"/>
                <w:szCs w:val="22"/>
              </w:rPr>
              <w:t>）</w:t>
            </w:r>
          </w:p>
        </w:tc>
        <w:tc>
          <w:tcPr>
            <w:tcW w:w="2522" w:type="pct"/>
            <w:vAlign w:val="center"/>
          </w:tcPr>
          <w:p w14:paraId="5EBEAFF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5.5.1治涝、排水、灌溉和供水工程永久水工建筑物的设计洪水标准，应根据其级别按表5.5.1确定。</w:t>
            </w:r>
          </w:p>
        </w:tc>
        <w:tc>
          <w:tcPr>
            <w:tcW w:w="1023" w:type="pct"/>
            <w:vAlign w:val="center"/>
          </w:tcPr>
          <w:p w14:paraId="5470F2B0">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洪水标准为20年一遇。</w:t>
            </w:r>
          </w:p>
        </w:tc>
      </w:tr>
      <w:tr w14:paraId="5D1CA8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0BD8D132">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Align w:val="center"/>
          </w:tcPr>
          <w:p w14:paraId="17DE29CF">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《水利水电工程等级划分及洪水标准》</w:t>
            </w:r>
          </w:p>
          <w:p w14:paraId="40F697FB">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（SL252-20</w:t>
            </w:r>
            <w:r>
              <w:rPr>
                <w:rFonts w:hint="eastAsia" w:ascii="宋体" w:hAnsi="宋体"/>
                <w:kern w:val="0"/>
                <w:sz w:val="22"/>
                <w:szCs w:val="22"/>
              </w:rPr>
              <w:t>17</w:t>
            </w:r>
            <w:r>
              <w:rPr>
                <w:rFonts w:ascii="宋体" w:hAnsi="宋体"/>
                <w:kern w:val="0"/>
                <w:sz w:val="22"/>
                <w:szCs w:val="22"/>
              </w:rPr>
              <w:t>）</w:t>
            </w:r>
            <w:r>
              <w:rPr>
                <w:rFonts w:hint="eastAsia" w:ascii="宋体" w:hAnsi="宋体"/>
                <w:kern w:val="0"/>
                <w:sz w:val="22"/>
                <w:szCs w:val="22"/>
              </w:rPr>
              <w:t>《水利水电工程围堰设计规范》（SL 645-2013）</w:t>
            </w:r>
          </w:p>
        </w:tc>
        <w:tc>
          <w:tcPr>
            <w:tcW w:w="2522" w:type="pct"/>
            <w:vAlign w:val="center"/>
          </w:tcPr>
          <w:p w14:paraId="4F315159">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5.6.1（3.0.9）临时性水工建筑物洪水标准，应根据建筑物的结构类型和级别，按表5.6.1（3.0.9）的规定综合分析确定。临时性水工建筑物失事后果严重时，应考虑发生超标准洪水时的应急措施。</w:t>
            </w:r>
          </w:p>
        </w:tc>
        <w:tc>
          <w:tcPr>
            <w:tcW w:w="1023" w:type="pct"/>
            <w:vAlign w:val="center"/>
          </w:tcPr>
          <w:p w14:paraId="320AA304">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工程临时建筑物洪水标准为10年一遇</w:t>
            </w:r>
          </w:p>
        </w:tc>
      </w:tr>
      <w:tr w14:paraId="3C165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tcBorders>
              <w:bottom w:val="single" w:color="auto" w:sz="4" w:space="0"/>
            </w:tcBorders>
            <w:vAlign w:val="center"/>
          </w:tcPr>
          <w:p w14:paraId="2F7BB3E5">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Align w:val="center"/>
          </w:tcPr>
          <w:p w14:paraId="37B11D47">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《水利水电工程施工组织设计规范》</w:t>
            </w:r>
          </w:p>
          <w:p w14:paraId="20BCF267">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（SL303-20</w:t>
            </w:r>
            <w:r>
              <w:rPr>
                <w:rFonts w:hint="eastAsia" w:ascii="宋体" w:hAnsi="宋体"/>
                <w:kern w:val="0"/>
                <w:sz w:val="22"/>
                <w:szCs w:val="22"/>
              </w:rPr>
              <w:t>17</w:t>
            </w:r>
            <w:r>
              <w:rPr>
                <w:rFonts w:ascii="宋体" w:hAnsi="宋体"/>
                <w:kern w:val="0"/>
                <w:sz w:val="22"/>
                <w:szCs w:val="22"/>
              </w:rPr>
              <w:t>）</w:t>
            </w:r>
          </w:p>
        </w:tc>
        <w:tc>
          <w:tcPr>
            <w:tcW w:w="2522" w:type="pct"/>
            <w:vAlign w:val="center"/>
          </w:tcPr>
          <w:p w14:paraId="0BAC2972">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2.4.20不过水围堰堰顶高程河堰顶安全加高值应符合下列规定：1、堰顶高程应不低于设计洪水位的静水位与波浪高度及堰顶安全加高值之和，其堰顶安全加高应不低于表2.4.20的规定值。</w:t>
            </w:r>
          </w:p>
        </w:tc>
        <w:tc>
          <w:tcPr>
            <w:tcW w:w="1023" w:type="pct"/>
            <w:vAlign w:val="center"/>
          </w:tcPr>
          <w:p w14:paraId="66BEAD97">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不过水围堰堰顶安全加高满足下限值0.5m</w:t>
            </w:r>
          </w:p>
        </w:tc>
      </w:tr>
      <w:tr w14:paraId="68FF1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restart"/>
            <w:tcBorders>
              <w:top w:val="single" w:color="auto" w:sz="4" w:space="0"/>
            </w:tcBorders>
            <w:vAlign w:val="center"/>
          </w:tcPr>
          <w:p w14:paraId="3FEEC154">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稳定与强度</w:t>
            </w:r>
          </w:p>
        </w:tc>
        <w:tc>
          <w:tcPr>
            <w:tcW w:w="910" w:type="pct"/>
            <w:vMerge w:val="restart"/>
            <w:vAlign w:val="center"/>
          </w:tcPr>
          <w:p w14:paraId="457B803E">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《水工混凝土结构设计规范》</w:t>
            </w:r>
          </w:p>
          <w:p w14:paraId="2DF3A45D">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（SL191-2008）</w:t>
            </w:r>
          </w:p>
        </w:tc>
        <w:tc>
          <w:tcPr>
            <w:tcW w:w="2522" w:type="pct"/>
            <w:vAlign w:val="center"/>
          </w:tcPr>
          <w:p w14:paraId="76F55574">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3.1.9未经技术鉴定或设计许可，不应改变结构用途和使用环境。</w:t>
            </w:r>
          </w:p>
        </w:tc>
        <w:tc>
          <w:tcPr>
            <w:tcW w:w="1023" w:type="pct"/>
            <w:vAlign w:val="center"/>
          </w:tcPr>
          <w:p w14:paraId="3CDC42E5">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满足要求。</w:t>
            </w:r>
          </w:p>
        </w:tc>
      </w:tr>
      <w:tr w14:paraId="16AEDD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1D81C97F">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171BD4FF">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21C6F58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3.2.2承载能力极限状态计算时，结构构件计算截面上的荷载效应组合设计值S应按下列规定计算：式（3.2.2-1）（3.2.2-2）（3.2.2-3）</w:t>
            </w:r>
          </w:p>
        </w:tc>
        <w:tc>
          <w:tcPr>
            <w:tcW w:w="1023" w:type="pct"/>
            <w:vAlign w:val="center"/>
          </w:tcPr>
          <w:p w14:paraId="68C63367">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按照公式计算</w:t>
            </w:r>
          </w:p>
        </w:tc>
      </w:tr>
      <w:tr w14:paraId="3D4C8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4D808E3D">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57DDA8E7">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6DA59196">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3.2.4承载能力极限状态计算时，钢筋混凝土、预应力混凝土及素混凝土结构的承载力安全系数K不应小于表3.2.4的规定。</w:t>
            </w:r>
          </w:p>
        </w:tc>
        <w:tc>
          <w:tcPr>
            <w:tcW w:w="1023" w:type="pct"/>
            <w:vAlign w:val="center"/>
          </w:tcPr>
          <w:p w14:paraId="03CF285F">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承载力安全系数K满足钢筋混凝土基本组合1.15、偶然组合1.00，素混凝土受压构件基本组合1.25，偶然组合1.05.</w:t>
            </w:r>
          </w:p>
        </w:tc>
      </w:tr>
      <w:tr w14:paraId="4370C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3C10DAA6">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6DA0E3E6">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5053E757">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4.1.4混凝土轴心抗压、轴心抗拉强度标准值f</w:t>
            </w:r>
            <w:r>
              <w:rPr>
                <w:rFonts w:hint="eastAsia" w:ascii="宋体" w:hAnsi="宋体"/>
                <w:kern w:val="0"/>
                <w:sz w:val="22"/>
                <w:szCs w:val="22"/>
                <w:vertAlign w:val="subscript"/>
              </w:rPr>
              <w:t>ck</w:t>
            </w:r>
            <w:r>
              <w:rPr>
                <w:rFonts w:hint="eastAsia" w:ascii="宋体" w:hAnsi="宋体"/>
                <w:kern w:val="0"/>
                <w:sz w:val="22"/>
                <w:szCs w:val="22"/>
              </w:rPr>
              <w:t>、f</w:t>
            </w:r>
            <w:r>
              <w:rPr>
                <w:rFonts w:hint="eastAsia" w:ascii="宋体" w:hAnsi="宋体"/>
                <w:kern w:val="0"/>
                <w:sz w:val="22"/>
                <w:szCs w:val="22"/>
                <w:vertAlign w:val="subscript"/>
              </w:rPr>
              <w:t>tk</w:t>
            </w:r>
            <w:r>
              <w:rPr>
                <w:rFonts w:hint="eastAsia" w:ascii="宋体" w:hAnsi="宋体"/>
                <w:kern w:val="0"/>
                <w:sz w:val="22"/>
                <w:szCs w:val="22"/>
              </w:rPr>
              <w:t>应按表4.1.4确定。</w:t>
            </w:r>
          </w:p>
        </w:tc>
        <w:tc>
          <w:tcPr>
            <w:tcW w:w="1023" w:type="pct"/>
            <w:vAlign w:val="center"/>
          </w:tcPr>
          <w:p w14:paraId="3DDEC6F4">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C25：f</w:t>
            </w:r>
            <w:r>
              <w:rPr>
                <w:rFonts w:hint="eastAsia" w:ascii="宋体" w:hAnsi="宋体"/>
                <w:kern w:val="0"/>
                <w:sz w:val="22"/>
                <w:szCs w:val="22"/>
                <w:vertAlign w:val="subscript"/>
              </w:rPr>
              <w:t>ck</w:t>
            </w:r>
            <w:r>
              <w:rPr>
                <w:rFonts w:hint="eastAsia" w:ascii="宋体" w:hAnsi="宋体"/>
                <w:kern w:val="0"/>
                <w:sz w:val="22"/>
                <w:szCs w:val="22"/>
              </w:rPr>
              <w:t>=16.7N/mm</w:t>
            </w:r>
            <w:r>
              <w:rPr>
                <w:rFonts w:hint="eastAsia" w:ascii="宋体" w:hAnsi="宋体"/>
                <w:kern w:val="0"/>
                <w:sz w:val="22"/>
                <w:szCs w:val="22"/>
                <w:vertAlign w:val="superscript"/>
              </w:rPr>
              <w:t>2</w:t>
            </w:r>
          </w:p>
          <w:p w14:paraId="26834A05">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f</w:t>
            </w:r>
            <w:r>
              <w:rPr>
                <w:rFonts w:hint="eastAsia" w:ascii="宋体" w:hAnsi="宋体"/>
                <w:kern w:val="0"/>
                <w:sz w:val="22"/>
                <w:szCs w:val="22"/>
                <w:vertAlign w:val="subscript"/>
              </w:rPr>
              <w:t>tk</w:t>
            </w:r>
            <w:r>
              <w:rPr>
                <w:rFonts w:hint="eastAsia" w:ascii="宋体" w:hAnsi="宋体"/>
                <w:kern w:val="0"/>
                <w:sz w:val="22"/>
                <w:szCs w:val="22"/>
              </w:rPr>
              <w:t>=1.78N/mm</w:t>
            </w:r>
            <w:r>
              <w:rPr>
                <w:rFonts w:hint="eastAsia" w:ascii="宋体" w:hAnsi="宋体"/>
                <w:kern w:val="0"/>
                <w:sz w:val="22"/>
                <w:szCs w:val="22"/>
                <w:vertAlign w:val="superscript"/>
              </w:rPr>
              <w:t>2</w:t>
            </w:r>
          </w:p>
          <w:p w14:paraId="15BB7151">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C30：f</w:t>
            </w:r>
            <w:r>
              <w:rPr>
                <w:rFonts w:hint="eastAsia" w:ascii="宋体" w:hAnsi="宋体"/>
                <w:kern w:val="0"/>
                <w:sz w:val="22"/>
                <w:szCs w:val="22"/>
                <w:vertAlign w:val="subscript"/>
              </w:rPr>
              <w:t>ck</w:t>
            </w:r>
            <w:r>
              <w:rPr>
                <w:rFonts w:hint="eastAsia" w:ascii="宋体" w:hAnsi="宋体"/>
                <w:kern w:val="0"/>
                <w:sz w:val="22"/>
                <w:szCs w:val="22"/>
              </w:rPr>
              <w:t>=20.1N/mm</w:t>
            </w:r>
            <w:r>
              <w:rPr>
                <w:rFonts w:hint="eastAsia" w:ascii="宋体" w:hAnsi="宋体"/>
                <w:kern w:val="0"/>
                <w:sz w:val="22"/>
                <w:szCs w:val="22"/>
                <w:vertAlign w:val="superscript"/>
              </w:rPr>
              <w:t>2</w:t>
            </w:r>
          </w:p>
          <w:p w14:paraId="52F6FF8D">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f</w:t>
            </w:r>
            <w:r>
              <w:rPr>
                <w:rFonts w:hint="eastAsia" w:ascii="宋体" w:hAnsi="宋体"/>
                <w:kern w:val="0"/>
                <w:sz w:val="22"/>
                <w:szCs w:val="22"/>
                <w:vertAlign w:val="subscript"/>
              </w:rPr>
              <w:t>tk</w:t>
            </w:r>
            <w:r>
              <w:rPr>
                <w:rFonts w:hint="eastAsia" w:ascii="宋体" w:hAnsi="宋体"/>
                <w:kern w:val="0"/>
                <w:sz w:val="22"/>
                <w:szCs w:val="22"/>
              </w:rPr>
              <w:t>=2.01N/mm</w:t>
            </w:r>
            <w:r>
              <w:rPr>
                <w:rFonts w:hint="eastAsia" w:ascii="宋体" w:hAnsi="宋体"/>
                <w:kern w:val="0"/>
                <w:sz w:val="22"/>
                <w:szCs w:val="22"/>
                <w:vertAlign w:val="superscript"/>
              </w:rPr>
              <w:t>2</w:t>
            </w:r>
          </w:p>
          <w:p w14:paraId="68B696DE">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C35：f</w:t>
            </w:r>
            <w:r>
              <w:rPr>
                <w:rFonts w:hint="eastAsia" w:ascii="宋体" w:hAnsi="宋体"/>
                <w:kern w:val="0"/>
                <w:sz w:val="22"/>
                <w:szCs w:val="22"/>
                <w:vertAlign w:val="subscript"/>
              </w:rPr>
              <w:t>ck</w:t>
            </w:r>
            <w:r>
              <w:rPr>
                <w:rFonts w:hint="eastAsia" w:ascii="宋体" w:hAnsi="宋体"/>
                <w:kern w:val="0"/>
                <w:sz w:val="22"/>
                <w:szCs w:val="22"/>
              </w:rPr>
              <w:t>=23.4N/mm</w:t>
            </w:r>
            <w:r>
              <w:rPr>
                <w:rFonts w:hint="eastAsia" w:ascii="宋体" w:hAnsi="宋体"/>
                <w:kern w:val="0"/>
                <w:sz w:val="22"/>
                <w:szCs w:val="22"/>
                <w:vertAlign w:val="superscript"/>
              </w:rPr>
              <w:t>2</w:t>
            </w:r>
          </w:p>
          <w:p w14:paraId="3FC6A9E6">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f</w:t>
            </w:r>
            <w:r>
              <w:rPr>
                <w:rFonts w:hint="eastAsia" w:ascii="宋体" w:hAnsi="宋体"/>
                <w:kern w:val="0"/>
                <w:sz w:val="22"/>
                <w:szCs w:val="22"/>
                <w:vertAlign w:val="subscript"/>
              </w:rPr>
              <w:t>tk</w:t>
            </w:r>
            <w:r>
              <w:rPr>
                <w:rFonts w:hint="eastAsia" w:ascii="宋体" w:hAnsi="宋体"/>
                <w:kern w:val="0"/>
                <w:sz w:val="22"/>
                <w:szCs w:val="22"/>
              </w:rPr>
              <w:t>=2.20N/mm</w:t>
            </w:r>
            <w:r>
              <w:rPr>
                <w:rFonts w:hint="eastAsia" w:ascii="宋体" w:hAnsi="宋体"/>
                <w:kern w:val="0"/>
                <w:sz w:val="22"/>
                <w:szCs w:val="22"/>
                <w:vertAlign w:val="superscript"/>
              </w:rPr>
              <w:t>2</w:t>
            </w:r>
          </w:p>
        </w:tc>
      </w:tr>
      <w:tr w14:paraId="16DB84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57CCBE72">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64B30656">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4306F2CD">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4.1.5混凝土轴心抗压、轴心抗拉强度设计值f</w:t>
            </w:r>
            <w:r>
              <w:rPr>
                <w:rFonts w:hint="eastAsia" w:ascii="宋体" w:hAnsi="宋体"/>
                <w:kern w:val="0"/>
                <w:sz w:val="22"/>
                <w:szCs w:val="22"/>
                <w:vertAlign w:val="subscript"/>
              </w:rPr>
              <w:t>c</w:t>
            </w:r>
            <w:r>
              <w:rPr>
                <w:rFonts w:hint="eastAsia" w:ascii="宋体" w:hAnsi="宋体"/>
                <w:kern w:val="0"/>
                <w:sz w:val="22"/>
                <w:szCs w:val="22"/>
              </w:rPr>
              <w:t>、f</w:t>
            </w:r>
            <w:r>
              <w:rPr>
                <w:rFonts w:hint="eastAsia" w:ascii="宋体" w:hAnsi="宋体"/>
                <w:kern w:val="0"/>
                <w:sz w:val="22"/>
                <w:szCs w:val="22"/>
                <w:vertAlign w:val="subscript"/>
              </w:rPr>
              <w:t>t</w:t>
            </w:r>
            <w:r>
              <w:rPr>
                <w:rFonts w:hint="eastAsia" w:ascii="宋体" w:hAnsi="宋体"/>
                <w:kern w:val="0"/>
                <w:sz w:val="22"/>
                <w:szCs w:val="22"/>
              </w:rPr>
              <w:t>应按表4.1.5确定。</w:t>
            </w:r>
          </w:p>
        </w:tc>
        <w:tc>
          <w:tcPr>
            <w:tcW w:w="1023" w:type="pct"/>
            <w:vAlign w:val="center"/>
          </w:tcPr>
          <w:p w14:paraId="7C9D68FA">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C25：f</w:t>
            </w:r>
            <w:r>
              <w:rPr>
                <w:rFonts w:hint="eastAsia" w:ascii="宋体" w:hAnsi="宋体"/>
                <w:kern w:val="0"/>
                <w:sz w:val="22"/>
                <w:szCs w:val="22"/>
                <w:vertAlign w:val="subscript"/>
              </w:rPr>
              <w:t>ck</w:t>
            </w:r>
            <w:r>
              <w:rPr>
                <w:rFonts w:hint="eastAsia" w:ascii="宋体" w:hAnsi="宋体"/>
                <w:kern w:val="0"/>
                <w:sz w:val="22"/>
                <w:szCs w:val="22"/>
              </w:rPr>
              <w:t>=11.9N/mm</w:t>
            </w:r>
            <w:r>
              <w:rPr>
                <w:rFonts w:hint="eastAsia" w:ascii="宋体" w:hAnsi="宋体"/>
                <w:kern w:val="0"/>
                <w:sz w:val="22"/>
                <w:szCs w:val="22"/>
                <w:vertAlign w:val="superscript"/>
              </w:rPr>
              <w:t>2</w:t>
            </w:r>
          </w:p>
          <w:p w14:paraId="3DD13C1A">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f</w:t>
            </w:r>
            <w:r>
              <w:rPr>
                <w:rFonts w:hint="eastAsia" w:ascii="宋体" w:hAnsi="宋体"/>
                <w:kern w:val="0"/>
                <w:sz w:val="22"/>
                <w:szCs w:val="22"/>
                <w:vertAlign w:val="subscript"/>
              </w:rPr>
              <w:t>t</w:t>
            </w:r>
            <w:r>
              <w:rPr>
                <w:rFonts w:hint="eastAsia" w:ascii="宋体" w:hAnsi="宋体"/>
                <w:kern w:val="0"/>
                <w:sz w:val="22"/>
                <w:szCs w:val="22"/>
              </w:rPr>
              <w:t>N/mm</w:t>
            </w:r>
            <w:r>
              <w:rPr>
                <w:rFonts w:hint="eastAsia" w:ascii="宋体" w:hAnsi="宋体"/>
                <w:kern w:val="0"/>
                <w:sz w:val="22"/>
                <w:szCs w:val="22"/>
                <w:vertAlign w:val="superscript"/>
              </w:rPr>
              <w:t>2</w:t>
            </w:r>
          </w:p>
          <w:p w14:paraId="1EFB7FE6">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C30：f</w:t>
            </w:r>
            <w:r>
              <w:rPr>
                <w:rFonts w:hint="eastAsia" w:ascii="宋体" w:hAnsi="宋体"/>
                <w:kern w:val="0"/>
                <w:sz w:val="22"/>
                <w:szCs w:val="22"/>
                <w:vertAlign w:val="subscript"/>
              </w:rPr>
              <w:t>ck</w:t>
            </w:r>
            <w:r>
              <w:rPr>
                <w:rFonts w:hint="eastAsia" w:ascii="宋体" w:hAnsi="宋体"/>
                <w:kern w:val="0"/>
                <w:sz w:val="22"/>
                <w:szCs w:val="22"/>
              </w:rPr>
              <w:t>=14.3N</w:t>
            </w:r>
            <w:r>
              <w:rPr>
                <w:rFonts w:hint="eastAsia" w:ascii="宋体" w:hAnsi="宋体"/>
                <w:kern w:val="0"/>
                <w:sz w:val="22"/>
                <w:szCs w:val="22"/>
                <w:vertAlign w:val="subscript"/>
              </w:rPr>
              <w:t xml:space="preserve"> k</w:t>
            </w:r>
            <w:r>
              <w:rPr>
                <w:rFonts w:hint="eastAsia" w:ascii="宋体" w:hAnsi="宋体"/>
                <w:kern w:val="0"/>
                <w:sz w:val="22"/>
                <w:szCs w:val="22"/>
              </w:rPr>
              <w:t>=1.27/mm</w:t>
            </w:r>
            <w:r>
              <w:rPr>
                <w:rFonts w:hint="eastAsia" w:ascii="宋体" w:hAnsi="宋体"/>
                <w:kern w:val="0"/>
                <w:sz w:val="22"/>
                <w:szCs w:val="22"/>
                <w:vertAlign w:val="superscript"/>
              </w:rPr>
              <w:t>2</w:t>
            </w:r>
          </w:p>
          <w:p w14:paraId="316654DA">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f</w:t>
            </w:r>
            <w:r>
              <w:rPr>
                <w:rFonts w:hint="eastAsia" w:ascii="宋体" w:hAnsi="宋体"/>
                <w:kern w:val="0"/>
                <w:sz w:val="22"/>
                <w:szCs w:val="22"/>
                <w:vertAlign w:val="subscript"/>
              </w:rPr>
              <w:t>tk</w:t>
            </w:r>
            <w:r>
              <w:rPr>
                <w:rFonts w:hint="eastAsia" w:ascii="宋体" w:hAnsi="宋体"/>
                <w:kern w:val="0"/>
                <w:sz w:val="22"/>
                <w:szCs w:val="22"/>
              </w:rPr>
              <w:t>=1.43N/mm</w:t>
            </w:r>
            <w:r>
              <w:rPr>
                <w:rFonts w:hint="eastAsia" w:ascii="宋体" w:hAnsi="宋体"/>
                <w:kern w:val="0"/>
                <w:sz w:val="22"/>
                <w:szCs w:val="22"/>
                <w:vertAlign w:val="superscript"/>
              </w:rPr>
              <w:t>2</w:t>
            </w:r>
          </w:p>
          <w:p w14:paraId="3DD1EECF">
            <w:pPr>
              <w:overflowPunct w:val="0"/>
              <w:autoSpaceDE w:val="0"/>
              <w:autoSpaceDN w:val="0"/>
              <w:adjustRightInd w:val="0"/>
              <w:snapToGrid w:val="0"/>
              <w:ind w:firstLine="0" w:firstLineChars="0"/>
              <w:jc w:val="center"/>
              <w:rPr>
                <w:rFonts w:hint="eastAsia" w:ascii="宋体" w:hAnsi="宋体"/>
                <w:kern w:val="0"/>
                <w:sz w:val="22"/>
                <w:szCs w:val="22"/>
                <w:vertAlign w:val="superscript"/>
              </w:rPr>
            </w:pPr>
            <w:r>
              <w:rPr>
                <w:rFonts w:hint="eastAsia" w:ascii="宋体" w:hAnsi="宋体"/>
                <w:kern w:val="0"/>
                <w:sz w:val="22"/>
                <w:szCs w:val="22"/>
              </w:rPr>
              <w:t>C35：f</w:t>
            </w:r>
            <w:r>
              <w:rPr>
                <w:rFonts w:hint="eastAsia" w:ascii="宋体" w:hAnsi="宋体"/>
                <w:kern w:val="0"/>
                <w:sz w:val="22"/>
                <w:szCs w:val="22"/>
                <w:vertAlign w:val="subscript"/>
              </w:rPr>
              <w:t>ck</w:t>
            </w:r>
            <w:r>
              <w:rPr>
                <w:rFonts w:hint="eastAsia" w:ascii="宋体" w:hAnsi="宋体"/>
                <w:kern w:val="0"/>
                <w:sz w:val="22"/>
                <w:szCs w:val="22"/>
              </w:rPr>
              <w:t>=16.7N/mm</w:t>
            </w:r>
            <w:r>
              <w:rPr>
                <w:rFonts w:hint="eastAsia" w:ascii="宋体" w:hAnsi="宋体"/>
                <w:kern w:val="0"/>
                <w:sz w:val="22"/>
                <w:szCs w:val="22"/>
                <w:vertAlign w:val="superscript"/>
              </w:rPr>
              <w:t>2</w:t>
            </w:r>
          </w:p>
          <w:p w14:paraId="39C35D35">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f</w:t>
            </w:r>
            <w:r>
              <w:rPr>
                <w:rFonts w:hint="eastAsia" w:ascii="宋体" w:hAnsi="宋体"/>
                <w:kern w:val="0"/>
                <w:sz w:val="22"/>
                <w:szCs w:val="22"/>
                <w:vertAlign w:val="subscript"/>
              </w:rPr>
              <w:t>tk</w:t>
            </w:r>
            <w:r>
              <w:rPr>
                <w:rFonts w:hint="eastAsia" w:ascii="宋体" w:hAnsi="宋体"/>
                <w:kern w:val="0"/>
                <w:sz w:val="22"/>
                <w:szCs w:val="22"/>
              </w:rPr>
              <w:t>=1.57N/mm</w:t>
            </w:r>
            <w:r>
              <w:rPr>
                <w:rFonts w:hint="eastAsia" w:ascii="宋体" w:hAnsi="宋体"/>
                <w:kern w:val="0"/>
                <w:sz w:val="22"/>
                <w:szCs w:val="22"/>
                <w:vertAlign w:val="superscript"/>
              </w:rPr>
              <w:t>2</w:t>
            </w:r>
          </w:p>
        </w:tc>
      </w:tr>
      <w:tr w14:paraId="014CB0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7E6BC9CE">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0829DAE7">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48BF752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4.2.2钢筋的强度标准值应具有不小于95%的保证率。普通钢筋的强度标准值f</w:t>
            </w:r>
            <w:r>
              <w:rPr>
                <w:rFonts w:hint="eastAsia" w:ascii="宋体" w:hAnsi="宋体"/>
                <w:kern w:val="0"/>
                <w:sz w:val="22"/>
                <w:szCs w:val="22"/>
                <w:vertAlign w:val="subscript"/>
              </w:rPr>
              <w:t>yk</w:t>
            </w:r>
            <w:r>
              <w:rPr>
                <w:rFonts w:hint="eastAsia" w:ascii="宋体" w:hAnsi="宋体"/>
                <w:kern w:val="0"/>
                <w:sz w:val="22"/>
                <w:szCs w:val="22"/>
              </w:rPr>
              <w:t>应按表4.2.2-1采用。</w:t>
            </w:r>
          </w:p>
        </w:tc>
        <w:tc>
          <w:tcPr>
            <w:tcW w:w="1023" w:type="pct"/>
            <w:vAlign w:val="center"/>
          </w:tcPr>
          <w:p w14:paraId="73FE63EF">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 xml:space="preserve"> HRB400 f</w:t>
            </w:r>
            <w:r>
              <w:rPr>
                <w:rFonts w:hint="eastAsia" w:ascii="宋体" w:hAnsi="宋体"/>
                <w:kern w:val="0"/>
                <w:sz w:val="22"/>
                <w:szCs w:val="22"/>
                <w:vertAlign w:val="subscript"/>
              </w:rPr>
              <w:t>yk</w:t>
            </w:r>
            <w:r>
              <w:rPr>
                <w:rFonts w:hint="eastAsia" w:ascii="宋体" w:hAnsi="宋体"/>
                <w:kern w:val="0"/>
                <w:sz w:val="22"/>
                <w:szCs w:val="22"/>
              </w:rPr>
              <w:t>=400N/mm</w:t>
            </w:r>
            <w:r>
              <w:rPr>
                <w:rFonts w:hint="eastAsia" w:ascii="宋体" w:hAnsi="宋体"/>
                <w:kern w:val="0"/>
                <w:sz w:val="22"/>
                <w:szCs w:val="22"/>
                <w:vertAlign w:val="superscript"/>
              </w:rPr>
              <w:t>2</w:t>
            </w:r>
          </w:p>
        </w:tc>
      </w:tr>
      <w:tr w14:paraId="720C52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762D2E1E">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3E4F3EEB">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012D92B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4.2.3普通钢筋的抗拉强度设计值f</w:t>
            </w:r>
            <w:r>
              <w:rPr>
                <w:rFonts w:hint="eastAsia" w:ascii="宋体" w:hAnsi="宋体"/>
                <w:kern w:val="0"/>
                <w:sz w:val="22"/>
                <w:szCs w:val="22"/>
                <w:vertAlign w:val="subscript"/>
              </w:rPr>
              <w:t>y</w:t>
            </w:r>
            <w:r>
              <w:rPr>
                <w:rFonts w:hint="eastAsia" w:ascii="宋体" w:hAnsi="宋体"/>
                <w:kern w:val="0"/>
                <w:sz w:val="22"/>
                <w:szCs w:val="22"/>
              </w:rPr>
              <w:t>及抗压强度设计值f</w:t>
            </w:r>
            <w:r>
              <w:rPr>
                <w:rFonts w:hint="eastAsia" w:ascii="宋体" w:hAnsi="宋体"/>
                <w:kern w:val="0"/>
                <w:sz w:val="22"/>
                <w:szCs w:val="22"/>
                <w:vertAlign w:val="subscript"/>
              </w:rPr>
              <w:t xml:space="preserve"> y</w:t>
            </w:r>
            <w:r>
              <w:rPr>
                <w:rFonts w:ascii="宋体" w:hAnsi="宋体"/>
                <w:kern w:val="0"/>
                <w:sz w:val="22"/>
                <w:szCs w:val="22"/>
              </w:rPr>
              <w:t>’</w:t>
            </w:r>
            <w:r>
              <w:rPr>
                <w:rFonts w:hint="eastAsia" w:ascii="宋体" w:hAnsi="宋体"/>
                <w:kern w:val="0"/>
                <w:sz w:val="22"/>
                <w:szCs w:val="22"/>
              </w:rPr>
              <w:t>应按表4.2.3-1采用。</w:t>
            </w:r>
          </w:p>
        </w:tc>
        <w:tc>
          <w:tcPr>
            <w:tcW w:w="1023" w:type="pct"/>
            <w:vAlign w:val="center"/>
          </w:tcPr>
          <w:p w14:paraId="4C624C0C">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HRB400 f</w:t>
            </w:r>
            <w:r>
              <w:rPr>
                <w:rFonts w:hint="eastAsia" w:ascii="宋体" w:hAnsi="宋体"/>
                <w:kern w:val="0"/>
                <w:sz w:val="22"/>
                <w:szCs w:val="22"/>
                <w:vertAlign w:val="subscript"/>
              </w:rPr>
              <w:t>yk</w:t>
            </w:r>
            <w:r>
              <w:rPr>
                <w:rFonts w:hint="eastAsia" w:ascii="宋体" w:hAnsi="宋体"/>
                <w:kern w:val="0"/>
                <w:sz w:val="22"/>
                <w:szCs w:val="22"/>
              </w:rPr>
              <w:t>=f</w:t>
            </w:r>
            <w:r>
              <w:rPr>
                <w:rFonts w:hint="eastAsia" w:ascii="宋体" w:hAnsi="宋体"/>
                <w:kern w:val="0"/>
                <w:sz w:val="22"/>
                <w:szCs w:val="22"/>
                <w:vertAlign w:val="subscript"/>
              </w:rPr>
              <w:t xml:space="preserve"> y</w:t>
            </w:r>
            <w:r>
              <w:rPr>
                <w:rFonts w:ascii="宋体" w:hAnsi="宋体"/>
                <w:kern w:val="0"/>
                <w:sz w:val="22"/>
                <w:szCs w:val="22"/>
              </w:rPr>
              <w:t>’</w:t>
            </w:r>
            <w:r>
              <w:rPr>
                <w:rFonts w:hint="eastAsia" w:ascii="宋体" w:hAnsi="宋体"/>
                <w:kern w:val="0"/>
                <w:sz w:val="22"/>
                <w:szCs w:val="22"/>
              </w:rPr>
              <w:t xml:space="preserve"> =360N/mm</w:t>
            </w:r>
            <w:r>
              <w:rPr>
                <w:rFonts w:hint="eastAsia" w:ascii="宋体" w:hAnsi="宋体"/>
                <w:kern w:val="0"/>
                <w:sz w:val="22"/>
                <w:szCs w:val="22"/>
                <w:vertAlign w:val="superscript"/>
              </w:rPr>
              <w:t>2</w:t>
            </w:r>
          </w:p>
        </w:tc>
      </w:tr>
      <w:tr w14:paraId="2717B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5DD29EF4">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7428CDEE">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5C7114C0">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5.5.1素混凝土不得用于受拉构件。</w:t>
            </w:r>
          </w:p>
        </w:tc>
        <w:tc>
          <w:tcPr>
            <w:tcW w:w="1023" w:type="pct"/>
            <w:vAlign w:val="center"/>
          </w:tcPr>
          <w:p w14:paraId="7935FC2A">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已执行</w:t>
            </w:r>
          </w:p>
        </w:tc>
      </w:tr>
      <w:tr w14:paraId="1C4BD3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550B65B8">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314A27CD">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04E5A2CA">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9.2.1纵向受力钢筋的混凝土保护层（从钢筋外边缘算起）不应小于钢筋直径及表9.2.1所列的数值，同时也不应小于粗骨料最大粒径的1.25倍。</w:t>
            </w:r>
          </w:p>
        </w:tc>
        <w:tc>
          <w:tcPr>
            <w:tcW w:w="1023" w:type="pct"/>
            <w:vAlign w:val="center"/>
          </w:tcPr>
          <w:p w14:paraId="78A2E583">
            <w:pPr>
              <w:overflowPunct w:val="0"/>
              <w:autoSpaceDE w:val="0"/>
              <w:autoSpaceDN w:val="0"/>
              <w:adjustRightInd w:val="0"/>
              <w:snapToGrid w:val="0"/>
              <w:ind w:firstLine="0" w:firstLineChars="0"/>
              <w:jc w:val="center"/>
              <w:rPr>
                <w:rFonts w:hint="eastAsia" w:ascii="宋体" w:hAnsi="宋体"/>
                <w:kern w:val="0"/>
                <w:sz w:val="22"/>
                <w:szCs w:val="22"/>
                <w:lang w:eastAsia="zh-TW"/>
              </w:rPr>
            </w:pPr>
            <w:r>
              <w:rPr>
                <w:rFonts w:hint="eastAsia" w:ascii="宋体" w:hAnsi="宋体"/>
                <w:kern w:val="0"/>
                <w:sz w:val="22"/>
                <w:szCs w:val="22"/>
              </w:rPr>
              <w:t>已执行，详见砼及钢筋砼结构设计指标表</w:t>
            </w:r>
          </w:p>
        </w:tc>
      </w:tr>
      <w:tr w14:paraId="59281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23F98676">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36A81C42">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6A50DD1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9.3.2当计算中充分利用钢筋抗拉强度时，受拉钢筋伸入支座的锚固长度不应小于9.3.2中规定的数值。受压钢筋的锚固长度不应小于表9.3.2所列数值的0.7倍。</w:t>
            </w:r>
          </w:p>
        </w:tc>
        <w:tc>
          <w:tcPr>
            <w:tcW w:w="1023" w:type="pct"/>
            <w:vAlign w:val="center"/>
          </w:tcPr>
          <w:p w14:paraId="3B3E1E95">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HRB400钢筋锚固长度35d。</w:t>
            </w:r>
          </w:p>
        </w:tc>
      </w:tr>
      <w:tr w14:paraId="02186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7302D236">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4E474499">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1F1F797A">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9.5.1钢筋混凝土构件的纵向受力钢筋的配筋率不应小于表9.5.1规定的数值。</w:t>
            </w:r>
          </w:p>
        </w:tc>
        <w:tc>
          <w:tcPr>
            <w:tcW w:w="1023" w:type="pct"/>
            <w:vAlign w:val="center"/>
          </w:tcPr>
          <w:p w14:paraId="1583F346">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满足最小配筋率要求</w:t>
            </w:r>
          </w:p>
        </w:tc>
      </w:tr>
      <w:tr w14:paraId="089B5A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01" w:hRule="atLeast"/>
        </w:trPr>
        <w:tc>
          <w:tcPr>
            <w:tcW w:w="543" w:type="pct"/>
            <w:vMerge w:val="continue"/>
            <w:vAlign w:val="center"/>
          </w:tcPr>
          <w:p w14:paraId="7E7ADF6F">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Align w:val="center"/>
          </w:tcPr>
          <w:p w14:paraId="4ADAA647">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《水利水电工程围堰设计规范》</w:t>
            </w:r>
          </w:p>
          <w:p w14:paraId="4129D36D">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（SL645-2013）</w:t>
            </w:r>
          </w:p>
        </w:tc>
        <w:tc>
          <w:tcPr>
            <w:tcW w:w="2522" w:type="pct"/>
            <w:vAlign w:val="center"/>
          </w:tcPr>
          <w:p w14:paraId="7CA0CA12">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6.5.1土石围堰稳定计算应符合下列要求：1、抗滑稳定采用瑞典圆弧法或毕肖普简化法时，土石围堰的边坡稳定安全系数应满足表6.5.1的规定。</w:t>
            </w:r>
          </w:p>
        </w:tc>
        <w:tc>
          <w:tcPr>
            <w:tcW w:w="1023" w:type="pct"/>
            <w:vAlign w:val="center"/>
          </w:tcPr>
          <w:p w14:paraId="3F750DB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土围堰边坡稳定系圆弧法数采用瑞典，安全系数大于1.05。</w:t>
            </w:r>
          </w:p>
        </w:tc>
      </w:tr>
      <w:tr w14:paraId="6844C4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Align w:val="center"/>
          </w:tcPr>
          <w:p w14:paraId="4AFC1A34">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抗震</w:t>
            </w:r>
          </w:p>
        </w:tc>
        <w:tc>
          <w:tcPr>
            <w:tcW w:w="910" w:type="pct"/>
            <w:vAlign w:val="center"/>
          </w:tcPr>
          <w:p w14:paraId="44860A24">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《水工建筑物抗震设计规范》</w:t>
            </w:r>
          </w:p>
          <w:p w14:paraId="653FEB55">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（GB51247-2018）</w:t>
            </w:r>
          </w:p>
        </w:tc>
        <w:tc>
          <w:tcPr>
            <w:tcW w:w="2522" w:type="pct"/>
            <w:vAlign w:val="center"/>
          </w:tcPr>
          <w:p w14:paraId="6033F711">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3.0.1水工建筑物应根据其重要性和工程场地地震基本烈度按表3.0.1确定其工程抗震设防类别。</w:t>
            </w:r>
          </w:p>
        </w:tc>
        <w:tc>
          <w:tcPr>
            <w:tcW w:w="1023" w:type="pct"/>
            <w:vAlign w:val="center"/>
          </w:tcPr>
          <w:p w14:paraId="449A2330">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抗震设防烈度为Ⅶ度。</w:t>
            </w:r>
          </w:p>
        </w:tc>
      </w:tr>
      <w:tr w14:paraId="318BB5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restart"/>
            <w:vAlign w:val="center"/>
          </w:tcPr>
          <w:p w14:paraId="312E6BD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环境保护、水土保持</w:t>
            </w:r>
          </w:p>
        </w:tc>
        <w:tc>
          <w:tcPr>
            <w:tcW w:w="910" w:type="pct"/>
            <w:vMerge w:val="restart"/>
            <w:vAlign w:val="center"/>
          </w:tcPr>
          <w:p w14:paraId="5CEC168F">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《环境影响评价技术导</w:t>
            </w:r>
            <w:r>
              <w:rPr>
                <w:rFonts w:hint="eastAsia" w:ascii="宋体" w:hAnsi="宋体"/>
                <w:kern w:val="0"/>
                <w:sz w:val="22"/>
                <w:szCs w:val="22"/>
              </w:rPr>
              <w:t xml:space="preserve">则 </w:t>
            </w:r>
            <w:r>
              <w:rPr>
                <w:rFonts w:ascii="宋体" w:hAnsi="宋体"/>
                <w:kern w:val="0"/>
                <w:sz w:val="22"/>
                <w:szCs w:val="22"/>
              </w:rPr>
              <w:t>水利水电工程》（HJ/T88-2003）</w:t>
            </w:r>
          </w:p>
        </w:tc>
        <w:tc>
          <w:tcPr>
            <w:tcW w:w="2522" w:type="pct"/>
            <w:vAlign w:val="center"/>
          </w:tcPr>
          <w:p w14:paraId="682A44AA">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6.2.2大气污染防治措施:应对生产、生活设施和运输车辆等排放废气、粉尘、扬尘提出控制要求和净化措施；制定环境空气监测计划、管理办法。</w:t>
            </w:r>
          </w:p>
        </w:tc>
        <w:tc>
          <w:tcPr>
            <w:tcW w:w="1023" w:type="pct"/>
            <w:vMerge w:val="restart"/>
            <w:vAlign w:val="center"/>
          </w:tcPr>
          <w:p w14:paraId="389909FF">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已执行</w:t>
            </w:r>
          </w:p>
          <w:p w14:paraId="6221461D">
            <w:pPr>
              <w:overflowPunct w:val="0"/>
              <w:autoSpaceDE w:val="0"/>
              <w:autoSpaceDN w:val="0"/>
              <w:adjustRightInd w:val="0"/>
              <w:snapToGrid w:val="0"/>
              <w:ind w:firstLine="0" w:firstLineChars="0"/>
              <w:jc w:val="center"/>
              <w:rPr>
                <w:rFonts w:hint="eastAsia" w:ascii="宋体" w:hAnsi="宋体"/>
                <w:kern w:val="0"/>
                <w:sz w:val="22"/>
                <w:szCs w:val="22"/>
              </w:rPr>
            </w:pPr>
          </w:p>
        </w:tc>
      </w:tr>
      <w:tr w14:paraId="674BA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57BEF013">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530CFD6A">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3462B6A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6.2.3环境噪声控制措施:施工现场建筑材料的开采、土石方开挖、施工附属企业、机械、交通运输车辆等释放的噪声应提出控制噪声要求；对生活区、办公区布局提出调整意见；对敏感点采取设立声屏障、隔音减噪等措施；制定噪声监控计划。</w:t>
            </w:r>
          </w:p>
        </w:tc>
        <w:tc>
          <w:tcPr>
            <w:tcW w:w="1023" w:type="pct"/>
            <w:vMerge w:val="continue"/>
            <w:vAlign w:val="center"/>
          </w:tcPr>
          <w:p w14:paraId="4A061B21">
            <w:pPr>
              <w:overflowPunct w:val="0"/>
              <w:autoSpaceDE w:val="0"/>
              <w:autoSpaceDN w:val="0"/>
              <w:adjustRightInd w:val="0"/>
              <w:snapToGrid w:val="0"/>
              <w:ind w:firstLine="0" w:firstLineChars="0"/>
              <w:jc w:val="center"/>
              <w:rPr>
                <w:rFonts w:hint="eastAsia" w:ascii="宋体" w:hAnsi="宋体"/>
                <w:kern w:val="0"/>
                <w:sz w:val="22"/>
                <w:szCs w:val="22"/>
              </w:rPr>
            </w:pPr>
          </w:p>
        </w:tc>
      </w:tr>
      <w:tr w14:paraId="3FB33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5B7F5D2D">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40267199">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1DE0C3CA">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6.2.4施工固体废物处理处置措施:应包括施工产生的生活垃圾、建筑垃圾、生产废料处理处置等。</w:t>
            </w:r>
          </w:p>
        </w:tc>
        <w:tc>
          <w:tcPr>
            <w:tcW w:w="1023" w:type="pct"/>
            <w:vMerge w:val="continue"/>
            <w:vAlign w:val="center"/>
          </w:tcPr>
          <w:p w14:paraId="52C3E19E">
            <w:pPr>
              <w:overflowPunct w:val="0"/>
              <w:autoSpaceDE w:val="0"/>
              <w:autoSpaceDN w:val="0"/>
              <w:adjustRightInd w:val="0"/>
              <w:snapToGrid w:val="0"/>
              <w:ind w:firstLine="0" w:firstLineChars="0"/>
              <w:jc w:val="center"/>
              <w:rPr>
                <w:rFonts w:hint="eastAsia" w:ascii="宋体" w:hAnsi="宋体"/>
                <w:kern w:val="0"/>
                <w:sz w:val="22"/>
                <w:szCs w:val="22"/>
              </w:rPr>
            </w:pPr>
          </w:p>
        </w:tc>
      </w:tr>
      <w:tr w14:paraId="28149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46" w:hRule="atLeast"/>
        </w:trPr>
        <w:tc>
          <w:tcPr>
            <w:tcW w:w="543" w:type="pct"/>
            <w:vMerge w:val="continue"/>
            <w:vAlign w:val="center"/>
          </w:tcPr>
          <w:p w14:paraId="5A5C34B2">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1E5E6AF4">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2739E7C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6.2.6土壤环境保护措施:</w:t>
            </w:r>
          </w:p>
          <w:p w14:paraId="737CE480">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a.工程引起土壤潜育化、沼泽化、盐渍化、土地沙化，应提出工程、生物和监测管理措施。</w:t>
            </w:r>
          </w:p>
          <w:p w14:paraId="1956F957">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b.清淤底泥对土壤造成污染，应采取工程、生物、监测与管理措施</w:t>
            </w:r>
          </w:p>
        </w:tc>
        <w:tc>
          <w:tcPr>
            <w:tcW w:w="1023" w:type="pct"/>
            <w:vMerge w:val="continue"/>
            <w:vAlign w:val="center"/>
          </w:tcPr>
          <w:p w14:paraId="38A83561">
            <w:pPr>
              <w:overflowPunct w:val="0"/>
              <w:autoSpaceDE w:val="0"/>
              <w:autoSpaceDN w:val="0"/>
              <w:adjustRightInd w:val="0"/>
              <w:snapToGrid w:val="0"/>
              <w:ind w:firstLine="0" w:firstLineChars="0"/>
              <w:jc w:val="center"/>
              <w:rPr>
                <w:rFonts w:hint="eastAsia" w:ascii="宋体" w:hAnsi="宋体"/>
                <w:kern w:val="0"/>
                <w:sz w:val="22"/>
                <w:szCs w:val="22"/>
              </w:rPr>
            </w:pPr>
          </w:p>
        </w:tc>
      </w:tr>
      <w:tr w14:paraId="35683C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8" w:hRule="atLeast"/>
        </w:trPr>
        <w:tc>
          <w:tcPr>
            <w:tcW w:w="543" w:type="pct"/>
            <w:vMerge w:val="continue"/>
            <w:tcBorders>
              <w:bottom w:val="single" w:color="auto" w:sz="6" w:space="0"/>
            </w:tcBorders>
            <w:vAlign w:val="center"/>
          </w:tcPr>
          <w:p w14:paraId="39A2938D">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restart"/>
            <w:tcBorders>
              <w:bottom w:val="single" w:color="auto" w:sz="6" w:space="0"/>
            </w:tcBorders>
            <w:vAlign w:val="center"/>
          </w:tcPr>
          <w:p w14:paraId="2D0366EF">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《水利水电工程水土保持技术规范》</w:t>
            </w:r>
          </w:p>
          <w:p w14:paraId="7690A913">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（SL575-2012）</w:t>
            </w:r>
          </w:p>
        </w:tc>
        <w:tc>
          <w:tcPr>
            <w:tcW w:w="2522" w:type="pct"/>
            <w:tcBorders>
              <w:bottom w:val="single" w:color="auto" w:sz="6" w:space="0"/>
            </w:tcBorders>
            <w:vAlign w:val="center"/>
          </w:tcPr>
          <w:p w14:paraId="26B33E55">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4.1.1水利水电工程水土流失防治应遵循下列规定：1、应控制和减少对原地貌、地表植被、水系的扰动和损毁，减少占用水土资源，注重提高资源利用效率。2、对于原地表植被、表土有特殊保护要求的区域，应结合项目区实际剥离表层士、移植植物以备后期恢复利用，并根据需要采取相应防护措施。3、主体工程开挖土石方应优先考虑综合利用，减少借方和弃渣。弃渣应设置专门场地予以堆放和处置，并采取挡护措施。4、在符合功能要求且不影响工程安全的前提下，水利水电工程边坡防护应采用生态型防护措施；具备条件的砌石、混凝土等护坡及稳定岩质边坡，应采取覆绿或恢复植被措施。5、水利水电工程有关植物措施设计应纳入水土保持设计。6、弃渣场防护措施设计应在保证渣体稳定的基础上进行。</w:t>
            </w:r>
          </w:p>
        </w:tc>
        <w:tc>
          <w:tcPr>
            <w:tcW w:w="1023" w:type="pct"/>
            <w:vMerge w:val="restart"/>
            <w:tcBorders>
              <w:bottom w:val="single" w:color="auto" w:sz="6" w:space="0"/>
            </w:tcBorders>
            <w:vAlign w:val="center"/>
          </w:tcPr>
          <w:p w14:paraId="456B033E">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已执行</w:t>
            </w:r>
          </w:p>
        </w:tc>
      </w:tr>
      <w:tr w14:paraId="3CC4A6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7AE54E84">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4A020641">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4AB6BF75">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4.1.5弃渣场选址应遵循GB50433-2018第3.2.3条的规定，并应符合下列规定：</w:t>
            </w:r>
          </w:p>
          <w:p w14:paraId="5FDBCF2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2严禁在对重要基础设施、人民群众生命财产安全及行洪安全有重大影响的区域布设弃渣场。弃渣场不应影响河流、沟谷的行洪安全；弃渣不应影响水库大坝、水利工程取用水建筑物、泄水建筑物、灌(排)干渠(沟)功能，不应影响工矿企业、居民区、交通干线或其他重要基础设施的安全。</w:t>
            </w:r>
          </w:p>
        </w:tc>
        <w:tc>
          <w:tcPr>
            <w:tcW w:w="1023" w:type="pct"/>
            <w:vMerge w:val="continue"/>
            <w:vAlign w:val="center"/>
          </w:tcPr>
          <w:p w14:paraId="0EA721B4">
            <w:pPr>
              <w:overflowPunct w:val="0"/>
              <w:autoSpaceDE w:val="0"/>
              <w:autoSpaceDN w:val="0"/>
              <w:adjustRightInd w:val="0"/>
              <w:snapToGrid w:val="0"/>
              <w:ind w:firstLine="0" w:firstLineChars="0"/>
              <w:jc w:val="center"/>
              <w:rPr>
                <w:rFonts w:hint="eastAsia" w:ascii="宋体" w:hAnsi="宋体"/>
                <w:kern w:val="0"/>
                <w:sz w:val="22"/>
                <w:szCs w:val="22"/>
              </w:rPr>
            </w:pPr>
          </w:p>
        </w:tc>
      </w:tr>
      <w:tr w14:paraId="35E30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1" w:hRule="atLeast"/>
        </w:trPr>
        <w:tc>
          <w:tcPr>
            <w:tcW w:w="543" w:type="pct"/>
            <w:vMerge w:val="restart"/>
            <w:vAlign w:val="center"/>
          </w:tcPr>
          <w:p w14:paraId="5F39E0E1">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劳动安全</w:t>
            </w:r>
          </w:p>
        </w:tc>
        <w:tc>
          <w:tcPr>
            <w:tcW w:w="910" w:type="pct"/>
            <w:vMerge w:val="restart"/>
            <w:vAlign w:val="center"/>
          </w:tcPr>
          <w:p w14:paraId="4A7508E1">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《水利水电工程施工通用安全技术规范》（SL398-20</w:t>
            </w:r>
            <w:r>
              <w:rPr>
                <w:rFonts w:hint="eastAsia" w:ascii="宋体" w:hAnsi="宋体"/>
                <w:kern w:val="0"/>
                <w:sz w:val="22"/>
                <w:szCs w:val="22"/>
              </w:rPr>
              <w:t>22</w:t>
            </w:r>
            <w:r>
              <w:rPr>
                <w:rFonts w:ascii="宋体" w:hAnsi="宋体"/>
                <w:kern w:val="0"/>
                <w:sz w:val="22"/>
                <w:szCs w:val="22"/>
              </w:rPr>
              <w:t>）</w:t>
            </w:r>
          </w:p>
        </w:tc>
        <w:tc>
          <w:tcPr>
            <w:tcW w:w="2522" w:type="pct"/>
            <w:vAlign w:val="center"/>
          </w:tcPr>
          <w:p w14:paraId="06E28439">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3.1.8施工现场的井、洞、坑、沟、口等危险处应设置明显的警示标志，并采取加盖板或设置围栏等防护措施。</w:t>
            </w:r>
          </w:p>
        </w:tc>
        <w:tc>
          <w:tcPr>
            <w:tcW w:w="1023" w:type="pct"/>
            <w:vMerge w:val="restart"/>
            <w:vAlign w:val="center"/>
          </w:tcPr>
          <w:p w14:paraId="3AF7221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已执行</w:t>
            </w:r>
          </w:p>
        </w:tc>
      </w:tr>
      <w:tr w14:paraId="0D0C71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543" w:type="pct"/>
            <w:vMerge w:val="continue"/>
            <w:vAlign w:val="center"/>
          </w:tcPr>
          <w:p w14:paraId="60E5B848">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67DB92EC">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6DA04FBB">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3.1.11交通频繁的施工道路、交又路口应按规定设置警示标志或信号指示灯开挖、弃渣场地应设专人指挥。</w:t>
            </w:r>
          </w:p>
          <w:p w14:paraId="3A1FBDA2">
            <w:pPr>
              <w:overflowPunct w:val="0"/>
              <w:autoSpaceDE w:val="0"/>
              <w:autoSpaceDN w:val="0"/>
              <w:adjustRightInd w:val="0"/>
              <w:snapToGrid w:val="0"/>
              <w:ind w:firstLine="0" w:firstLineChars="0"/>
              <w:jc w:val="center"/>
              <w:rPr>
                <w:rFonts w:hint="eastAsia" w:ascii="宋体" w:hAnsi="宋体"/>
                <w:kern w:val="0"/>
                <w:sz w:val="22"/>
                <w:szCs w:val="22"/>
              </w:rPr>
            </w:pPr>
          </w:p>
        </w:tc>
        <w:tc>
          <w:tcPr>
            <w:tcW w:w="1023" w:type="pct"/>
            <w:vMerge w:val="continue"/>
            <w:vAlign w:val="center"/>
          </w:tcPr>
          <w:p w14:paraId="6EBABDB3">
            <w:pPr>
              <w:overflowPunct w:val="0"/>
              <w:autoSpaceDE w:val="0"/>
              <w:autoSpaceDN w:val="0"/>
              <w:adjustRightInd w:val="0"/>
              <w:snapToGrid w:val="0"/>
              <w:ind w:firstLine="0" w:firstLineChars="0"/>
              <w:jc w:val="center"/>
              <w:rPr>
                <w:rFonts w:hint="eastAsia" w:ascii="宋体" w:hAnsi="宋体"/>
                <w:kern w:val="0"/>
                <w:sz w:val="22"/>
                <w:szCs w:val="22"/>
              </w:rPr>
            </w:pPr>
          </w:p>
        </w:tc>
      </w:tr>
      <w:tr w14:paraId="6C00CA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3171677E">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669C135B">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0C9F67F2">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3.1.18施工照明及线路，应遵守下列规定:</w:t>
            </w:r>
          </w:p>
          <w:p w14:paraId="5A63793E">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3在存放易燃、易爆物品场所或有瓦斯的巷道内，照明设备应符合防爆要求。</w:t>
            </w:r>
          </w:p>
        </w:tc>
        <w:tc>
          <w:tcPr>
            <w:tcW w:w="1023" w:type="pct"/>
            <w:vMerge w:val="continue"/>
            <w:vAlign w:val="center"/>
          </w:tcPr>
          <w:p w14:paraId="352F208E">
            <w:pPr>
              <w:overflowPunct w:val="0"/>
              <w:autoSpaceDE w:val="0"/>
              <w:autoSpaceDN w:val="0"/>
              <w:adjustRightInd w:val="0"/>
              <w:snapToGrid w:val="0"/>
              <w:ind w:firstLine="0" w:firstLineChars="0"/>
              <w:jc w:val="center"/>
              <w:rPr>
                <w:rFonts w:hint="eastAsia" w:ascii="宋体" w:hAnsi="宋体"/>
                <w:kern w:val="0"/>
                <w:sz w:val="22"/>
                <w:szCs w:val="22"/>
              </w:rPr>
            </w:pPr>
          </w:p>
        </w:tc>
      </w:tr>
      <w:tr w14:paraId="04B3DB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7553D565">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2C2E75F5">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0D7011FF">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3.5.5宿含、办公室、休息室内严禁存放易燃易爆品，未经许可不得使用电炉。</w:t>
            </w:r>
          </w:p>
        </w:tc>
        <w:tc>
          <w:tcPr>
            <w:tcW w:w="1023" w:type="pct"/>
            <w:vMerge w:val="continue"/>
            <w:vAlign w:val="center"/>
          </w:tcPr>
          <w:p w14:paraId="1F6F1CE2">
            <w:pPr>
              <w:overflowPunct w:val="0"/>
              <w:autoSpaceDE w:val="0"/>
              <w:autoSpaceDN w:val="0"/>
              <w:adjustRightInd w:val="0"/>
              <w:snapToGrid w:val="0"/>
              <w:ind w:firstLine="0" w:firstLineChars="0"/>
              <w:jc w:val="center"/>
              <w:rPr>
                <w:rFonts w:hint="eastAsia" w:ascii="宋体" w:hAnsi="宋体"/>
                <w:kern w:val="0"/>
                <w:sz w:val="22"/>
                <w:szCs w:val="22"/>
              </w:rPr>
            </w:pPr>
          </w:p>
        </w:tc>
      </w:tr>
      <w:tr w14:paraId="27351E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02EEF53A">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244276C8">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24D39FCA">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3.5.9油料、炸药、木材等常用的易燃易爆危险品存放使用场所、仓库，应有严格的防火措施和相应的消防措施，严禁使用明火和吸烟。</w:t>
            </w:r>
          </w:p>
        </w:tc>
        <w:tc>
          <w:tcPr>
            <w:tcW w:w="1023" w:type="pct"/>
            <w:vMerge w:val="continue"/>
            <w:vAlign w:val="center"/>
          </w:tcPr>
          <w:p w14:paraId="65A5DDA6">
            <w:pPr>
              <w:overflowPunct w:val="0"/>
              <w:autoSpaceDE w:val="0"/>
              <w:autoSpaceDN w:val="0"/>
              <w:adjustRightInd w:val="0"/>
              <w:snapToGrid w:val="0"/>
              <w:ind w:firstLine="0" w:firstLineChars="0"/>
              <w:jc w:val="center"/>
              <w:rPr>
                <w:rFonts w:hint="eastAsia" w:ascii="宋体" w:hAnsi="宋体"/>
                <w:kern w:val="0"/>
                <w:sz w:val="22"/>
                <w:szCs w:val="22"/>
              </w:rPr>
            </w:pPr>
          </w:p>
        </w:tc>
      </w:tr>
      <w:tr w14:paraId="15B3F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3BD7054C">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42F31258">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02139CBA">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3.5.11施工生产作业区与建筑物之间的防火安全距离，应遵守下列规定:</w:t>
            </w:r>
          </w:p>
          <w:p w14:paraId="45704E7B">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1用火作业区距所建的建筑物和其他区域不应小于25m。</w:t>
            </w:r>
          </w:p>
          <w:p w14:paraId="007FA666">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2仓库区、易燃、可燃材料堆集场距所建的建筑物和其他区域不应小于20m。</w:t>
            </w:r>
          </w:p>
          <w:p w14:paraId="3C1F35C7">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3易燃品集中站距所建的建筑物和其他区域不应小于30m。</w:t>
            </w:r>
          </w:p>
        </w:tc>
        <w:tc>
          <w:tcPr>
            <w:tcW w:w="1023" w:type="pct"/>
            <w:vMerge w:val="restart"/>
            <w:vAlign w:val="center"/>
          </w:tcPr>
          <w:p w14:paraId="145ED8E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已执行</w:t>
            </w:r>
          </w:p>
        </w:tc>
      </w:tr>
      <w:tr w14:paraId="38C595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3340F44E">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5DE91FCA">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53755ED9">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3.9.4施工现场作业人员，应遵守以下基本要求:</w:t>
            </w:r>
          </w:p>
          <w:p w14:paraId="58C49C3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1进入施工现场，应按规定穿戴安全帽、工作服、工作鞋等防护用品，正确使用安全绳、安全带等安全防护用具及工具，严禁穿拖鞋、高跟鞋或赤脚进入施工现场。3严禁酒后作业4严禁在铁路、公路、洞口、陡坡、高处及水上边缘、滚石坍塌地段、设备运行产通道等危险地带停留和体息。6起重、挖掘机等施工作业时，非作业人员严禁进入其工作范围内。7高处作业时，不应向外、向下抛掷物件。9不应随意移动、拆除、损坏安全卫生及环境保护设施和警示标志。</w:t>
            </w:r>
          </w:p>
        </w:tc>
        <w:tc>
          <w:tcPr>
            <w:tcW w:w="1023" w:type="pct"/>
            <w:vMerge w:val="continue"/>
            <w:vAlign w:val="center"/>
          </w:tcPr>
          <w:p w14:paraId="09A9238D">
            <w:pPr>
              <w:overflowPunct w:val="0"/>
              <w:autoSpaceDE w:val="0"/>
              <w:autoSpaceDN w:val="0"/>
              <w:adjustRightInd w:val="0"/>
              <w:snapToGrid w:val="0"/>
              <w:ind w:firstLine="0" w:firstLineChars="0"/>
              <w:jc w:val="center"/>
              <w:rPr>
                <w:rFonts w:hint="eastAsia" w:ascii="宋体" w:hAnsi="宋体"/>
                <w:kern w:val="0"/>
                <w:sz w:val="22"/>
                <w:szCs w:val="22"/>
              </w:rPr>
            </w:pPr>
          </w:p>
        </w:tc>
      </w:tr>
      <w:tr w14:paraId="3A3A3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0F0892A2">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56EDFCFC">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030F28DE">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4.1.5在建工程（含脚手架）的外侧边缘与外电架空线路的边缘之间应保持安全操作距离。最小安全距离应不小于表4.1.5的规定。</w:t>
            </w:r>
          </w:p>
        </w:tc>
        <w:tc>
          <w:tcPr>
            <w:tcW w:w="1023" w:type="pct"/>
            <w:vMerge w:val="continue"/>
            <w:vAlign w:val="center"/>
          </w:tcPr>
          <w:p w14:paraId="779F6D8A">
            <w:pPr>
              <w:overflowPunct w:val="0"/>
              <w:autoSpaceDE w:val="0"/>
              <w:autoSpaceDN w:val="0"/>
              <w:adjustRightInd w:val="0"/>
              <w:snapToGrid w:val="0"/>
              <w:ind w:firstLine="0" w:firstLineChars="0"/>
              <w:jc w:val="center"/>
              <w:rPr>
                <w:rFonts w:hint="eastAsia" w:ascii="宋体" w:hAnsi="宋体"/>
                <w:kern w:val="0"/>
                <w:sz w:val="22"/>
                <w:szCs w:val="22"/>
              </w:rPr>
            </w:pPr>
          </w:p>
        </w:tc>
      </w:tr>
      <w:tr w14:paraId="40898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trPr>
        <w:tc>
          <w:tcPr>
            <w:tcW w:w="543" w:type="pct"/>
            <w:vMerge w:val="continue"/>
            <w:vAlign w:val="center"/>
          </w:tcPr>
          <w:p w14:paraId="67514831">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344B621C">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4AFF8BA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4.1.6施工现场的机动车道与外电架空线路交叉时，架空线路的最低点与路面的垂直距离不应小于表4.1.6的规定。</w:t>
            </w:r>
          </w:p>
        </w:tc>
        <w:tc>
          <w:tcPr>
            <w:tcW w:w="1023" w:type="pct"/>
            <w:vMerge w:val="continue"/>
            <w:vAlign w:val="center"/>
          </w:tcPr>
          <w:p w14:paraId="489CC049">
            <w:pPr>
              <w:overflowPunct w:val="0"/>
              <w:autoSpaceDE w:val="0"/>
              <w:autoSpaceDN w:val="0"/>
              <w:adjustRightInd w:val="0"/>
              <w:snapToGrid w:val="0"/>
              <w:ind w:firstLine="0" w:firstLineChars="0"/>
              <w:jc w:val="center"/>
              <w:rPr>
                <w:rFonts w:hint="eastAsia" w:ascii="宋体" w:hAnsi="宋体"/>
                <w:kern w:val="0"/>
                <w:sz w:val="22"/>
                <w:szCs w:val="22"/>
              </w:rPr>
            </w:pPr>
          </w:p>
        </w:tc>
      </w:tr>
      <w:tr w14:paraId="1A5C5D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76688A48">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238DEA43">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1660DACB">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5.1.3高处临边、临空作业应设置安全网，安全网距工作面的最大高度不应超过3m，水平投影宽度应不小于2m。安全网应挂设牢固，随工作面升高而升高。</w:t>
            </w:r>
          </w:p>
        </w:tc>
        <w:tc>
          <w:tcPr>
            <w:tcW w:w="1023" w:type="pct"/>
            <w:vMerge w:val="continue"/>
            <w:vAlign w:val="center"/>
          </w:tcPr>
          <w:p w14:paraId="1CB6580B">
            <w:pPr>
              <w:overflowPunct w:val="0"/>
              <w:autoSpaceDE w:val="0"/>
              <w:autoSpaceDN w:val="0"/>
              <w:adjustRightInd w:val="0"/>
              <w:snapToGrid w:val="0"/>
              <w:ind w:firstLine="0" w:firstLineChars="0"/>
              <w:jc w:val="center"/>
              <w:rPr>
                <w:rFonts w:hint="eastAsia" w:ascii="宋体" w:hAnsi="宋体"/>
                <w:kern w:val="0"/>
                <w:sz w:val="22"/>
                <w:szCs w:val="22"/>
              </w:rPr>
            </w:pPr>
          </w:p>
        </w:tc>
      </w:tr>
      <w:tr w14:paraId="7A9C9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64800BAD">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1F4CDC2B">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62A71BCF">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5.1.12危险作业场所、机动车道交叉路口、易燃易爆有毒危险物品存放场所、库房、变配电场所以及禁止烟火场所等应设置相应的禁止、指示、警示标志。</w:t>
            </w:r>
          </w:p>
        </w:tc>
        <w:tc>
          <w:tcPr>
            <w:tcW w:w="1023" w:type="pct"/>
            <w:vMerge w:val="continue"/>
            <w:vAlign w:val="center"/>
          </w:tcPr>
          <w:p w14:paraId="3FE2CB43">
            <w:pPr>
              <w:overflowPunct w:val="0"/>
              <w:autoSpaceDE w:val="0"/>
              <w:autoSpaceDN w:val="0"/>
              <w:adjustRightInd w:val="0"/>
              <w:snapToGrid w:val="0"/>
              <w:ind w:firstLine="0" w:firstLineChars="0"/>
              <w:jc w:val="center"/>
              <w:rPr>
                <w:rFonts w:hint="eastAsia" w:ascii="宋体" w:hAnsi="宋体"/>
                <w:kern w:val="0"/>
                <w:sz w:val="22"/>
                <w:szCs w:val="22"/>
              </w:rPr>
            </w:pPr>
          </w:p>
        </w:tc>
      </w:tr>
      <w:tr w14:paraId="0ABFD1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6407E615">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restart"/>
            <w:shd w:val="clear" w:color="auto" w:fill="auto"/>
            <w:vAlign w:val="center"/>
          </w:tcPr>
          <w:p w14:paraId="1E12A0F4">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《水利水电工程土建施工安全技术规程》（SL399-20</w:t>
            </w:r>
            <w:r>
              <w:rPr>
                <w:rFonts w:hint="eastAsia" w:ascii="宋体" w:hAnsi="宋体"/>
                <w:kern w:val="0"/>
                <w:sz w:val="22"/>
                <w:szCs w:val="22"/>
              </w:rPr>
              <w:t>22</w:t>
            </w:r>
            <w:r>
              <w:rPr>
                <w:rFonts w:ascii="宋体" w:hAnsi="宋体"/>
                <w:kern w:val="0"/>
                <w:sz w:val="22"/>
                <w:szCs w:val="22"/>
              </w:rPr>
              <w:t>）</w:t>
            </w:r>
          </w:p>
        </w:tc>
        <w:tc>
          <w:tcPr>
            <w:tcW w:w="2522" w:type="pct"/>
            <w:vAlign w:val="center"/>
          </w:tcPr>
          <w:p w14:paraId="4BB564A4">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1.0.9作业人员上岗前，应按规定穿戴防护用品。施工负责人和安全检查员应随时检查劳动防护用品的穿戴情况，不按规定穿戴防护用品的人员不应上岗。</w:t>
            </w:r>
          </w:p>
        </w:tc>
        <w:tc>
          <w:tcPr>
            <w:tcW w:w="1023" w:type="pct"/>
            <w:vMerge w:val="restart"/>
            <w:vAlign w:val="center"/>
          </w:tcPr>
          <w:p w14:paraId="08E2C3AB">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已执行</w:t>
            </w:r>
          </w:p>
          <w:p w14:paraId="7E7933A9">
            <w:pPr>
              <w:overflowPunct w:val="0"/>
              <w:autoSpaceDE w:val="0"/>
              <w:autoSpaceDN w:val="0"/>
              <w:adjustRightInd w:val="0"/>
              <w:snapToGrid w:val="0"/>
              <w:ind w:firstLine="0" w:firstLineChars="0"/>
              <w:jc w:val="center"/>
              <w:rPr>
                <w:rFonts w:hint="eastAsia" w:ascii="宋体" w:hAnsi="宋体"/>
                <w:kern w:val="0"/>
                <w:sz w:val="22"/>
                <w:szCs w:val="22"/>
              </w:rPr>
            </w:pPr>
          </w:p>
        </w:tc>
      </w:tr>
      <w:tr w14:paraId="15BDF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7BD900D8">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shd w:val="clear" w:color="auto" w:fill="auto"/>
            <w:vAlign w:val="center"/>
          </w:tcPr>
          <w:p w14:paraId="4F0260FE">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294FDA4C">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3.2.1有边坡的挖土作业应遵守下列规定:3施工过程当中应密切关注作业部位和周边边坡、山体的稳定情況，一旦发现裂痕、滑动、流土等现象，应停止作业，撤出现场作业人员</w:t>
            </w:r>
          </w:p>
        </w:tc>
        <w:tc>
          <w:tcPr>
            <w:tcW w:w="1023" w:type="pct"/>
            <w:vMerge w:val="continue"/>
            <w:vAlign w:val="center"/>
          </w:tcPr>
          <w:p w14:paraId="77767045">
            <w:pPr>
              <w:overflowPunct w:val="0"/>
              <w:autoSpaceDE w:val="0"/>
              <w:autoSpaceDN w:val="0"/>
              <w:adjustRightInd w:val="0"/>
              <w:snapToGrid w:val="0"/>
              <w:ind w:firstLine="0" w:firstLineChars="0"/>
              <w:jc w:val="center"/>
              <w:rPr>
                <w:rFonts w:hint="eastAsia" w:ascii="宋体" w:hAnsi="宋体"/>
                <w:kern w:val="0"/>
                <w:sz w:val="22"/>
                <w:szCs w:val="22"/>
              </w:rPr>
            </w:pPr>
          </w:p>
        </w:tc>
      </w:tr>
      <w:tr w14:paraId="59A43F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5" w:hRule="atLeast"/>
        </w:trPr>
        <w:tc>
          <w:tcPr>
            <w:tcW w:w="543" w:type="pct"/>
            <w:vMerge w:val="continue"/>
            <w:vAlign w:val="center"/>
          </w:tcPr>
          <w:p w14:paraId="34ED820A">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shd w:val="clear" w:color="auto" w:fill="auto"/>
            <w:vAlign w:val="center"/>
          </w:tcPr>
          <w:p w14:paraId="16A292F3">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75EC3B8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3.3.4开挖过程中，如出现整体裂缝或滑动迹象时，应立即停止施工，将人员设备尽快撤离工作面，视开裂或滑动程度采取不同的应急措施。</w:t>
            </w:r>
          </w:p>
          <w:p w14:paraId="02B4C6A6">
            <w:pPr>
              <w:overflowPunct w:val="0"/>
              <w:autoSpaceDE w:val="0"/>
              <w:autoSpaceDN w:val="0"/>
              <w:adjustRightInd w:val="0"/>
              <w:snapToGrid w:val="0"/>
              <w:ind w:firstLine="0" w:firstLineChars="0"/>
              <w:jc w:val="center"/>
              <w:rPr>
                <w:rFonts w:hint="eastAsia" w:ascii="宋体" w:hAnsi="宋体"/>
                <w:kern w:val="0"/>
                <w:sz w:val="22"/>
                <w:szCs w:val="22"/>
              </w:rPr>
            </w:pPr>
          </w:p>
        </w:tc>
        <w:tc>
          <w:tcPr>
            <w:tcW w:w="1023" w:type="pct"/>
            <w:vMerge w:val="continue"/>
            <w:vAlign w:val="center"/>
          </w:tcPr>
          <w:p w14:paraId="6C3573B1">
            <w:pPr>
              <w:overflowPunct w:val="0"/>
              <w:autoSpaceDE w:val="0"/>
              <w:autoSpaceDN w:val="0"/>
              <w:adjustRightInd w:val="0"/>
              <w:snapToGrid w:val="0"/>
              <w:ind w:firstLine="0" w:firstLineChars="0"/>
              <w:jc w:val="center"/>
              <w:rPr>
                <w:rFonts w:hint="eastAsia" w:ascii="宋体" w:hAnsi="宋体"/>
                <w:kern w:val="0"/>
                <w:sz w:val="22"/>
                <w:szCs w:val="22"/>
              </w:rPr>
            </w:pPr>
          </w:p>
        </w:tc>
      </w:tr>
      <w:tr w14:paraId="19AD35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trPr>
        <w:tc>
          <w:tcPr>
            <w:tcW w:w="543" w:type="pct"/>
            <w:vMerge w:val="continue"/>
            <w:vAlign w:val="center"/>
          </w:tcPr>
          <w:p w14:paraId="0D2A6E8B">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shd w:val="clear" w:color="auto" w:fill="auto"/>
            <w:vAlign w:val="center"/>
          </w:tcPr>
          <w:p w14:paraId="2FDF768E">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2AD3F7EF">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3.5.6不良地质地段开挖作业应遵守下列规定：3当围岩不稳定、涌水及发生塌方情况时，所有作业人员应立即撤至安全地带。</w:t>
            </w:r>
          </w:p>
        </w:tc>
        <w:tc>
          <w:tcPr>
            <w:tcW w:w="1023" w:type="pct"/>
            <w:vMerge w:val="continue"/>
            <w:vAlign w:val="center"/>
          </w:tcPr>
          <w:p w14:paraId="20DB5734">
            <w:pPr>
              <w:overflowPunct w:val="0"/>
              <w:autoSpaceDE w:val="0"/>
              <w:autoSpaceDN w:val="0"/>
              <w:adjustRightInd w:val="0"/>
              <w:snapToGrid w:val="0"/>
              <w:ind w:firstLine="0" w:firstLineChars="0"/>
              <w:jc w:val="center"/>
              <w:rPr>
                <w:rFonts w:hint="eastAsia" w:ascii="宋体" w:hAnsi="宋体"/>
                <w:kern w:val="0"/>
                <w:sz w:val="22"/>
                <w:szCs w:val="22"/>
              </w:rPr>
            </w:pPr>
          </w:p>
        </w:tc>
      </w:tr>
      <w:tr w14:paraId="22873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6" w:hRule="atLeast"/>
        </w:trPr>
        <w:tc>
          <w:tcPr>
            <w:tcW w:w="543" w:type="pct"/>
            <w:vMerge w:val="continue"/>
            <w:vAlign w:val="center"/>
          </w:tcPr>
          <w:p w14:paraId="24E60C74">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restart"/>
            <w:vAlign w:val="center"/>
          </w:tcPr>
          <w:p w14:paraId="287890CA">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《水利水电工程施工安全防护设施技术规范》（SL714-2015）</w:t>
            </w:r>
          </w:p>
        </w:tc>
        <w:tc>
          <w:tcPr>
            <w:tcW w:w="2522" w:type="pct"/>
            <w:vAlign w:val="center"/>
          </w:tcPr>
          <w:p w14:paraId="34575646">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3.3.6排架、井架、施工用电梯、大坝廊道、隧洞等出入口和上部有施工作业的通道，应设有防护棚，其长度应超过可能坠落范围，宽度不应小于通道的宽度。当可能坠落的高度超过24m时，应设双层防护棚。</w:t>
            </w:r>
          </w:p>
        </w:tc>
        <w:tc>
          <w:tcPr>
            <w:tcW w:w="1023" w:type="pct"/>
            <w:vMerge w:val="restart"/>
            <w:vAlign w:val="center"/>
          </w:tcPr>
          <w:p w14:paraId="15957A73">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已执行</w:t>
            </w:r>
          </w:p>
        </w:tc>
      </w:tr>
      <w:tr w14:paraId="3A8AF4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387D9C31">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45DDE55B">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6CB4C0ED">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5.3各种施工设备、机具传动与转动的露出部分，如传动带、开式齿轮、电锯、砂轮、接近于行走面的联轴节、转轴、皮带轮和飞轮等必须安设拆装方便、网孔尺寸符合安全要求的封闭的钢防护网罩或防护挡板或防护栏杆等安全防护装置。</w:t>
            </w:r>
          </w:p>
        </w:tc>
        <w:tc>
          <w:tcPr>
            <w:tcW w:w="1023" w:type="pct"/>
            <w:vMerge w:val="continue"/>
            <w:vAlign w:val="center"/>
          </w:tcPr>
          <w:p w14:paraId="6D5A4160">
            <w:pPr>
              <w:overflowPunct w:val="0"/>
              <w:autoSpaceDE w:val="0"/>
              <w:autoSpaceDN w:val="0"/>
              <w:adjustRightInd w:val="0"/>
              <w:snapToGrid w:val="0"/>
              <w:ind w:firstLine="0" w:firstLineChars="0"/>
              <w:jc w:val="center"/>
              <w:rPr>
                <w:rFonts w:hint="eastAsia" w:ascii="宋体" w:hAnsi="宋体"/>
                <w:kern w:val="0"/>
                <w:sz w:val="22"/>
                <w:szCs w:val="22"/>
              </w:rPr>
            </w:pPr>
          </w:p>
        </w:tc>
      </w:tr>
      <w:tr w14:paraId="2C27A8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7FD9E4AB">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65266111">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0C66A737">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3.7.3施工现场的配电箱、开关箱等安装使用应符合下列规定:6配电箱、开关箱应装设在干燥、通风及常温场所，设置防雨、防尘和防砸设施。不应装设在有瓦斯、烟气、蒸气、液体及其他有害介质环境中，不应装设在易受外来固体物撞击、强烈振动、液体浸溅及热源烘烤的场所。</w:t>
            </w:r>
          </w:p>
        </w:tc>
        <w:tc>
          <w:tcPr>
            <w:tcW w:w="1023" w:type="pct"/>
            <w:vMerge w:val="continue"/>
            <w:vAlign w:val="center"/>
          </w:tcPr>
          <w:p w14:paraId="59299AE2">
            <w:pPr>
              <w:overflowPunct w:val="0"/>
              <w:autoSpaceDE w:val="0"/>
              <w:autoSpaceDN w:val="0"/>
              <w:adjustRightInd w:val="0"/>
              <w:snapToGrid w:val="0"/>
              <w:ind w:firstLine="0" w:firstLineChars="0"/>
              <w:jc w:val="center"/>
              <w:rPr>
                <w:rFonts w:hint="eastAsia" w:ascii="宋体" w:hAnsi="宋体"/>
                <w:kern w:val="0"/>
                <w:sz w:val="22"/>
                <w:szCs w:val="22"/>
              </w:rPr>
            </w:pPr>
          </w:p>
        </w:tc>
      </w:tr>
      <w:tr w14:paraId="50D8EE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08871609">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41651DA1">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5F2E727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3.7.4施工用电线路架设使用应符合下列要求</w:t>
            </w:r>
          </w:p>
          <w:p w14:paraId="13EA3C4A">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7线路穿越道路或易受机械损伤的场所时必须设有套管防护。管内不得有接头其管口应密封。</w:t>
            </w:r>
          </w:p>
        </w:tc>
        <w:tc>
          <w:tcPr>
            <w:tcW w:w="1023" w:type="pct"/>
            <w:vMerge w:val="continue"/>
            <w:vAlign w:val="center"/>
          </w:tcPr>
          <w:p w14:paraId="1C179C6E">
            <w:pPr>
              <w:overflowPunct w:val="0"/>
              <w:autoSpaceDE w:val="0"/>
              <w:autoSpaceDN w:val="0"/>
              <w:adjustRightInd w:val="0"/>
              <w:snapToGrid w:val="0"/>
              <w:ind w:firstLine="0" w:firstLineChars="0"/>
              <w:jc w:val="center"/>
              <w:rPr>
                <w:rFonts w:hint="eastAsia" w:ascii="宋体" w:hAnsi="宋体"/>
                <w:kern w:val="0"/>
                <w:sz w:val="22"/>
                <w:szCs w:val="22"/>
              </w:rPr>
            </w:pPr>
          </w:p>
        </w:tc>
      </w:tr>
      <w:tr w14:paraId="73A843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restart"/>
            <w:vAlign w:val="center"/>
          </w:tcPr>
          <w:p w14:paraId="2D470841">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水利工程验收</w:t>
            </w:r>
          </w:p>
        </w:tc>
        <w:tc>
          <w:tcPr>
            <w:tcW w:w="910" w:type="pct"/>
            <w:vMerge w:val="restart"/>
            <w:vAlign w:val="center"/>
          </w:tcPr>
          <w:p w14:paraId="19146BD3">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《水利水电工程施工质量检验与评定规程》（SL176-2</w:t>
            </w:r>
            <w:r>
              <w:rPr>
                <w:rFonts w:hint="eastAsia" w:ascii="宋体" w:hAnsi="宋体"/>
                <w:kern w:val="0"/>
                <w:sz w:val="22"/>
                <w:szCs w:val="22"/>
              </w:rPr>
              <w:t>021</w:t>
            </w:r>
            <w:r>
              <w:rPr>
                <w:rFonts w:ascii="宋体" w:hAnsi="宋体"/>
                <w:kern w:val="0"/>
                <w:sz w:val="22"/>
                <w:szCs w:val="22"/>
              </w:rPr>
              <w:t>）</w:t>
            </w:r>
          </w:p>
        </w:tc>
        <w:tc>
          <w:tcPr>
            <w:tcW w:w="2522" w:type="pct"/>
            <w:vAlign w:val="center"/>
          </w:tcPr>
          <w:p w14:paraId="3F7938B2">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4.1.11对涉及工程结构安全的试块、试件及有关材料，应实行见证取样。见证取样资料由施工单位制备，记录应真实齐全，参与见证取样人员应在相关文件上签字。</w:t>
            </w:r>
          </w:p>
        </w:tc>
        <w:tc>
          <w:tcPr>
            <w:tcW w:w="1023" w:type="pct"/>
            <w:vMerge w:val="restart"/>
            <w:vAlign w:val="center"/>
          </w:tcPr>
          <w:p w14:paraId="2880E39A">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已执行</w:t>
            </w:r>
          </w:p>
        </w:tc>
      </w:tr>
      <w:tr w14:paraId="6F05ED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193B9DBA">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1F1EA9FC">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766BF1F9">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4.3.3施工单位应按《单元工程评定标准》及有关技术标准对水泥、钢材等原材料与中间产品质量进行检验，并报监理单位复核。不合格产品，不得使用。</w:t>
            </w:r>
          </w:p>
        </w:tc>
        <w:tc>
          <w:tcPr>
            <w:tcW w:w="1023" w:type="pct"/>
            <w:vMerge w:val="continue"/>
            <w:vAlign w:val="center"/>
          </w:tcPr>
          <w:p w14:paraId="262EDDF6">
            <w:pPr>
              <w:overflowPunct w:val="0"/>
              <w:autoSpaceDE w:val="0"/>
              <w:autoSpaceDN w:val="0"/>
              <w:adjustRightInd w:val="0"/>
              <w:snapToGrid w:val="0"/>
              <w:ind w:firstLine="0" w:firstLineChars="0"/>
              <w:jc w:val="center"/>
              <w:rPr>
                <w:rFonts w:hint="eastAsia" w:ascii="宋体" w:hAnsi="宋体"/>
                <w:kern w:val="0"/>
                <w:sz w:val="22"/>
                <w:szCs w:val="22"/>
              </w:rPr>
            </w:pPr>
          </w:p>
        </w:tc>
      </w:tr>
      <w:tr w14:paraId="0A9EE1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5179E2FF">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4C0642C1">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273BB218">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4.3.5施工单位应按《单元工程评定标准》检验工序及单元工程质量，做好书面记录，在自检合格后，填写《水利水电工程施工质量评定表》送监理单位复核。监理单位根据抽检资料核定单元(工序)工程质量等级。发现不合格单元(工序)工程，应要求施工单位及时进行处理，合格后才能进行后续工程施工。对施工中的质量缺陷应书面记录备案，进行必要的统计分析，并在相应单元(工序)工程质量评定表“评定意见”栏内注明。</w:t>
            </w:r>
          </w:p>
        </w:tc>
        <w:tc>
          <w:tcPr>
            <w:tcW w:w="1023" w:type="pct"/>
            <w:vMerge w:val="continue"/>
            <w:vAlign w:val="center"/>
          </w:tcPr>
          <w:p w14:paraId="382BFD3D">
            <w:pPr>
              <w:overflowPunct w:val="0"/>
              <w:autoSpaceDE w:val="0"/>
              <w:autoSpaceDN w:val="0"/>
              <w:adjustRightInd w:val="0"/>
              <w:snapToGrid w:val="0"/>
              <w:ind w:firstLine="0" w:firstLineChars="0"/>
              <w:jc w:val="center"/>
              <w:rPr>
                <w:rFonts w:hint="eastAsia" w:ascii="宋体" w:hAnsi="宋体"/>
                <w:kern w:val="0"/>
                <w:sz w:val="22"/>
                <w:szCs w:val="22"/>
              </w:rPr>
            </w:pPr>
          </w:p>
        </w:tc>
      </w:tr>
      <w:tr w14:paraId="51BF4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0C44A5DC">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Merge w:val="continue"/>
            <w:vAlign w:val="center"/>
          </w:tcPr>
          <w:p w14:paraId="409B8DA3">
            <w:pPr>
              <w:overflowPunct w:val="0"/>
              <w:autoSpaceDE w:val="0"/>
              <w:autoSpaceDN w:val="0"/>
              <w:adjustRightInd w:val="0"/>
              <w:snapToGrid w:val="0"/>
              <w:ind w:firstLine="0" w:firstLineChars="0"/>
              <w:jc w:val="center"/>
              <w:rPr>
                <w:rFonts w:hint="eastAsia" w:ascii="宋体" w:hAnsi="宋体"/>
                <w:kern w:val="0"/>
                <w:sz w:val="22"/>
                <w:szCs w:val="22"/>
              </w:rPr>
            </w:pPr>
          </w:p>
        </w:tc>
        <w:tc>
          <w:tcPr>
            <w:tcW w:w="2522" w:type="pct"/>
            <w:vAlign w:val="center"/>
          </w:tcPr>
          <w:p w14:paraId="2A958035">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4.4.5工程质量事故处理后，应由项目法人委托具有相应资质等级的工程质量检测单位检测后，按照处理方案确定的质量标准，重新进行工程质量评定。</w:t>
            </w:r>
          </w:p>
        </w:tc>
        <w:tc>
          <w:tcPr>
            <w:tcW w:w="1023" w:type="pct"/>
            <w:vMerge w:val="continue"/>
            <w:vAlign w:val="center"/>
          </w:tcPr>
          <w:p w14:paraId="44642A80">
            <w:pPr>
              <w:overflowPunct w:val="0"/>
              <w:autoSpaceDE w:val="0"/>
              <w:autoSpaceDN w:val="0"/>
              <w:adjustRightInd w:val="0"/>
              <w:snapToGrid w:val="0"/>
              <w:ind w:firstLine="0" w:firstLineChars="0"/>
              <w:jc w:val="center"/>
              <w:rPr>
                <w:rFonts w:hint="eastAsia" w:ascii="宋体" w:hAnsi="宋体"/>
                <w:kern w:val="0"/>
                <w:sz w:val="22"/>
                <w:szCs w:val="22"/>
              </w:rPr>
            </w:pPr>
          </w:p>
        </w:tc>
      </w:tr>
      <w:tr w14:paraId="41B3E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3" w:type="pct"/>
            <w:vMerge w:val="continue"/>
            <w:vAlign w:val="center"/>
          </w:tcPr>
          <w:p w14:paraId="31464C48">
            <w:pPr>
              <w:overflowPunct w:val="0"/>
              <w:autoSpaceDE w:val="0"/>
              <w:autoSpaceDN w:val="0"/>
              <w:adjustRightInd w:val="0"/>
              <w:snapToGrid w:val="0"/>
              <w:ind w:firstLine="0" w:firstLineChars="0"/>
              <w:jc w:val="center"/>
              <w:rPr>
                <w:rFonts w:hint="eastAsia" w:ascii="宋体" w:hAnsi="宋体"/>
                <w:kern w:val="0"/>
                <w:sz w:val="22"/>
                <w:szCs w:val="22"/>
              </w:rPr>
            </w:pPr>
          </w:p>
        </w:tc>
        <w:tc>
          <w:tcPr>
            <w:tcW w:w="910" w:type="pct"/>
            <w:vAlign w:val="center"/>
          </w:tcPr>
          <w:p w14:paraId="70E92ADD">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《水利水电工程建设工程验收规程》</w:t>
            </w:r>
          </w:p>
          <w:p w14:paraId="3C1E4FC7">
            <w:pPr>
              <w:overflowPunct w:val="0"/>
              <w:autoSpaceDE w:val="0"/>
              <w:autoSpaceDN w:val="0"/>
              <w:adjustRightInd w:val="0"/>
              <w:snapToGrid w:val="0"/>
              <w:ind w:firstLine="0" w:firstLineChars="0"/>
              <w:jc w:val="center"/>
              <w:rPr>
                <w:rFonts w:hint="eastAsia" w:ascii="宋体" w:hAnsi="宋体"/>
                <w:kern w:val="0"/>
                <w:sz w:val="22"/>
                <w:szCs w:val="22"/>
              </w:rPr>
            </w:pPr>
            <w:r>
              <w:rPr>
                <w:rFonts w:ascii="宋体" w:hAnsi="宋体"/>
                <w:kern w:val="0"/>
                <w:sz w:val="22"/>
                <w:szCs w:val="22"/>
              </w:rPr>
              <w:t>（SL223-2</w:t>
            </w:r>
            <w:r>
              <w:rPr>
                <w:rFonts w:hint="eastAsia" w:ascii="宋体" w:hAnsi="宋体"/>
                <w:kern w:val="0"/>
                <w:sz w:val="22"/>
                <w:szCs w:val="22"/>
              </w:rPr>
              <w:t>018</w:t>
            </w:r>
            <w:r>
              <w:rPr>
                <w:rFonts w:ascii="宋体" w:hAnsi="宋体"/>
                <w:kern w:val="0"/>
                <w:sz w:val="22"/>
                <w:szCs w:val="22"/>
              </w:rPr>
              <w:t>）</w:t>
            </w:r>
          </w:p>
        </w:tc>
        <w:tc>
          <w:tcPr>
            <w:tcW w:w="2522" w:type="pct"/>
            <w:vAlign w:val="center"/>
          </w:tcPr>
          <w:p w14:paraId="71E769EB">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1.0.9当工程具备验收条件时，应及时组织验收。未经验收或验收不合格的工程不应交付使用或进行后续工程施工。验收工作应相互衔接，不应重复进行。</w:t>
            </w:r>
          </w:p>
        </w:tc>
        <w:tc>
          <w:tcPr>
            <w:tcW w:w="1023" w:type="pct"/>
            <w:vAlign w:val="center"/>
          </w:tcPr>
          <w:p w14:paraId="55D75A66">
            <w:pPr>
              <w:overflowPunct w:val="0"/>
              <w:autoSpaceDE w:val="0"/>
              <w:autoSpaceDN w:val="0"/>
              <w:adjustRightInd w:val="0"/>
              <w:snapToGrid w:val="0"/>
              <w:ind w:firstLine="0" w:firstLineChars="0"/>
              <w:jc w:val="center"/>
              <w:rPr>
                <w:rFonts w:hint="eastAsia" w:ascii="宋体" w:hAnsi="宋体"/>
                <w:kern w:val="0"/>
                <w:sz w:val="22"/>
                <w:szCs w:val="22"/>
              </w:rPr>
            </w:pPr>
            <w:r>
              <w:rPr>
                <w:rFonts w:hint="eastAsia" w:ascii="宋体" w:hAnsi="宋体"/>
                <w:kern w:val="0"/>
                <w:sz w:val="22"/>
                <w:szCs w:val="22"/>
              </w:rPr>
              <w:t>已执行</w:t>
            </w:r>
          </w:p>
        </w:tc>
      </w:tr>
    </w:tbl>
    <w:p w14:paraId="2DFD8435">
      <w:pPr>
        <w:ind w:firstLine="517"/>
      </w:pPr>
    </w:p>
    <w:sectPr>
      <w:headerReference r:id="rId5" w:type="default"/>
      <w:footerReference r:id="rId6" w:type="default"/>
      <w:footerReference r:id="rId7" w:type="even"/>
      <w:type w:val="continuous"/>
      <w:pgSz w:w="23814" w:h="16840" w:orient="landscape"/>
      <w:pgMar w:top="1247" w:right="1134" w:bottom="1021" w:left="1701" w:header="850" w:footer="850" w:gutter="0"/>
      <w:pgNumType w:fmt="numberInDash"/>
      <w:cols w:space="1255" w:num="2"/>
      <w:docGrid w:type="linesAndChars" w:linePitch="476" w:charSpace="37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16"/>
      </w:pPr>
      <w:r>
        <w:separator/>
      </w:r>
    </w:p>
  </w:endnote>
  <w:endnote w:type="continuationSeparator" w:id="1">
    <w:p>
      <w:pPr>
        <w:ind w:firstLine="5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571363"/>
    </w:sdtPr>
    <w:sdtContent>
      <w:p w14:paraId="694B9CF3">
        <w:pPr>
          <w:pStyle w:val="12"/>
          <w:ind w:firstLine="360"/>
          <w:jc w:val="center"/>
        </w:pPr>
        <w:r>
          <w:fldChar w:fldCharType="begin"/>
        </w:r>
        <w:r>
          <w:instrText xml:space="preserve">PAGE   \* MERGEFORMAT</w:instrText>
        </w:r>
        <w:r>
          <w:fldChar w:fldCharType="separate"/>
        </w:r>
        <w:r>
          <w:rPr>
            <w:lang w:val="zh-CN"/>
          </w:rPr>
          <w:t>2</w:t>
        </w:r>
        <w:r>
          <w:fldChar w:fldCharType="end"/>
        </w:r>
      </w:p>
    </w:sdtContent>
  </w:sdt>
  <w:p w14:paraId="14D10C98">
    <w:pPr>
      <w:pStyle w:val="9"/>
      <w:ind w:left="0" w:leftChars="0"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0E99">
    <w:pPr>
      <w:pStyle w:val="9"/>
      <w:framePr w:wrap="around" w:vAnchor="text" w:hAnchor="margin" w:xAlign="center" w:y="1"/>
      <w:ind w:left="6000" w:firstLine="480"/>
      <w:rPr>
        <w:rStyle w:val="25"/>
        <w:rFonts w:hint="default"/>
      </w:rPr>
    </w:pPr>
    <w:r>
      <w:fldChar w:fldCharType="begin"/>
    </w:r>
    <w:r>
      <w:rPr>
        <w:rStyle w:val="25"/>
        <w:rFonts w:hint="default"/>
      </w:rPr>
      <w:instrText xml:space="preserve">PAGE  </w:instrText>
    </w:r>
    <w:r>
      <w:fldChar w:fldCharType="separate"/>
    </w:r>
    <w:r>
      <w:rPr>
        <w:rStyle w:val="25"/>
        <w:rFonts w:hint="default"/>
      </w:rPr>
      <w:t>- 1 -</w:t>
    </w:r>
    <w:r>
      <w:fldChar w:fldCharType="end"/>
    </w:r>
  </w:p>
  <w:p w14:paraId="5512BF13">
    <w:pPr>
      <w:pStyle w:val="9"/>
      <w:ind w:left="6000" w:right="360"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16"/>
      </w:pPr>
      <w:r>
        <w:separator/>
      </w:r>
    </w:p>
  </w:footnote>
  <w:footnote w:type="continuationSeparator" w:id="1">
    <w:p>
      <w:pPr>
        <w:ind w:firstLine="51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D51B">
    <w:pPr>
      <w:pStyle w:val="5"/>
      <w:pBdr>
        <w:bottom w:val="single" w:color="auto" w:sz="4" w:space="1"/>
      </w:pBdr>
      <w:spacing w:after="480" w:afterLines="200"/>
      <w:ind w:firstLine="480"/>
      <w:jc w:val="center"/>
    </w:pPr>
    <w:r>
      <w:rPr>
        <w:rFonts w:hint="eastAsia"/>
        <w:lang w:val="en-US" w:eastAsia="zh-CN"/>
      </w:rPr>
      <w:t>九华镇姜园</w:t>
    </w:r>
    <w:r>
      <w:rPr>
        <w:rFonts w:hint="eastAsia"/>
      </w:rPr>
      <w:t>村水利工程设计服务项目设计总说明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DD2A8"/>
    <w:multiLevelType w:val="singleLevel"/>
    <w:tmpl w:val="B34DD2A8"/>
    <w:lvl w:ilvl="0" w:tentative="0">
      <w:start w:val="2"/>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14"/>
  <w:drawingGridVerticalSpacing w:val="238"/>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2MDdiYmZjMGRkMTU0ZDhhZGRkZmRhMDVhNDNjYTIifQ=="/>
  </w:docVars>
  <w:rsids>
    <w:rsidRoot w:val="00172A27"/>
    <w:rsid w:val="00074E74"/>
    <w:rsid w:val="00082DEC"/>
    <w:rsid w:val="000875C1"/>
    <w:rsid w:val="00093C3F"/>
    <w:rsid w:val="000A1158"/>
    <w:rsid w:val="000A65C1"/>
    <w:rsid w:val="000A705C"/>
    <w:rsid w:val="000B375F"/>
    <w:rsid w:val="000B3C41"/>
    <w:rsid w:val="000B534A"/>
    <w:rsid w:val="000C3730"/>
    <w:rsid w:val="000E78CC"/>
    <w:rsid w:val="001075E4"/>
    <w:rsid w:val="0010795F"/>
    <w:rsid w:val="00121D02"/>
    <w:rsid w:val="00122FC0"/>
    <w:rsid w:val="001525A5"/>
    <w:rsid w:val="001536D2"/>
    <w:rsid w:val="001624D9"/>
    <w:rsid w:val="00172A27"/>
    <w:rsid w:val="00177D0E"/>
    <w:rsid w:val="001909CB"/>
    <w:rsid w:val="001A7E10"/>
    <w:rsid w:val="001C7D52"/>
    <w:rsid w:val="001E7A61"/>
    <w:rsid w:val="0020370B"/>
    <w:rsid w:val="00206947"/>
    <w:rsid w:val="00214678"/>
    <w:rsid w:val="00230127"/>
    <w:rsid w:val="00232954"/>
    <w:rsid w:val="00246265"/>
    <w:rsid w:val="002660E4"/>
    <w:rsid w:val="00272561"/>
    <w:rsid w:val="00272B1F"/>
    <w:rsid w:val="00273EF2"/>
    <w:rsid w:val="00276C78"/>
    <w:rsid w:val="00281380"/>
    <w:rsid w:val="0028653A"/>
    <w:rsid w:val="00294AE1"/>
    <w:rsid w:val="00295F20"/>
    <w:rsid w:val="00341E72"/>
    <w:rsid w:val="00376197"/>
    <w:rsid w:val="00393D66"/>
    <w:rsid w:val="004001DF"/>
    <w:rsid w:val="004030C2"/>
    <w:rsid w:val="00412A59"/>
    <w:rsid w:val="00427FB5"/>
    <w:rsid w:val="00467869"/>
    <w:rsid w:val="004C559C"/>
    <w:rsid w:val="004F4CBD"/>
    <w:rsid w:val="005000B5"/>
    <w:rsid w:val="00507435"/>
    <w:rsid w:val="0051411C"/>
    <w:rsid w:val="00542EF8"/>
    <w:rsid w:val="005B6D01"/>
    <w:rsid w:val="005E4BB7"/>
    <w:rsid w:val="0060536D"/>
    <w:rsid w:val="006106EF"/>
    <w:rsid w:val="00613D88"/>
    <w:rsid w:val="006152B0"/>
    <w:rsid w:val="00620FD4"/>
    <w:rsid w:val="00622708"/>
    <w:rsid w:val="0064077D"/>
    <w:rsid w:val="006503D3"/>
    <w:rsid w:val="00672318"/>
    <w:rsid w:val="00675B00"/>
    <w:rsid w:val="00683540"/>
    <w:rsid w:val="006A71D2"/>
    <w:rsid w:val="006C6F85"/>
    <w:rsid w:val="006E7351"/>
    <w:rsid w:val="006F7F80"/>
    <w:rsid w:val="00702BD5"/>
    <w:rsid w:val="00705A1C"/>
    <w:rsid w:val="0073027C"/>
    <w:rsid w:val="00741FB0"/>
    <w:rsid w:val="00756CBA"/>
    <w:rsid w:val="00782BD4"/>
    <w:rsid w:val="00782FB2"/>
    <w:rsid w:val="007A38D2"/>
    <w:rsid w:val="007A52A0"/>
    <w:rsid w:val="007B70DC"/>
    <w:rsid w:val="007C5F47"/>
    <w:rsid w:val="007F4D4E"/>
    <w:rsid w:val="00800367"/>
    <w:rsid w:val="008072BC"/>
    <w:rsid w:val="008772E9"/>
    <w:rsid w:val="0089065F"/>
    <w:rsid w:val="00901DDF"/>
    <w:rsid w:val="00910C94"/>
    <w:rsid w:val="00914116"/>
    <w:rsid w:val="009143C8"/>
    <w:rsid w:val="00917B58"/>
    <w:rsid w:val="00926CD5"/>
    <w:rsid w:val="009427C7"/>
    <w:rsid w:val="00946963"/>
    <w:rsid w:val="00953082"/>
    <w:rsid w:val="00956899"/>
    <w:rsid w:val="00956D86"/>
    <w:rsid w:val="00983CAA"/>
    <w:rsid w:val="009A74F4"/>
    <w:rsid w:val="009D41B6"/>
    <w:rsid w:val="00A07E5D"/>
    <w:rsid w:val="00A205BB"/>
    <w:rsid w:val="00A342CE"/>
    <w:rsid w:val="00A43332"/>
    <w:rsid w:val="00A54ED3"/>
    <w:rsid w:val="00A616AC"/>
    <w:rsid w:val="00A673D2"/>
    <w:rsid w:val="00A95CA3"/>
    <w:rsid w:val="00AC425D"/>
    <w:rsid w:val="00AC6C55"/>
    <w:rsid w:val="00AE2A12"/>
    <w:rsid w:val="00AF0631"/>
    <w:rsid w:val="00AF4A85"/>
    <w:rsid w:val="00B9164A"/>
    <w:rsid w:val="00BA169C"/>
    <w:rsid w:val="00BB4E24"/>
    <w:rsid w:val="00BC10D3"/>
    <w:rsid w:val="00BD5077"/>
    <w:rsid w:val="00C06736"/>
    <w:rsid w:val="00C22F5C"/>
    <w:rsid w:val="00C7069D"/>
    <w:rsid w:val="00C80EBF"/>
    <w:rsid w:val="00CA6124"/>
    <w:rsid w:val="00CB0219"/>
    <w:rsid w:val="00CB1165"/>
    <w:rsid w:val="00CB1E90"/>
    <w:rsid w:val="00CD3AF5"/>
    <w:rsid w:val="00CD63ED"/>
    <w:rsid w:val="00CD6D47"/>
    <w:rsid w:val="00CD7555"/>
    <w:rsid w:val="00CD787D"/>
    <w:rsid w:val="00CE2AA8"/>
    <w:rsid w:val="00D00B3B"/>
    <w:rsid w:val="00D12B92"/>
    <w:rsid w:val="00D30D70"/>
    <w:rsid w:val="00D6006A"/>
    <w:rsid w:val="00D65197"/>
    <w:rsid w:val="00D71031"/>
    <w:rsid w:val="00D722D5"/>
    <w:rsid w:val="00DA2658"/>
    <w:rsid w:val="00DF6652"/>
    <w:rsid w:val="00E05717"/>
    <w:rsid w:val="00E1416A"/>
    <w:rsid w:val="00E31B7E"/>
    <w:rsid w:val="00E351DB"/>
    <w:rsid w:val="00E35E53"/>
    <w:rsid w:val="00E711FA"/>
    <w:rsid w:val="00E715D4"/>
    <w:rsid w:val="00EA1700"/>
    <w:rsid w:val="00EB3048"/>
    <w:rsid w:val="00EB60EA"/>
    <w:rsid w:val="00ED3C8E"/>
    <w:rsid w:val="00F03CF5"/>
    <w:rsid w:val="00F37484"/>
    <w:rsid w:val="00F83FBF"/>
    <w:rsid w:val="00FB5BF5"/>
    <w:rsid w:val="00FC5B32"/>
    <w:rsid w:val="00FD1C4C"/>
    <w:rsid w:val="00FD34C4"/>
    <w:rsid w:val="00FE3E6D"/>
    <w:rsid w:val="00FE553B"/>
    <w:rsid w:val="00FF4A19"/>
    <w:rsid w:val="013E3B9B"/>
    <w:rsid w:val="01590EFA"/>
    <w:rsid w:val="024F4F24"/>
    <w:rsid w:val="03436B8F"/>
    <w:rsid w:val="07047411"/>
    <w:rsid w:val="071D62BD"/>
    <w:rsid w:val="09693712"/>
    <w:rsid w:val="097F6ADF"/>
    <w:rsid w:val="09D40E0D"/>
    <w:rsid w:val="09E21C84"/>
    <w:rsid w:val="0BDC42B7"/>
    <w:rsid w:val="0BDE2A9B"/>
    <w:rsid w:val="0C82125C"/>
    <w:rsid w:val="0D4E0A83"/>
    <w:rsid w:val="0D5A0848"/>
    <w:rsid w:val="0DB655F2"/>
    <w:rsid w:val="103233B6"/>
    <w:rsid w:val="10993A1B"/>
    <w:rsid w:val="11A719D7"/>
    <w:rsid w:val="11CA6034"/>
    <w:rsid w:val="121216F1"/>
    <w:rsid w:val="12A32A0F"/>
    <w:rsid w:val="13A866E2"/>
    <w:rsid w:val="14061FDA"/>
    <w:rsid w:val="16D03FD1"/>
    <w:rsid w:val="179D2811"/>
    <w:rsid w:val="1A7B7503"/>
    <w:rsid w:val="1B133D09"/>
    <w:rsid w:val="1BA0549C"/>
    <w:rsid w:val="1D394893"/>
    <w:rsid w:val="1DBA2C3C"/>
    <w:rsid w:val="1DD03EB1"/>
    <w:rsid w:val="1E0C4C77"/>
    <w:rsid w:val="1EBE5907"/>
    <w:rsid w:val="1EFC1A66"/>
    <w:rsid w:val="200C2FED"/>
    <w:rsid w:val="21307616"/>
    <w:rsid w:val="221C1A4C"/>
    <w:rsid w:val="231C2AF9"/>
    <w:rsid w:val="258E495A"/>
    <w:rsid w:val="28817F6B"/>
    <w:rsid w:val="2A0D511A"/>
    <w:rsid w:val="2A9C528C"/>
    <w:rsid w:val="2B1E677B"/>
    <w:rsid w:val="2BC23140"/>
    <w:rsid w:val="2BD237C7"/>
    <w:rsid w:val="2BD8790B"/>
    <w:rsid w:val="2BE933DD"/>
    <w:rsid w:val="2D2112DE"/>
    <w:rsid w:val="2E360E50"/>
    <w:rsid w:val="2E5A217A"/>
    <w:rsid w:val="2EC40BE9"/>
    <w:rsid w:val="2F210D6D"/>
    <w:rsid w:val="2F502375"/>
    <w:rsid w:val="2FBE036A"/>
    <w:rsid w:val="2FDD77B0"/>
    <w:rsid w:val="31C33183"/>
    <w:rsid w:val="34CE12B0"/>
    <w:rsid w:val="34DB3177"/>
    <w:rsid w:val="35620314"/>
    <w:rsid w:val="36EC788F"/>
    <w:rsid w:val="37256452"/>
    <w:rsid w:val="38920D43"/>
    <w:rsid w:val="39B93DB4"/>
    <w:rsid w:val="3A437832"/>
    <w:rsid w:val="3A6B12C1"/>
    <w:rsid w:val="3AAC5152"/>
    <w:rsid w:val="3C185E67"/>
    <w:rsid w:val="3C4D4F50"/>
    <w:rsid w:val="3CDC2D85"/>
    <w:rsid w:val="3D406D42"/>
    <w:rsid w:val="3E6F1C64"/>
    <w:rsid w:val="3F4F0789"/>
    <w:rsid w:val="3F6A0709"/>
    <w:rsid w:val="40D93256"/>
    <w:rsid w:val="40EB1739"/>
    <w:rsid w:val="42A27BBC"/>
    <w:rsid w:val="42CD6DEA"/>
    <w:rsid w:val="42D61B1A"/>
    <w:rsid w:val="43801652"/>
    <w:rsid w:val="44846754"/>
    <w:rsid w:val="45031958"/>
    <w:rsid w:val="45C963B8"/>
    <w:rsid w:val="46D65B6F"/>
    <w:rsid w:val="485460D0"/>
    <w:rsid w:val="4AB37252"/>
    <w:rsid w:val="4C4469CD"/>
    <w:rsid w:val="4C681932"/>
    <w:rsid w:val="4C6B6946"/>
    <w:rsid w:val="4D0F1255"/>
    <w:rsid w:val="4D7C49F7"/>
    <w:rsid w:val="4D990CC6"/>
    <w:rsid w:val="4E283810"/>
    <w:rsid w:val="4F656927"/>
    <w:rsid w:val="50A908CF"/>
    <w:rsid w:val="542B6622"/>
    <w:rsid w:val="545C631F"/>
    <w:rsid w:val="549459BA"/>
    <w:rsid w:val="54F627FB"/>
    <w:rsid w:val="557A1FE1"/>
    <w:rsid w:val="575B6003"/>
    <w:rsid w:val="59C52172"/>
    <w:rsid w:val="59FA62BF"/>
    <w:rsid w:val="5AEF70A3"/>
    <w:rsid w:val="5B82528C"/>
    <w:rsid w:val="5D3804EF"/>
    <w:rsid w:val="61C028BB"/>
    <w:rsid w:val="63707537"/>
    <w:rsid w:val="65F10827"/>
    <w:rsid w:val="663F628B"/>
    <w:rsid w:val="66C06081"/>
    <w:rsid w:val="66DB4CAD"/>
    <w:rsid w:val="672476E2"/>
    <w:rsid w:val="685260B7"/>
    <w:rsid w:val="685573C8"/>
    <w:rsid w:val="6872313F"/>
    <w:rsid w:val="69F80BC3"/>
    <w:rsid w:val="6BCA195B"/>
    <w:rsid w:val="6BD22DF6"/>
    <w:rsid w:val="6C294772"/>
    <w:rsid w:val="6E254E9C"/>
    <w:rsid w:val="6EAB5514"/>
    <w:rsid w:val="70DE3255"/>
    <w:rsid w:val="71540ABE"/>
    <w:rsid w:val="721B2E1F"/>
    <w:rsid w:val="729A6632"/>
    <w:rsid w:val="746D0B6B"/>
    <w:rsid w:val="753B675A"/>
    <w:rsid w:val="76017F3F"/>
    <w:rsid w:val="775276D3"/>
    <w:rsid w:val="778D7AB3"/>
    <w:rsid w:val="77941C42"/>
    <w:rsid w:val="77FF00BC"/>
    <w:rsid w:val="78EF227A"/>
    <w:rsid w:val="79BE46FD"/>
    <w:rsid w:val="7A33585D"/>
    <w:rsid w:val="7ADD3367"/>
    <w:rsid w:val="7B86488A"/>
    <w:rsid w:val="7BA559C9"/>
    <w:rsid w:val="7C5331B5"/>
    <w:rsid w:val="7D906B6D"/>
    <w:rsid w:val="7E2412AD"/>
    <w:rsid w:val="7F492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1396"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line="360" w:lineRule="auto"/>
      <w:ind w:firstLine="0" w:firstLineChars="0"/>
      <w:outlineLvl w:val="0"/>
    </w:pPr>
    <w:rPr>
      <w:b/>
      <w:kern w:val="44"/>
      <w:sz w:val="32"/>
    </w:rPr>
  </w:style>
  <w:style w:type="paragraph" w:styleId="3">
    <w:name w:val="heading 2"/>
    <w:basedOn w:val="1"/>
    <w:next w:val="1"/>
    <w:autoRedefine/>
    <w:unhideWhenUsed/>
    <w:qFormat/>
    <w:uiPriority w:val="0"/>
    <w:pPr>
      <w:keepNext/>
      <w:keepLines/>
      <w:outlineLvl w:val="1"/>
    </w:pPr>
    <w:rPr>
      <w:rFonts w:ascii="Arial" w:hAnsi="Arial" w:eastAsia="仿宋"/>
      <w:b/>
      <w:sz w:val="28"/>
    </w:rPr>
  </w:style>
  <w:style w:type="paragraph" w:styleId="4">
    <w:name w:val="heading 3"/>
    <w:basedOn w:val="1"/>
    <w:next w:val="1"/>
    <w:link w:val="24"/>
    <w:autoRedefine/>
    <w:qFormat/>
    <w:uiPriority w:val="9"/>
    <w:pPr>
      <w:keepNext/>
      <w:keepLines/>
      <w:outlineLvl w:val="2"/>
    </w:pPr>
    <w:rPr>
      <w:bCs/>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Document Map"/>
    <w:basedOn w:val="1"/>
    <w:autoRedefine/>
    <w:qFormat/>
    <w:uiPriority w:val="0"/>
    <w:pPr>
      <w:shd w:val="clear" w:color="auto" w:fill="000080"/>
    </w:pPr>
  </w:style>
  <w:style w:type="paragraph" w:styleId="7">
    <w:name w:val="Body Text Indent"/>
    <w:basedOn w:val="1"/>
    <w:autoRedefine/>
    <w:qFormat/>
    <w:uiPriority w:val="0"/>
    <w:pPr>
      <w:ind w:firstLine="517"/>
    </w:pPr>
  </w:style>
  <w:style w:type="paragraph" w:styleId="8">
    <w:name w:val="Plain Text"/>
    <w:basedOn w:val="1"/>
    <w:autoRedefine/>
    <w:qFormat/>
    <w:uiPriority w:val="0"/>
    <w:rPr>
      <w:rFonts w:ascii="宋体" w:hAnsi="Courier New"/>
    </w:rPr>
  </w:style>
  <w:style w:type="paragraph" w:styleId="9">
    <w:name w:val="Date"/>
    <w:basedOn w:val="1"/>
    <w:next w:val="1"/>
    <w:autoRedefine/>
    <w:qFormat/>
    <w:uiPriority w:val="0"/>
    <w:pPr>
      <w:ind w:left="100" w:leftChars="2500"/>
    </w:pPr>
  </w:style>
  <w:style w:type="paragraph" w:styleId="10">
    <w:name w:val="Body Text Indent 2"/>
    <w:basedOn w:val="1"/>
    <w:autoRedefine/>
    <w:qFormat/>
    <w:uiPriority w:val="0"/>
    <w:pPr>
      <w:ind w:left="386" w:leftChars="169" w:firstLine="183" w:firstLineChars="71"/>
    </w:pPr>
    <w:rPr>
      <w:rFonts w:ascii="仿宋_GB2312" w:eastAsia="仿宋_GB2312"/>
    </w:rPr>
  </w:style>
  <w:style w:type="paragraph" w:styleId="11">
    <w:name w:val="Balloon Text"/>
    <w:basedOn w:val="1"/>
    <w:autoRedefine/>
    <w:qFormat/>
    <w:uiPriority w:val="0"/>
    <w:rPr>
      <w:sz w:val="18"/>
      <w:szCs w:val="18"/>
    </w:rPr>
  </w:style>
  <w:style w:type="paragraph" w:styleId="12">
    <w:name w:val="footer"/>
    <w:basedOn w:val="1"/>
    <w:link w:val="69"/>
    <w:autoRedefine/>
    <w:qFormat/>
    <w:uiPriority w:val="99"/>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autoRedefine/>
    <w:qFormat/>
    <w:uiPriority w:val="0"/>
    <w:pPr>
      <w:spacing w:after="120"/>
      <w:ind w:left="420" w:leftChars="200"/>
    </w:pPr>
    <w:rPr>
      <w:sz w:val="16"/>
      <w:szCs w:val="16"/>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Cs w:val="24"/>
    </w:rPr>
  </w:style>
  <w:style w:type="paragraph" w:styleId="16">
    <w:name w:val="Body Text First Indent 2"/>
    <w:basedOn w:val="7"/>
    <w:autoRedefine/>
    <w:qFormat/>
    <w:uiPriority w:val="0"/>
    <w:pPr>
      <w:spacing w:after="120"/>
      <w:ind w:left="420" w:leftChars="200" w:firstLine="420"/>
    </w:pPr>
    <w:rPr>
      <w:sz w:val="21"/>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rPr>
  </w:style>
  <w:style w:type="character" w:styleId="21">
    <w:name w:val="page number"/>
    <w:basedOn w:val="19"/>
    <w:autoRedefine/>
    <w:qFormat/>
    <w:uiPriority w:val="0"/>
  </w:style>
  <w:style w:type="character" w:styleId="22">
    <w:name w:val="FollowedHyperlink"/>
    <w:basedOn w:val="19"/>
    <w:autoRedefine/>
    <w:unhideWhenUsed/>
    <w:qFormat/>
    <w:uiPriority w:val="99"/>
    <w:rPr>
      <w:color w:val="800080"/>
      <w:u w:val="single"/>
    </w:rPr>
  </w:style>
  <w:style w:type="character" w:styleId="23">
    <w:name w:val="Hyperlink"/>
    <w:autoRedefine/>
    <w:qFormat/>
    <w:uiPriority w:val="99"/>
    <w:rPr>
      <w:color w:val="261CDC"/>
      <w:u w:val="single"/>
    </w:rPr>
  </w:style>
  <w:style w:type="character" w:customStyle="1" w:styleId="24">
    <w:name w:val="标题 3 字符"/>
    <w:basedOn w:val="19"/>
    <w:link w:val="4"/>
    <w:autoRedefine/>
    <w:qFormat/>
    <w:uiPriority w:val="9"/>
    <w:rPr>
      <w:rFonts w:ascii="Times New Roman" w:hAnsi="Times New Roman" w:eastAsia="宋体"/>
      <w:bCs/>
      <w:kern w:val="2"/>
      <w:sz w:val="24"/>
      <w:szCs w:val="32"/>
    </w:rPr>
  </w:style>
  <w:style w:type="character" w:customStyle="1" w:styleId="25">
    <w:name w:val="font11"/>
    <w:autoRedefine/>
    <w:qFormat/>
    <w:uiPriority w:val="0"/>
    <w:rPr>
      <w:rFonts w:hint="eastAsia" w:ascii="宋体" w:hAnsi="宋体" w:eastAsia="宋体" w:cs="宋体"/>
      <w:b/>
      <w:color w:val="000000"/>
      <w:sz w:val="20"/>
      <w:szCs w:val="20"/>
      <w:u w:val="none"/>
    </w:rPr>
  </w:style>
  <w:style w:type="character" w:customStyle="1" w:styleId="26">
    <w:name w:val="font13"/>
    <w:autoRedefine/>
    <w:qFormat/>
    <w:uiPriority w:val="0"/>
    <w:rPr>
      <w:rFonts w:hint="default" w:ascii="Times New Roman" w:hAnsi="Times New Roman" w:cs="Times New Roman"/>
      <w:color w:val="000000"/>
      <w:sz w:val="20"/>
      <w:szCs w:val="20"/>
      <w:u w:val="none"/>
    </w:rPr>
  </w:style>
  <w:style w:type="character" w:customStyle="1" w:styleId="27">
    <w:name w:val="font16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eastAsia" w:ascii="宋体" w:hAnsi="宋体" w:eastAsia="宋体" w:cs="宋体"/>
      <w:color w:val="000000"/>
      <w:sz w:val="20"/>
      <w:szCs w:val="20"/>
      <w:u w:val="none"/>
    </w:rPr>
  </w:style>
  <w:style w:type="character" w:customStyle="1" w:styleId="29">
    <w:name w:val="font61"/>
    <w:autoRedefine/>
    <w:qFormat/>
    <w:uiPriority w:val="0"/>
    <w:rPr>
      <w:rFonts w:hint="default" w:ascii="Times New Roman" w:hAnsi="Times New Roman" w:cs="Times New Roman"/>
      <w:color w:val="000000"/>
      <w:sz w:val="20"/>
      <w:szCs w:val="20"/>
      <w:u w:val="none"/>
    </w:rPr>
  </w:style>
  <w:style w:type="paragraph" w:customStyle="1" w:styleId="30">
    <w:name w:val="列表段落1"/>
    <w:basedOn w:val="1"/>
    <w:autoRedefine/>
    <w:qFormat/>
    <w:uiPriority w:val="99"/>
    <w:pPr>
      <w:ind w:firstLine="420"/>
    </w:pPr>
  </w:style>
  <w:style w:type="paragraph" w:customStyle="1" w:styleId="31">
    <w:name w:val="段落1 Char"/>
    <w:basedOn w:val="5"/>
    <w:autoRedefine/>
    <w:qFormat/>
    <w:uiPriority w:val="0"/>
    <w:pPr>
      <w:spacing w:line="480" w:lineRule="exact"/>
      <w:ind w:firstLine="480" w:firstLineChars="0"/>
      <w:textAlignment w:val="center"/>
    </w:pPr>
    <w:rPr>
      <w:rFonts w:ascii="宋体" w:hAnsi="宋体"/>
      <w:color w:val="000000"/>
      <w:spacing w:val="2"/>
      <w:szCs w:val="28"/>
    </w:rPr>
  </w:style>
  <w:style w:type="paragraph" w:customStyle="1" w:styleId="32">
    <w:name w:val="Char1 Char Char Char Char Char Char Char Char Char Char Char Char Char Char Char Char Char Char"/>
    <w:basedOn w:val="1"/>
    <w:autoRedefine/>
    <w:qFormat/>
    <w:uiPriority w:val="0"/>
    <w:pPr>
      <w:spacing w:line="180" w:lineRule="auto"/>
      <w:ind w:firstLine="200"/>
      <w:jc w:val="left"/>
    </w:pPr>
    <w:rPr>
      <w:rFonts w:eastAsia="仿宋_GB2312"/>
      <w:szCs w:val="24"/>
    </w:rPr>
  </w:style>
  <w:style w:type="paragraph" w:customStyle="1" w:styleId="33">
    <w:name w:val="表格文字"/>
    <w:basedOn w:val="1"/>
    <w:autoRedefine/>
    <w:qFormat/>
    <w:uiPriority w:val="0"/>
    <w:pPr>
      <w:adjustRightInd w:val="0"/>
      <w:snapToGrid w:val="0"/>
      <w:spacing w:before="20" w:beforeLines="20" w:after="20" w:afterLines="20"/>
      <w:jc w:val="center"/>
    </w:pPr>
  </w:style>
  <w:style w:type="paragraph" w:customStyle="1" w:styleId="34">
    <w:name w:val="Char"/>
    <w:next w:val="16"/>
    <w:autoRedefine/>
    <w:qFormat/>
    <w:uiPriority w:val="0"/>
    <w:pPr>
      <w:snapToGrid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35">
    <w:name w:val="采用正文"/>
    <w:basedOn w:val="4"/>
    <w:autoRedefine/>
    <w:qFormat/>
    <w:uiPriority w:val="0"/>
    <w:pPr>
      <w:keepNext w:val="0"/>
      <w:keepLines w:val="0"/>
      <w:spacing w:line="560" w:lineRule="exact"/>
      <w:ind w:firstLine="200"/>
      <w:outlineLvl w:val="9"/>
    </w:pPr>
    <w:rPr>
      <w:rFonts w:eastAsia="仿宋_GB2312"/>
      <w:sz w:val="28"/>
    </w:rPr>
  </w:style>
  <w:style w:type="paragraph" w:customStyle="1" w:styleId="36">
    <w:name w:val="msonormal"/>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37">
    <w:name w:val="font5"/>
    <w:basedOn w:val="1"/>
    <w:autoRedefine/>
    <w:qFormat/>
    <w:uiPriority w:val="0"/>
    <w:pPr>
      <w:widowControl/>
      <w:spacing w:before="100" w:beforeAutospacing="1" w:after="100" w:afterAutospacing="1"/>
      <w:jc w:val="left"/>
    </w:pPr>
    <w:rPr>
      <w:b/>
      <w:bCs/>
      <w:kern w:val="0"/>
      <w:sz w:val="20"/>
    </w:rPr>
  </w:style>
  <w:style w:type="paragraph" w:customStyle="1" w:styleId="38">
    <w:name w:val="font6"/>
    <w:basedOn w:val="1"/>
    <w:autoRedefine/>
    <w:qFormat/>
    <w:uiPriority w:val="0"/>
    <w:pPr>
      <w:widowControl/>
      <w:spacing w:before="100" w:beforeAutospacing="1" w:after="100" w:afterAutospacing="1"/>
      <w:jc w:val="left"/>
    </w:pPr>
    <w:rPr>
      <w:kern w:val="0"/>
      <w:sz w:val="20"/>
    </w:rPr>
  </w:style>
  <w:style w:type="paragraph" w:customStyle="1" w:styleId="39">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8"/>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41">
    <w:name w:val="font9"/>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2">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4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45">
    <w:name w:val="xl66"/>
    <w:basedOn w:val="1"/>
    <w:autoRedefine/>
    <w:qFormat/>
    <w:uiPriority w:val="0"/>
    <w:pPr>
      <w:widowControl/>
      <w:spacing w:before="100" w:beforeAutospacing="1" w:after="100" w:afterAutospacing="1"/>
      <w:jc w:val="left"/>
    </w:pPr>
    <w:rPr>
      <w:b/>
      <w:bCs/>
      <w:kern w:val="0"/>
      <w:sz w:val="20"/>
    </w:rPr>
  </w:style>
  <w:style w:type="paragraph" w:customStyle="1" w:styleId="46">
    <w:name w:val="xl67"/>
    <w:basedOn w:val="1"/>
    <w:autoRedefine/>
    <w:qFormat/>
    <w:uiPriority w:val="0"/>
    <w:pPr>
      <w:widowControl/>
      <w:spacing w:before="100" w:beforeAutospacing="1" w:after="100" w:afterAutospacing="1"/>
      <w:jc w:val="left"/>
    </w:pPr>
    <w:rPr>
      <w:b/>
      <w:bCs/>
      <w:kern w:val="0"/>
      <w:sz w:val="20"/>
    </w:rPr>
  </w:style>
  <w:style w:type="paragraph" w:customStyle="1" w:styleId="47">
    <w:name w:val="xl68"/>
    <w:basedOn w:val="1"/>
    <w:autoRedefine/>
    <w:qFormat/>
    <w:uiPriority w:val="0"/>
    <w:pPr>
      <w:widowControl/>
      <w:shd w:val="clear" w:color="000000" w:fill="FFFF00"/>
      <w:spacing w:before="100" w:beforeAutospacing="1" w:after="100" w:afterAutospacing="1"/>
      <w:jc w:val="left"/>
    </w:pPr>
    <w:rPr>
      <w:kern w:val="0"/>
      <w:sz w:val="20"/>
    </w:rPr>
  </w:style>
  <w:style w:type="paragraph" w:customStyle="1" w:styleId="48">
    <w:name w:val="xl69"/>
    <w:basedOn w:val="1"/>
    <w:autoRedefine/>
    <w:qFormat/>
    <w:uiPriority w:val="0"/>
    <w:pPr>
      <w:widowControl/>
      <w:spacing w:before="100" w:beforeAutospacing="1" w:after="100" w:afterAutospacing="1"/>
      <w:jc w:val="left"/>
    </w:pPr>
    <w:rPr>
      <w:kern w:val="0"/>
      <w:sz w:val="20"/>
    </w:rPr>
  </w:style>
  <w:style w:type="paragraph" w:customStyle="1" w:styleId="49">
    <w:name w:val="xl70"/>
    <w:basedOn w:val="1"/>
    <w:autoRedefine/>
    <w:qFormat/>
    <w:uiPriority w:val="0"/>
    <w:pPr>
      <w:widowControl/>
      <w:spacing w:before="100" w:beforeAutospacing="1" w:after="100" w:afterAutospacing="1"/>
      <w:jc w:val="left"/>
    </w:pPr>
    <w:rPr>
      <w:kern w:val="0"/>
      <w:sz w:val="20"/>
    </w:rPr>
  </w:style>
  <w:style w:type="paragraph" w:customStyle="1" w:styleId="50">
    <w:name w:val="xl71"/>
    <w:basedOn w:val="1"/>
    <w:autoRedefine/>
    <w:qFormat/>
    <w:uiPriority w:val="0"/>
    <w:pPr>
      <w:widowControl/>
      <w:spacing w:before="100" w:beforeAutospacing="1" w:after="100" w:afterAutospacing="1"/>
      <w:jc w:val="center"/>
    </w:pPr>
    <w:rPr>
      <w:kern w:val="0"/>
      <w:sz w:val="20"/>
    </w:rPr>
  </w:style>
  <w:style w:type="paragraph" w:customStyle="1" w:styleId="51">
    <w:name w:val="xl72"/>
    <w:basedOn w:val="1"/>
    <w:autoRedefine/>
    <w:qFormat/>
    <w:uiPriority w:val="0"/>
    <w:pPr>
      <w:widowControl/>
      <w:spacing w:before="100" w:beforeAutospacing="1" w:after="100" w:afterAutospacing="1"/>
      <w:jc w:val="left"/>
    </w:pPr>
    <w:rPr>
      <w:kern w:val="0"/>
      <w:sz w:val="20"/>
    </w:rPr>
  </w:style>
  <w:style w:type="paragraph" w:customStyle="1" w:styleId="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5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5">
    <w:name w:val="xl76"/>
    <w:basedOn w:val="1"/>
    <w:autoRedefine/>
    <w:qFormat/>
    <w:uiPriority w:val="0"/>
    <w:pPr>
      <w:widowControl/>
      <w:spacing w:before="100" w:beforeAutospacing="1" w:after="100" w:afterAutospacing="1"/>
      <w:jc w:val="left"/>
    </w:pPr>
    <w:rPr>
      <w:color w:val="FF0000"/>
      <w:kern w:val="0"/>
      <w:sz w:val="20"/>
    </w:rPr>
  </w:style>
  <w:style w:type="paragraph" w:customStyle="1" w:styleId="56">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7">
    <w:name w:val="xl78"/>
    <w:basedOn w:val="1"/>
    <w:autoRedefine/>
    <w:qFormat/>
    <w:uiPriority w:val="0"/>
    <w:pPr>
      <w:widowControl/>
      <w:shd w:val="clear" w:color="000000" w:fill="FFFF00"/>
      <w:spacing w:before="100" w:beforeAutospacing="1" w:after="100" w:afterAutospacing="1"/>
      <w:jc w:val="left"/>
    </w:pPr>
    <w:rPr>
      <w:color w:val="FF0000"/>
      <w:kern w:val="0"/>
      <w:sz w:val="20"/>
    </w:rPr>
  </w:style>
  <w:style w:type="paragraph" w:customStyle="1" w:styleId="5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61">
    <w:name w:val="xl8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2">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0"/>
    </w:rPr>
  </w:style>
  <w:style w:type="paragraph" w:customStyle="1" w:styleId="63">
    <w:name w:val="xl84"/>
    <w:basedOn w:val="1"/>
    <w:autoRedefine/>
    <w:qFormat/>
    <w:uiPriority w:val="0"/>
    <w:pPr>
      <w:widowControl/>
      <w:pBdr>
        <w:left w:val="single" w:color="auto" w:sz="4" w:space="0"/>
        <w:right w:val="single" w:color="auto" w:sz="4" w:space="0"/>
      </w:pBdr>
      <w:spacing w:before="100" w:beforeAutospacing="1" w:after="100" w:afterAutospacing="1"/>
      <w:jc w:val="center"/>
    </w:pPr>
    <w:rPr>
      <w:b/>
      <w:bCs/>
      <w:kern w:val="0"/>
      <w:sz w:val="20"/>
    </w:rPr>
  </w:style>
  <w:style w:type="paragraph" w:customStyle="1" w:styleId="64">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65">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66">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0"/>
    </w:rPr>
  </w:style>
  <w:style w:type="paragraph" w:customStyle="1" w:styleId="67">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68">
    <w:name w:val="列表段落2"/>
    <w:basedOn w:val="1"/>
    <w:autoRedefine/>
    <w:qFormat/>
    <w:uiPriority w:val="99"/>
    <w:pPr>
      <w:ind w:firstLine="420"/>
    </w:pPr>
  </w:style>
  <w:style w:type="character" w:customStyle="1" w:styleId="69">
    <w:name w:val="页脚 字符"/>
    <w:basedOn w:val="19"/>
    <w:link w:val="12"/>
    <w:autoRedefine/>
    <w:qFormat/>
    <w:uiPriority w:val="99"/>
    <w:rPr>
      <w:kern w:val="2"/>
      <w:sz w:val="18"/>
    </w:rPr>
  </w:style>
  <w:style w:type="paragraph" w:customStyle="1" w:styleId="70">
    <w:name w:val="xl89"/>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71">
    <w:name w:val="xl90"/>
    <w:basedOn w:val="1"/>
    <w:autoRedefine/>
    <w:qFormat/>
    <w:uiPriority w:val="0"/>
    <w:pPr>
      <w:widowControl/>
      <w:spacing w:before="100" w:beforeAutospacing="1" w:after="100" w:afterAutospacing="1"/>
      <w:jc w:val="left"/>
    </w:pPr>
    <w:rPr>
      <w:rFonts w:ascii="宋体" w:hAnsi="宋体" w:cs="宋体"/>
      <w:color w:val="FF0000"/>
      <w:kern w:val="0"/>
      <w:szCs w:val="24"/>
    </w:rPr>
  </w:style>
  <w:style w:type="paragraph" w:customStyle="1" w:styleId="7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5">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6">
    <w:name w:val="xl95"/>
    <w:basedOn w:val="1"/>
    <w:autoRedefine/>
    <w:qFormat/>
    <w:uiPriority w:val="0"/>
    <w:pPr>
      <w:widowControl/>
      <w:spacing w:before="100" w:beforeAutospacing="1" w:after="100" w:afterAutospacing="1"/>
      <w:jc w:val="left"/>
      <w:textAlignment w:val="center"/>
    </w:pPr>
    <w:rPr>
      <w:color w:val="FF0000"/>
      <w:kern w:val="0"/>
      <w:szCs w:val="24"/>
    </w:rPr>
  </w:style>
  <w:style w:type="paragraph" w:customStyle="1" w:styleId="77">
    <w:name w:val="xl96"/>
    <w:basedOn w:val="1"/>
    <w:autoRedefine/>
    <w:qFormat/>
    <w:uiPriority w:val="0"/>
    <w:pPr>
      <w:widowControl/>
      <w:shd w:val="clear" w:color="000000" w:fill="00B050"/>
      <w:spacing w:before="100" w:beforeAutospacing="1" w:after="100" w:afterAutospacing="1"/>
      <w:jc w:val="left"/>
    </w:pPr>
    <w:rPr>
      <w:rFonts w:ascii="宋体" w:hAnsi="宋体" w:cs="宋体"/>
      <w:color w:val="FF0000"/>
      <w:kern w:val="0"/>
      <w:sz w:val="22"/>
      <w:szCs w:val="22"/>
    </w:rPr>
  </w:style>
  <w:style w:type="paragraph" w:customStyle="1" w:styleId="78">
    <w:name w:val="xl97"/>
    <w:basedOn w:val="1"/>
    <w:autoRedefine/>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7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8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8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8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83">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8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8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8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8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8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8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9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rPr>
  </w:style>
  <w:style w:type="paragraph" w:customStyle="1" w:styleId="91">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4"/>
    </w:rPr>
  </w:style>
  <w:style w:type="paragraph" w:customStyle="1" w:styleId="92">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9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95">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96">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9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9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99">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 w:hAnsi="楷体" w:eastAsia="楷体" w:cs="宋体"/>
      <w:kern w:val="0"/>
      <w:sz w:val="20"/>
    </w:rPr>
  </w:style>
  <w:style w:type="paragraph" w:customStyle="1" w:styleId="100">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10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2">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103">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104">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105">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6">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0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8">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09">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110">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11">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12">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13">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14">
    <w:name w:val="xl13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15">
    <w:name w:val="xl13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16">
    <w:name w:val="xl1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17">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18">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19">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4"/>
    </w:rPr>
  </w:style>
  <w:style w:type="character" w:customStyle="1" w:styleId="120">
    <w:name w:val="font101"/>
    <w:basedOn w:val="19"/>
    <w:autoRedefine/>
    <w:qFormat/>
    <w:uiPriority w:val="0"/>
    <w:rPr>
      <w:rFonts w:hint="eastAsia" w:ascii="宋体" w:hAnsi="宋体" w:eastAsia="宋体" w:cs="宋体"/>
      <w:color w:val="000000"/>
      <w:sz w:val="21"/>
      <w:szCs w:val="21"/>
      <w:u w:val="none"/>
    </w:rPr>
  </w:style>
  <w:style w:type="character" w:customStyle="1" w:styleId="121">
    <w:name w:val="font21"/>
    <w:basedOn w:val="19"/>
    <w:autoRedefine/>
    <w:qFormat/>
    <w:uiPriority w:val="0"/>
    <w:rPr>
      <w:rFonts w:hint="eastAsia" w:ascii="宋体" w:hAnsi="宋体" w:eastAsia="宋体" w:cs="宋体"/>
      <w:color w:val="000000"/>
      <w:sz w:val="20"/>
      <w:szCs w:val="20"/>
      <w:u w:val="none"/>
    </w:rPr>
  </w:style>
  <w:style w:type="character" w:customStyle="1" w:styleId="122">
    <w:name w:val="font121"/>
    <w:basedOn w:val="19"/>
    <w:autoRedefine/>
    <w:qFormat/>
    <w:uiPriority w:val="0"/>
    <w:rPr>
      <w:rFonts w:hint="eastAsia" w:ascii="宋体" w:hAnsi="宋体" w:eastAsia="宋体" w:cs="宋体"/>
      <w:b/>
      <w:bCs/>
      <w:color w:val="000000"/>
      <w:sz w:val="24"/>
      <w:szCs w:val="24"/>
      <w:u w:val="none"/>
    </w:rPr>
  </w:style>
  <w:style w:type="character" w:customStyle="1" w:styleId="123">
    <w:name w:val="font01"/>
    <w:basedOn w:val="19"/>
    <w:autoRedefine/>
    <w:qFormat/>
    <w:uiPriority w:val="0"/>
    <w:rPr>
      <w:rFonts w:hint="eastAsia" w:ascii="宋体" w:hAnsi="宋体" w:eastAsia="宋体" w:cs="宋体"/>
      <w:color w:val="000000"/>
      <w:sz w:val="24"/>
      <w:szCs w:val="24"/>
      <w:u w:val="none"/>
    </w:rPr>
  </w:style>
  <w:style w:type="character" w:customStyle="1" w:styleId="124">
    <w:name w:val="font51"/>
    <w:basedOn w:val="19"/>
    <w:autoRedefine/>
    <w:qFormat/>
    <w:uiPriority w:val="0"/>
    <w:rPr>
      <w:rFonts w:hint="eastAsia" w:ascii="宋体" w:hAnsi="宋体" w:eastAsia="宋体" w:cs="宋体"/>
      <w:b/>
      <w:bCs/>
      <w:color w:val="000000"/>
      <w:sz w:val="24"/>
      <w:szCs w:val="24"/>
      <w:u w:val="none"/>
    </w:rPr>
  </w:style>
  <w:style w:type="character" w:customStyle="1" w:styleId="125">
    <w:name w:val="font31"/>
    <w:basedOn w:val="19"/>
    <w:autoRedefine/>
    <w:qFormat/>
    <w:uiPriority w:val="0"/>
    <w:rPr>
      <w:rFonts w:hint="default" w:ascii="Times New Roman" w:hAnsi="Times New Roman" w:cs="Times New Roman"/>
      <w:color w:val="000000"/>
      <w:sz w:val="24"/>
      <w:szCs w:val="24"/>
      <w:u w:val="none"/>
    </w:rPr>
  </w:style>
  <w:style w:type="character" w:customStyle="1" w:styleId="126">
    <w:name w:val="font41"/>
    <w:basedOn w:val="19"/>
    <w:autoRedefine/>
    <w:qFormat/>
    <w:uiPriority w:val="0"/>
    <w:rPr>
      <w:rFonts w:hint="default" w:ascii="Times New Roman" w:hAnsi="Times New Roman" w:cs="Times New Roman"/>
      <w:color w:val="000000"/>
      <w:sz w:val="24"/>
      <w:szCs w:val="24"/>
      <w:u w:val="none"/>
    </w:rPr>
  </w:style>
  <w:style w:type="paragraph" w:customStyle="1" w:styleId="127">
    <w:name w:val="00正文内容"/>
    <w:next w:val="1"/>
    <w:autoRedefine/>
    <w:qFormat/>
    <w:uiPriority w:val="0"/>
    <w:pPr>
      <w:spacing w:line="360" w:lineRule="auto"/>
      <w:ind w:firstLine="560" w:firstLineChars="200"/>
      <w:jc w:val="both"/>
    </w:pPr>
    <w:rPr>
      <w:rFonts w:ascii="仿宋" w:hAnsi="Times New Roman" w:eastAsia="仿宋" w:cs="Times New Roman"/>
      <w:color w:val="000000"/>
      <w:kern w:val="2"/>
      <w:sz w:val="28"/>
      <w:lang w:val="en-US" w:eastAsia="zh-CN" w:bidi="ar-SA"/>
    </w:rPr>
  </w:style>
  <w:style w:type="character" w:customStyle="1" w:styleId="128">
    <w:name w:val="font81"/>
    <w:basedOn w:val="19"/>
    <w:autoRedefine/>
    <w:qFormat/>
    <w:uiPriority w:val="0"/>
    <w:rPr>
      <w:rFonts w:ascii="仿宋" w:hAnsi="仿宋" w:eastAsia="仿宋" w:cs="仿宋"/>
      <w:b/>
      <w:bCs/>
      <w:color w:val="000000"/>
      <w:sz w:val="22"/>
      <w:szCs w:val="22"/>
      <w:u w:val="none"/>
    </w:rPr>
  </w:style>
  <w:style w:type="character" w:customStyle="1" w:styleId="129">
    <w:name w:val="font91"/>
    <w:basedOn w:val="19"/>
    <w:autoRedefine/>
    <w:qFormat/>
    <w:uiPriority w:val="0"/>
    <w:rPr>
      <w:rFonts w:hint="eastAsia" w:ascii="仿宋" w:hAnsi="仿宋" w:eastAsia="仿宋" w:cs="仿宋"/>
      <w:b/>
      <w:bCs/>
      <w:color w:val="000000"/>
      <w:sz w:val="24"/>
      <w:szCs w:val="24"/>
      <w:u w:val="none"/>
    </w:rPr>
  </w:style>
  <w:style w:type="paragraph" w:customStyle="1" w:styleId="130">
    <w:name w:val="正文1"/>
    <w:basedOn w:val="1"/>
    <w:autoRedefine/>
    <w:qFormat/>
    <w:uiPriority w:val="0"/>
    <w:pPr>
      <w:tabs>
        <w:tab w:val="left" w:pos="160"/>
        <w:tab w:val="left" w:pos="3420"/>
      </w:tabs>
      <w:spacing w:line="360" w:lineRule="auto"/>
      <w:ind w:firstLine="200"/>
    </w:pPr>
    <w:rPr>
      <w:rFonts w:ascii="宋体" w:eastAsia="仿宋" w:cs="宋体"/>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7778</Words>
  <Characters>8512</Characters>
  <Lines>100</Lines>
  <Paragraphs>28</Paragraphs>
  <TotalTime>0</TotalTime>
  <ScaleCrop>false</ScaleCrop>
  <LinksUpToDate>false</LinksUpToDate>
  <CharactersWithSpaces>8537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2021-03-18T00:58:00Z</dcterms:created>
  <dc:creator>徐有章</dc:creator>
  <cp:lastModifiedBy>热带北极熊</cp:lastModifiedBy>
  <cp:lastPrinted>2024-04-26T02:45:00Z</cp:lastPrinted>
  <dcterms:modified xsi:type="dcterms:W3CDTF">2024-10-28T03:21:38Z</dcterms:modified>
  <dc:title>（三）施工组织设计</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813EC4E4158E434FBB4501D19E68DC01_13</vt:lpwstr>
  </property>
</Properties>
</file>