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9736F">
      <w:pPr>
        <w:pBdr>
          <w:top w:val="none" w:color="000000" w:sz="0" w:space="0"/>
          <w:left w:val="none" w:color="000000" w:sz="0" w:space="0"/>
          <w:bottom w:val="none" w:color="000000" w:sz="0" w:space="0"/>
          <w:right w:val="none" w:color="000000" w:sz="0" w:space="0"/>
        </w:pBdr>
        <w:spacing w:after="156" w:line="85" w:lineRule="atLeast"/>
        <w:ind w:firstLine="1446" w:firstLineChars="300"/>
        <w:jc w:val="both"/>
        <w:rPr>
          <w:rFonts w:eastAsia="宋体"/>
          <w:color w:val="auto"/>
          <w:highlight w:val="none"/>
          <w:lang w:eastAsia="zh-CN"/>
        </w:rPr>
      </w:pPr>
      <w:r>
        <w:rPr>
          <w:rFonts w:hint="eastAsia" w:ascii="宋体" w:hAnsi="宋体" w:eastAsia="宋体" w:cs="宋体"/>
          <w:b/>
          <w:color w:val="auto"/>
          <w:sz w:val="48"/>
          <w:highlight w:val="none"/>
          <w:lang w:eastAsia="zh-CN"/>
        </w:rPr>
        <w:t>中兴街道居家养老购买服务</w:t>
      </w:r>
    </w:p>
    <w:p w14:paraId="7A7FFF27">
      <w:pPr>
        <w:pBdr>
          <w:top w:val="none" w:color="000000" w:sz="0" w:space="0"/>
          <w:left w:val="none" w:color="000000" w:sz="0" w:space="0"/>
          <w:bottom w:val="none" w:color="000000" w:sz="0" w:space="0"/>
          <w:right w:val="none" w:color="000000" w:sz="0" w:space="0"/>
        </w:pBdr>
        <w:spacing w:after="0" w:line="170" w:lineRule="atLeast"/>
        <w:jc w:val="both"/>
        <w:rPr>
          <w:color w:val="auto"/>
          <w:highlight w:val="none"/>
          <w:lang w:eastAsia="zh-CN"/>
        </w:rPr>
      </w:pPr>
      <w:r>
        <w:rPr>
          <w:rFonts w:ascii="宋体" w:hAnsi="宋体" w:eastAsia="宋体" w:cs="宋体"/>
          <w:color w:val="auto"/>
          <w:sz w:val="28"/>
          <w:highlight w:val="none"/>
          <w:lang w:eastAsia="zh-CN"/>
        </w:rPr>
        <w:t> </w:t>
      </w:r>
    </w:p>
    <w:p w14:paraId="4BC1E6B8">
      <w:pPr>
        <w:pBdr>
          <w:top w:val="none" w:color="000000" w:sz="0" w:space="0"/>
          <w:left w:val="none" w:color="000000" w:sz="0" w:space="0"/>
          <w:bottom w:val="none" w:color="000000" w:sz="0" w:space="0"/>
          <w:right w:val="none" w:color="000000" w:sz="0" w:space="0"/>
        </w:pBdr>
        <w:spacing w:after="0"/>
        <w:jc w:val="both"/>
        <w:rPr>
          <w:rFonts w:ascii="Times New Roman" w:hAnsi="Times New Roman" w:eastAsia="Times New Roman" w:cs="Times New Roman"/>
          <w:color w:val="auto"/>
          <w:highlight w:val="none"/>
          <w:lang w:eastAsia="zh-CN"/>
        </w:rPr>
      </w:pPr>
      <w:r>
        <w:rPr>
          <w:rFonts w:ascii="Times New Roman" w:hAnsi="Times New Roman" w:eastAsia="Times New Roman" w:cs="Times New Roman"/>
          <w:color w:val="auto"/>
          <w:highlight w:val="none"/>
          <w:lang w:eastAsia="zh-CN"/>
        </w:rPr>
        <w:t> </w:t>
      </w:r>
    </w:p>
    <w:p w14:paraId="7C39B6F8">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6FC56AD3">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2EE9DE65">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54F3A2C4">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5CBFE49C">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4C689026">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7E2F508D">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562A83DA">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5A7EC79D">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Times New Roman" w:hAnsi="Times New Roman" w:eastAsia="Times New Roman" w:cs="Times New Roman"/>
          <w:color w:val="auto"/>
          <w:highlight w:val="none"/>
          <w:lang w:eastAsia="zh-CN"/>
        </w:rPr>
        <w:t> </w:t>
      </w:r>
    </w:p>
    <w:p w14:paraId="0B32A73C">
      <w:pPr>
        <w:pBdr>
          <w:top w:val="none" w:color="000000" w:sz="0" w:space="0"/>
          <w:left w:val="none" w:color="000000" w:sz="0" w:space="0"/>
          <w:bottom w:val="none" w:color="000000" w:sz="0" w:space="0"/>
          <w:right w:val="none" w:color="000000" w:sz="0" w:space="0"/>
        </w:pBdr>
        <w:spacing w:after="0" w:line="170" w:lineRule="atLeast"/>
        <w:ind w:left="1446" w:hanging="1446"/>
        <w:jc w:val="both"/>
        <w:rPr>
          <w:rFonts w:ascii="宋体" w:hAnsi="宋体" w:eastAsia="宋体" w:cs="宋体"/>
          <w:b/>
          <w:color w:val="auto"/>
          <w:sz w:val="72"/>
          <w:highlight w:val="none"/>
          <w:lang w:eastAsia="zh-CN"/>
        </w:rPr>
      </w:pPr>
      <w:r>
        <w:rPr>
          <w:rFonts w:hint="eastAsia" w:ascii="宋体" w:hAnsi="宋体" w:eastAsia="宋体" w:cs="宋体"/>
          <w:b/>
          <w:color w:val="auto"/>
          <w:sz w:val="72"/>
          <w:highlight w:val="none"/>
          <w:lang w:eastAsia="zh-CN"/>
        </w:rPr>
        <w:t>政府采购</w:t>
      </w:r>
      <w:r>
        <w:rPr>
          <w:rFonts w:ascii="宋体" w:hAnsi="宋体" w:eastAsia="宋体" w:cs="宋体"/>
          <w:b/>
          <w:color w:val="auto"/>
          <w:sz w:val="72"/>
          <w:highlight w:val="none"/>
          <w:lang w:eastAsia="zh-CN"/>
        </w:rPr>
        <w:t>竞争性磋商文件</w:t>
      </w:r>
    </w:p>
    <w:p w14:paraId="451CE577">
      <w:pPr>
        <w:pBdr>
          <w:top w:val="none" w:color="000000" w:sz="0" w:space="0"/>
          <w:left w:val="none" w:color="000000" w:sz="0" w:space="0"/>
          <w:bottom w:val="none" w:color="000000" w:sz="0" w:space="0"/>
          <w:right w:val="none" w:color="000000" w:sz="0" w:space="0"/>
        </w:pBdr>
        <w:spacing w:after="0" w:line="170" w:lineRule="atLeast"/>
        <w:ind w:left="3714" w:leftChars="1179" w:hanging="1120" w:hangingChars="155"/>
        <w:jc w:val="both"/>
        <w:rPr>
          <w:color w:val="auto"/>
          <w:highlight w:val="none"/>
          <w:lang w:eastAsia="zh-CN"/>
        </w:rPr>
      </w:pPr>
      <w:r>
        <w:rPr>
          <w:rFonts w:hint="eastAsia" w:ascii="宋体" w:hAnsi="宋体" w:eastAsia="宋体" w:cs="宋体"/>
          <w:b/>
          <w:color w:val="auto"/>
          <w:sz w:val="72"/>
          <w:highlight w:val="none"/>
          <w:lang w:eastAsia="zh-CN"/>
        </w:rPr>
        <w:t>（</w:t>
      </w:r>
      <w:r>
        <w:rPr>
          <w:rFonts w:hint="eastAsia" w:ascii="宋体" w:hAnsi="宋体" w:eastAsia="宋体" w:cs="宋体"/>
          <w:b/>
          <w:color w:val="auto"/>
          <w:sz w:val="72"/>
          <w:highlight w:val="none"/>
          <w:lang w:val="en-US" w:eastAsia="zh-CN"/>
        </w:rPr>
        <w:t>二次</w:t>
      </w:r>
      <w:r>
        <w:rPr>
          <w:rFonts w:hint="eastAsia" w:ascii="宋体" w:hAnsi="宋体" w:eastAsia="宋体" w:cs="宋体"/>
          <w:b/>
          <w:color w:val="auto"/>
          <w:sz w:val="72"/>
          <w:highlight w:val="none"/>
          <w:lang w:eastAsia="zh-CN"/>
        </w:rPr>
        <w:t>）</w:t>
      </w:r>
    </w:p>
    <w:p w14:paraId="4B3BC829">
      <w:pPr>
        <w:pBdr>
          <w:top w:val="none" w:color="000000" w:sz="0" w:space="0"/>
          <w:left w:val="none" w:color="000000" w:sz="0" w:space="0"/>
          <w:bottom w:val="none" w:color="000000" w:sz="0" w:space="0"/>
          <w:right w:val="none" w:color="000000" w:sz="0" w:space="0"/>
        </w:pBdr>
        <w:spacing w:before="120" w:after="120" w:line="460" w:lineRule="atLeast"/>
        <w:ind w:firstLine="964" w:firstLineChars="300"/>
        <w:rPr>
          <w:color w:val="auto"/>
          <w:highlight w:val="none"/>
          <w:lang w:eastAsia="zh-CN"/>
        </w:rPr>
      </w:pPr>
      <w:r>
        <w:rPr>
          <w:rFonts w:ascii="宋体" w:hAnsi="宋体" w:eastAsia="宋体" w:cs="宋体"/>
          <w:b/>
          <w:color w:val="auto"/>
          <w:sz w:val="32"/>
          <w:highlight w:val="none"/>
          <w:lang w:eastAsia="zh-CN"/>
        </w:rPr>
        <w:t>项目编号：JSZC-320690-ZCZX-C2024-0082</w:t>
      </w:r>
    </w:p>
    <w:p w14:paraId="77A9C963">
      <w:pPr>
        <w:pBdr>
          <w:top w:val="none" w:color="000000" w:sz="0" w:space="0"/>
          <w:left w:val="none" w:color="000000" w:sz="0" w:space="0"/>
          <w:bottom w:val="none" w:color="000000" w:sz="0" w:space="0"/>
          <w:right w:val="none" w:color="000000" w:sz="0" w:space="0"/>
        </w:pBdr>
        <w:spacing w:before="120" w:after="120" w:line="460" w:lineRule="atLeast"/>
        <w:rPr>
          <w:color w:val="auto"/>
          <w:highlight w:val="none"/>
          <w:lang w:eastAsia="zh-CN"/>
        </w:rPr>
      </w:pPr>
    </w:p>
    <w:p w14:paraId="3BF10BC6">
      <w:pPr>
        <w:pBdr>
          <w:top w:val="none" w:color="000000" w:sz="0" w:space="0"/>
          <w:left w:val="none" w:color="000000" w:sz="0" w:space="0"/>
          <w:bottom w:val="none" w:color="000000" w:sz="0" w:space="0"/>
          <w:right w:val="none" w:color="000000" w:sz="0" w:space="0"/>
        </w:pBdr>
        <w:spacing w:before="120" w:after="120" w:line="460" w:lineRule="atLeast"/>
        <w:rPr>
          <w:color w:val="auto"/>
          <w:highlight w:val="none"/>
          <w:lang w:eastAsia="zh-CN"/>
        </w:rPr>
      </w:pPr>
    </w:p>
    <w:p w14:paraId="71C6CDB3">
      <w:pPr>
        <w:pBdr>
          <w:top w:val="none" w:color="000000" w:sz="0" w:space="0"/>
          <w:left w:val="none" w:color="000000" w:sz="0" w:space="0"/>
          <w:bottom w:val="none" w:color="000000" w:sz="0" w:space="0"/>
          <w:right w:val="none" w:color="000000" w:sz="0" w:space="0"/>
        </w:pBdr>
        <w:spacing w:before="120" w:after="120" w:line="460" w:lineRule="atLeast"/>
        <w:rPr>
          <w:color w:val="auto"/>
          <w:highlight w:val="none"/>
          <w:lang w:eastAsia="zh-CN"/>
        </w:rPr>
      </w:pPr>
    </w:p>
    <w:p w14:paraId="4D58406D">
      <w:pPr>
        <w:pBdr>
          <w:top w:val="none" w:color="000000" w:sz="0" w:space="0"/>
          <w:left w:val="none" w:color="000000" w:sz="0" w:space="0"/>
          <w:bottom w:val="none" w:color="000000" w:sz="0" w:space="0"/>
          <w:right w:val="none" w:color="000000" w:sz="0" w:space="0"/>
        </w:pBdr>
        <w:spacing w:before="120" w:after="120" w:line="460" w:lineRule="atLeast"/>
        <w:rPr>
          <w:color w:val="auto"/>
          <w:highlight w:val="none"/>
          <w:lang w:eastAsia="zh-CN"/>
        </w:rPr>
      </w:pPr>
    </w:p>
    <w:p w14:paraId="2D5223A6">
      <w:pPr>
        <w:pBdr>
          <w:top w:val="none" w:color="000000" w:sz="0" w:space="0"/>
          <w:left w:val="none" w:color="000000" w:sz="0" w:space="0"/>
          <w:bottom w:val="none" w:color="000000" w:sz="0" w:space="0"/>
          <w:right w:val="none" w:color="000000" w:sz="0" w:space="0"/>
        </w:pBdr>
        <w:spacing w:before="120" w:after="120" w:line="460" w:lineRule="atLeast"/>
        <w:jc w:val="both"/>
        <w:rPr>
          <w:color w:val="auto"/>
          <w:highlight w:val="none"/>
          <w:lang w:eastAsia="zh-CN"/>
        </w:rPr>
      </w:pPr>
      <w:r>
        <w:rPr>
          <w:rFonts w:ascii="宋体" w:hAnsi="宋体" w:eastAsia="宋体" w:cs="宋体"/>
          <w:b/>
          <w:color w:val="auto"/>
          <w:sz w:val="40"/>
          <w:highlight w:val="none"/>
          <w:lang w:eastAsia="zh-CN"/>
        </w:rPr>
        <w:t> </w:t>
      </w:r>
    </w:p>
    <w:p w14:paraId="1252C1AF">
      <w:pPr>
        <w:pBdr>
          <w:top w:val="none" w:color="000000" w:sz="0" w:space="0"/>
          <w:left w:val="none" w:color="000000" w:sz="0" w:space="0"/>
          <w:bottom w:val="none" w:color="000000" w:sz="0" w:space="0"/>
          <w:right w:val="none" w:color="000000" w:sz="0" w:space="0"/>
        </w:pBdr>
        <w:spacing w:before="120" w:after="120" w:line="480" w:lineRule="auto"/>
        <w:ind w:firstLine="964" w:firstLineChars="300"/>
        <w:jc w:val="both"/>
        <w:rPr>
          <w:rFonts w:hint="eastAsia" w:ascii="仿宋" w:hAnsi="仿宋" w:eastAsia="仿宋" w:cs="仿宋"/>
          <w:b/>
          <w:color w:val="auto"/>
          <w:sz w:val="32"/>
          <w:highlight w:val="none"/>
          <w:u w:val="single"/>
          <w:lang w:eastAsia="zh-CN"/>
        </w:rPr>
      </w:pPr>
      <w:r>
        <w:rPr>
          <w:rFonts w:ascii="仿宋" w:hAnsi="仿宋" w:eastAsia="仿宋" w:cs="仿宋"/>
          <w:b/>
          <w:color w:val="auto"/>
          <w:sz w:val="32"/>
          <w:highlight w:val="none"/>
          <w:lang w:eastAsia="zh-CN"/>
        </w:rPr>
        <w:t>采   购   人:</w:t>
      </w:r>
      <w:r>
        <w:rPr>
          <w:rFonts w:ascii="仿宋" w:hAnsi="仿宋" w:eastAsia="仿宋" w:cs="仿宋"/>
          <w:b/>
          <w:color w:val="auto"/>
          <w:sz w:val="32"/>
          <w:highlight w:val="none"/>
          <w:u w:val="single"/>
          <w:lang w:eastAsia="zh-CN"/>
        </w:rPr>
        <w:t> </w:t>
      </w:r>
      <w:r>
        <w:rPr>
          <w:rFonts w:hint="eastAsia" w:ascii="仿宋" w:hAnsi="仿宋" w:eastAsia="仿宋" w:cs="仿宋"/>
          <w:b/>
          <w:color w:val="auto"/>
          <w:sz w:val="32"/>
          <w:highlight w:val="none"/>
          <w:u w:val="single"/>
          <w:lang w:eastAsia="zh-CN"/>
        </w:rPr>
        <w:t>南通市中兴街道办事处</w:t>
      </w:r>
    </w:p>
    <w:p w14:paraId="6D63545E">
      <w:pPr>
        <w:pBdr>
          <w:top w:val="none" w:color="000000" w:sz="0" w:space="0"/>
          <w:left w:val="none" w:color="000000" w:sz="0" w:space="0"/>
          <w:bottom w:val="none" w:color="000000" w:sz="0" w:space="0"/>
          <w:right w:val="none" w:color="000000" w:sz="0" w:space="0"/>
        </w:pBdr>
        <w:spacing w:before="120" w:after="120" w:line="480" w:lineRule="auto"/>
        <w:ind w:firstLine="964" w:firstLineChars="300"/>
        <w:jc w:val="both"/>
        <w:rPr>
          <w:color w:val="auto"/>
          <w:highlight w:val="none"/>
          <w:lang w:eastAsia="zh-CN"/>
        </w:rPr>
      </w:pPr>
      <w:r>
        <w:rPr>
          <w:rFonts w:ascii="仿宋" w:hAnsi="仿宋" w:eastAsia="仿宋" w:cs="仿宋"/>
          <w:b/>
          <w:color w:val="auto"/>
          <w:sz w:val="32"/>
          <w:highlight w:val="none"/>
          <w:lang w:eastAsia="zh-CN"/>
        </w:rPr>
        <w:t>招标代理机构:</w:t>
      </w:r>
      <w:r>
        <w:rPr>
          <w:rFonts w:ascii="仿宋" w:hAnsi="仿宋" w:eastAsia="仿宋" w:cs="仿宋"/>
          <w:b/>
          <w:color w:val="auto"/>
          <w:sz w:val="32"/>
          <w:highlight w:val="none"/>
          <w:u w:val="single"/>
          <w:lang w:eastAsia="zh-CN"/>
        </w:rPr>
        <w:t> </w:t>
      </w:r>
      <w:bookmarkStart w:id="9" w:name="_GoBack"/>
      <w:bookmarkEnd w:id="9"/>
      <w:r>
        <w:rPr>
          <w:rFonts w:hint="eastAsia" w:ascii="仿宋" w:hAnsi="仿宋" w:eastAsia="仿宋" w:cs="仿宋"/>
          <w:b/>
          <w:color w:val="auto"/>
          <w:sz w:val="32"/>
          <w:highlight w:val="none"/>
          <w:u w:val="single"/>
          <w:lang w:eastAsia="zh-CN"/>
        </w:rPr>
        <w:t>中诚智信工程咨询集团股份有限公司</w:t>
      </w:r>
    </w:p>
    <w:p w14:paraId="06594B06">
      <w:pPr>
        <w:pBdr>
          <w:top w:val="none" w:color="000000" w:sz="0" w:space="0"/>
          <w:left w:val="none" w:color="000000" w:sz="0" w:space="0"/>
          <w:bottom w:val="none" w:color="000000" w:sz="0" w:space="0"/>
          <w:right w:val="none" w:color="000000" w:sz="0" w:space="0"/>
        </w:pBdr>
        <w:spacing w:after="0" w:line="480" w:lineRule="auto"/>
        <w:ind w:firstLine="964" w:firstLineChars="300"/>
        <w:jc w:val="both"/>
        <w:rPr>
          <w:color w:val="auto"/>
          <w:highlight w:val="none"/>
          <w:lang w:eastAsia="zh-CN"/>
        </w:rPr>
      </w:pPr>
      <w:r>
        <w:rPr>
          <w:rFonts w:ascii="仿宋" w:hAnsi="仿宋" w:eastAsia="仿宋" w:cs="仿宋"/>
          <w:b/>
          <w:color w:val="auto"/>
          <w:sz w:val="32"/>
          <w:highlight w:val="none"/>
          <w:lang w:eastAsia="zh-CN"/>
        </w:rPr>
        <w:t xml:space="preserve">日        </w:t>
      </w:r>
      <w:r>
        <w:rPr>
          <w:rFonts w:hint="eastAsia" w:ascii="仿宋" w:hAnsi="仿宋" w:eastAsia="仿宋" w:cs="仿宋"/>
          <w:b/>
          <w:color w:val="auto"/>
          <w:sz w:val="32"/>
          <w:highlight w:val="none"/>
          <w:lang w:val="en-US" w:eastAsia="zh-CN"/>
        </w:rPr>
        <w:t xml:space="preserve">    </w:t>
      </w:r>
      <w:r>
        <w:rPr>
          <w:rFonts w:ascii="仿宋" w:hAnsi="仿宋" w:eastAsia="仿宋" w:cs="仿宋"/>
          <w:b/>
          <w:color w:val="auto"/>
          <w:sz w:val="32"/>
          <w:highlight w:val="none"/>
          <w:lang w:eastAsia="zh-CN"/>
        </w:rPr>
        <w:t>期:</w:t>
      </w:r>
      <w:r>
        <w:rPr>
          <w:rFonts w:ascii="仿宋" w:hAnsi="仿宋" w:eastAsia="仿宋" w:cs="仿宋"/>
          <w:b/>
          <w:color w:val="auto"/>
          <w:sz w:val="32"/>
          <w:highlight w:val="none"/>
          <w:u w:val="single"/>
          <w:lang w:eastAsia="zh-CN"/>
        </w:rPr>
        <w:t>  202</w:t>
      </w:r>
      <w:r>
        <w:rPr>
          <w:rFonts w:hint="eastAsia" w:ascii="仿宋" w:hAnsi="仿宋" w:eastAsia="仿宋" w:cs="仿宋"/>
          <w:b/>
          <w:color w:val="auto"/>
          <w:sz w:val="32"/>
          <w:highlight w:val="none"/>
          <w:u w:val="single"/>
          <w:lang w:eastAsia="zh-CN"/>
        </w:rPr>
        <w:t>4</w:t>
      </w:r>
      <w:r>
        <w:rPr>
          <w:rFonts w:ascii="仿宋" w:hAnsi="仿宋" w:eastAsia="仿宋" w:cs="仿宋"/>
          <w:b/>
          <w:color w:val="auto"/>
          <w:sz w:val="32"/>
          <w:highlight w:val="none"/>
          <w:u w:val="single"/>
          <w:lang w:eastAsia="zh-CN"/>
        </w:rPr>
        <w:t>年</w:t>
      </w:r>
      <w:r>
        <w:rPr>
          <w:rFonts w:hint="eastAsia" w:ascii="仿宋" w:hAnsi="仿宋" w:eastAsia="仿宋" w:cs="仿宋"/>
          <w:b/>
          <w:color w:val="auto"/>
          <w:sz w:val="32"/>
          <w:highlight w:val="none"/>
          <w:u w:val="single"/>
          <w:lang w:val="en-US" w:eastAsia="zh-CN"/>
        </w:rPr>
        <w:t>9</w:t>
      </w:r>
      <w:r>
        <w:rPr>
          <w:rFonts w:ascii="仿宋" w:hAnsi="仿宋" w:eastAsia="仿宋" w:cs="仿宋"/>
          <w:b/>
          <w:color w:val="auto"/>
          <w:sz w:val="32"/>
          <w:highlight w:val="none"/>
          <w:u w:val="single"/>
          <w:lang w:eastAsia="zh-CN"/>
        </w:rPr>
        <w:t>月</w:t>
      </w:r>
      <w:r>
        <w:rPr>
          <w:rFonts w:hint="eastAsia" w:ascii="仿宋" w:hAnsi="仿宋" w:eastAsia="仿宋" w:cs="仿宋"/>
          <w:b/>
          <w:color w:val="auto"/>
          <w:sz w:val="32"/>
          <w:highlight w:val="none"/>
          <w:u w:val="single"/>
          <w:lang w:val="en-US" w:eastAsia="zh-CN"/>
        </w:rPr>
        <w:t>4</w:t>
      </w:r>
      <w:r>
        <w:rPr>
          <w:rFonts w:ascii="仿宋" w:hAnsi="仿宋" w:eastAsia="仿宋" w:cs="仿宋"/>
          <w:b/>
          <w:color w:val="auto"/>
          <w:sz w:val="32"/>
          <w:highlight w:val="none"/>
          <w:u w:val="single"/>
          <w:lang w:eastAsia="zh-CN"/>
        </w:rPr>
        <w:t>日</w:t>
      </w:r>
    </w:p>
    <w:p w14:paraId="2F90E243">
      <w:pPr>
        <w:pBdr>
          <w:top w:val="none" w:color="000000" w:sz="0" w:space="0"/>
          <w:left w:val="none" w:color="000000" w:sz="0" w:space="0"/>
          <w:bottom w:val="none" w:color="000000" w:sz="0" w:space="0"/>
          <w:right w:val="none" w:color="000000" w:sz="0" w:space="0"/>
        </w:pBdr>
        <w:spacing w:after="0" w:line="460" w:lineRule="atLeast"/>
        <w:jc w:val="both"/>
        <w:rPr>
          <w:rFonts w:ascii="Times New Roman" w:hAnsi="Times New Roman" w:eastAsia="Times New Roman" w:cs="Times New Roman"/>
          <w:color w:val="auto"/>
          <w:sz w:val="24"/>
          <w:szCs w:val="24"/>
          <w:highlight w:val="none"/>
          <w:lang w:eastAsia="zh-CN"/>
        </w:rPr>
      </w:pPr>
      <w:r>
        <w:rPr>
          <w:rFonts w:ascii="Times New Roman" w:hAnsi="Times New Roman" w:eastAsia="Times New Roman" w:cs="Times New Roman"/>
          <w:color w:val="auto"/>
          <w:highlight w:val="none"/>
          <w:lang w:eastAsia="zh-CN"/>
        </w:rPr>
        <w:t> </w:t>
      </w:r>
    </w:p>
    <w:p w14:paraId="798B32B2">
      <w:pPr>
        <w:pBdr>
          <w:top w:val="none" w:color="000000" w:sz="0" w:space="0"/>
          <w:left w:val="none" w:color="000000" w:sz="0" w:space="0"/>
          <w:bottom w:val="none" w:color="000000" w:sz="0" w:space="0"/>
          <w:right w:val="none" w:color="000000" w:sz="0" w:space="0"/>
        </w:pBdr>
        <w:spacing w:after="0" w:line="460" w:lineRule="atLeast"/>
        <w:jc w:val="center"/>
        <w:rPr>
          <w:rFonts w:hint="eastAsia" w:ascii="宋体" w:hAnsi="宋体" w:eastAsia="宋体" w:cs="宋体"/>
          <w:b/>
          <w:color w:val="auto"/>
          <w:sz w:val="36"/>
          <w:highlight w:val="none"/>
          <w:lang w:eastAsia="zh-CN"/>
        </w:rPr>
      </w:pPr>
    </w:p>
    <w:p w14:paraId="6800CDC6">
      <w:pPr>
        <w:pBdr>
          <w:top w:val="none" w:color="000000" w:sz="0" w:space="0"/>
          <w:left w:val="none" w:color="000000" w:sz="0" w:space="0"/>
          <w:bottom w:val="none" w:color="000000" w:sz="0" w:space="0"/>
          <w:right w:val="none" w:color="000000" w:sz="0" w:space="0"/>
        </w:pBdr>
        <w:spacing w:after="0" w:line="460" w:lineRule="atLeast"/>
        <w:jc w:val="center"/>
        <w:rPr>
          <w:rFonts w:hint="eastAsia" w:ascii="宋体" w:hAnsi="宋体" w:eastAsia="宋体" w:cs="宋体"/>
          <w:b/>
          <w:color w:val="auto"/>
          <w:sz w:val="36"/>
          <w:highlight w:val="none"/>
          <w:lang w:eastAsia="zh-CN"/>
        </w:rPr>
      </w:pPr>
    </w:p>
    <w:p w14:paraId="1C8316D9">
      <w:pPr>
        <w:pBdr>
          <w:top w:val="none" w:color="000000" w:sz="0" w:space="0"/>
          <w:left w:val="none" w:color="000000" w:sz="0" w:space="0"/>
          <w:bottom w:val="none" w:color="000000" w:sz="0" w:space="0"/>
          <w:right w:val="none" w:color="000000" w:sz="0" w:space="0"/>
        </w:pBdr>
        <w:spacing w:after="0" w:line="460" w:lineRule="atLeast"/>
        <w:jc w:val="center"/>
        <w:rPr>
          <w:rFonts w:hint="eastAsia" w:ascii="宋体" w:hAnsi="宋体" w:eastAsia="宋体" w:cs="宋体"/>
          <w:b/>
          <w:color w:val="auto"/>
          <w:sz w:val="36"/>
          <w:highlight w:val="none"/>
          <w:lang w:eastAsia="zh-CN"/>
        </w:rPr>
      </w:pPr>
    </w:p>
    <w:p w14:paraId="285AF346">
      <w:pPr>
        <w:pStyle w:val="23"/>
        <w:rPr>
          <w:rFonts w:hint="eastAsia" w:ascii="宋体" w:hAnsi="宋体" w:eastAsia="宋体" w:cs="宋体"/>
          <w:b/>
          <w:color w:val="auto"/>
          <w:sz w:val="36"/>
          <w:highlight w:val="none"/>
          <w:lang w:eastAsia="zh-CN"/>
        </w:rPr>
      </w:pPr>
    </w:p>
    <w:p w14:paraId="65E8B586">
      <w:pPr>
        <w:pStyle w:val="23"/>
        <w:rPr>
          <w:rFonts w:hint="eastAsia" w:ascii="宋体" w:hAnsi="宋体" w:eastAsia="宋体" w:cs="宋体"/>
          <w:b/>
          <w:color w:val="auto"/>
          <w:sz w:val="36"/>
          <w:highlight w:val="none"/>
          <w:lang w:eastAsia="zh-CN"/>
        </w:rPr>
      </w:pPr>
    </w:p>
    <w:p w14:paraId="077C6DA4">
      <w:pPr>
        <w:pStyle w:val="23"/>
        <w:rPr>
          <w:rFonts w:hint="eastAsia" w:ascii="宋体" w:hAnsi="宋体" w:eastAsia="宋体" w:cs="宋体"/>
          <w:b/>
          <w:color w:val="auto"/>
          <w:sz w:val="36"/>
          <w:highlight w:val="none"/>
          <w:lang w:eastAsia="zh-CN"/>
        </w:rPr>
      </w:pPr>
    </w:p>
    <w:p w14:paraId="25CAC2F0">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lang w:eastAsia="zh-CN"/>
        </w:rPr>
      </w:pPr>
      <w:r>
        <w:rPr>
          <w:rFonts w:ascii="宋体" w:hAnsi="宋体" w:eastAsia="宋体" w:cs="宋体"/>
          <w:b/>
          <w:color w:val="auto"/>
          <w:sz w:val="36"/>
          <w:highlight w:val="none"/>
          <w:lang w:eastAsia="zh-CN"/>
        </w:rPr>
        <w:t>目录</w:t>
      </w:r>
    </w:p>
    <w:p w14:paraId="0940EE11">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lang w:eastAsia="zh-CN"/>
        </w:rPr>
      </w:pPr>
      <w:r>
        <w:rPr>
          <w:rFonts w:ascii="宋体" w:hAnsi="宋体" w:eastAsia="宋体" w:cs="宋体"/>
          <w:b/>
          <w:color w:val="auto"/>
          <w:sz w:val="28"/>
          <w:highlight w:val="none"/>
          <w:lang w:eastAsia="zh-CN"/>
        </w:rPr>
        <w:t> </w:t>
      </w:r>
    </w:p>
    <w:p w14:paraId="37AF7E14">
      <w:pPr>
        <w:pBdr>
          <w:top w:val="none" w:color="000000" w:sz="0" w:space="0"/>
          <w:left w:val="none" w:color="000000" w:sz="0" w:space="0"/>
          <w:bottom w:val="none" w:color="000000" w:sz="0" w:space="0"/>
          <w:right w:val="none" w:color="000000" w:sz="0" w:space="0"/>
        </w:pBdr>
        <w:spacing w:after="0" w:line="360" w:lineRule="auto"/>
        <w:ind w:firstLine="562"/>
        <w:jc w:val="both"/>
        <w:rPr>
          <w:color w:val="auto"/>
          <w:highlight w:val="none"/>
          <w:lang w:eastAsia="zh-CN"/>
        </w:rPr>
      </w:pPr>
      <w:r>
        <w:rPr>
          <w:rFonts w:ascii="仿宋" w:hAnsi="仿宋" w:eastAsia="仿宋" w:cs="仿宋"/>
          <w:b/>
          <w:color w:val="auto"/>
          <w:sz w:val="28"/>
          <w:highlight w:val="none"/>
          <w:lang w:eastAsia="zh-CN"/>
        </w:rPr>
        <w:t>第一章 竞争性磋商公告</w:t>
      </w:r>
    </w:p>
    <w:p w14:paraId="4F16A83C">
      <w:pPr>
        <w:pBdr>
          <w:top w:val="none" w:color="000000" w:sz="0" w:space="0"/>
          <w:left w:val="none" w:color="000000" w:sz="0" w:space="0"/>
          <w:bottom w:val="none" w:color="000000" w:sz="0" w:space="0"/>
          <w:right w:val="none" w:color="000000" w:sz="0" w:space="0"/>
        </w:pBdr>
        <w:spacing w:after="0" w:line="360" w:lineRule="auto"/>
        <w:ind w:firstLine="562"/>
        <w:jc w:val="both"/>
        <w:rPr>
          <w:color w:val="auto"/>
          <w:highlight w:val="none"/>
          <w:lang w:eastAsia="zh-CN"/>
        </w:rPr>
      </w:pPr>
      <w:r>
        <w:rPr>
          <w:rFonts w:ascii="仿宋" w:hAnsi="仿宋" w:eastAsia="仿宋" w:cs="仿宋"/>
          <w:b/>
          <w:color w:val="auto"/>
          <w:sz w:val="28"/>
          <w:highlight w:val="none"/>
          <w:lang w:eastAsia="zh-CN"/>
        </w:rPr>
        <w:t>第二章 磋商须知</w:t>
      </w:r>
    </w:p>
    <w:p w14:paraId="0519457B">
      <w:pPr>
        <w:pBdr>
          <w:top w:val="none" w:color="000000" w:sz="0" w:space="0"/>
          <w:left w:val="none" w:color="000000" w:sz="0" w:space="0"/>
          <w:bottom w:val="none" w:color="000000" w:sz="0" w:space="0"/>
          <w:right w:val="none" w:color="000000" w:sz="0" w:space="0"/>
        </w:pBdr>
        <w:spacing w:after="0" w:line="360" w:lineRule="auto"/>
        <w:ind w:firstLine="562"/>
        <w:jc w:val="both"/>
        <w:rPr>
          <w:color w:val="auto"/>
          <w:highlight w:val="none"/>
          <w:lang w:eastAsia="zh-CN"/>
        </w:rPr>
      </w:pPr>
      <w:r>
        <w:rPr>
          <w:rFonts w:ascii="仿宋" w:hAnsi="仿宋" w:eastAsia="仿宋" w:cs="仿宋"/>
          <w:b/>
          <w:color w:val="auto"/>
          <w:sz w:val="28"/>
          <w:highlight w:val="none"/>
          <w:lang w:eastAsia="zh-CN"/>
        </w:rPr>
        <w:t>第三章 项目需求</w:t>
      </w:r>
    </w:p>
    <w:p w14:paraId="4DEAD38F">
      <w:pPr>
        <w:pBdr>
          <w:top w:val="none" w:color="000000" w:sz="0" w:space="0"/>
          <w:left w:val="none" w:color="000000" w:sz="0" w:space="0"/>
          <w:bottom w:val="none" w:color="000000" w:sz="0" w:space="0"/>
          <w:right w:val="none" w:color="000000" w:sz="0" w:space="0"/>
        </w:pBdr>
        <w:spacing w:after="0" w:line="360" w:lineRule="auto"/>
        <w:ind w:firstLine="562"/>
        <w:jc w:val="both"/>
        <w:rPr>
          <w:color w:val="auto"/>
          <w:highlight w:val="none"/>
          <w:lang w:eastAsia="zh-CN"/>
        </w:rPr>
      </w:pPr>
      <w:r>
        <w:rPr>
          <w:rFonts w:ascii="仿宋" w:hAnsi="仿宋" w:eastAsia="仿宋" w:cs="仿宋"/>
          <w:b/>
          <w:color w:val="auto"/>
          <w:sz w:val="28"/>
          <w:highlight w:val="none"/>
          <w:lang w:eastAsia="zh-CN"/>
        </w:rPr>
        <w:t>第四章 资格审查</w:t>
      </w:r>
    </w:p>
    <w:p w14:paraId="676FAD77">
      <w:pPr>
        <w:pBdr>
          <w:top w:val="none" w:color="000000" w:sz="0" w:space="0"/>
          <w:left w:val="none" w:color="000000" w:sz="0" w:space="0"/>
          <w:bottom w:val="none" w:color="000000" w:sz="0" w:space="0"/>
          <w:right w:val="none" w:color="000000" w:sz="0" w:space="0"/>
        </w:pBdr>
        <w:spacing w:after="0" w:line="360" w:lineRule="auto"/>
        <w:ind w:firstLine="562"/>
        <w:jc w:val="both"/>
        <w:rPr>
          <w:color w:val="auto"/>
          <w:highlight w:val="none"/>
          <w:lang w:eastAsia="zh-CN"/>
        </w:rPr>
      </w:pPr>
      <w:r>
        <w:rPr>
          <w:rFonts w:ascii="仿宋" w:hAnsi="仿宋" w:eastAsia="仿宋" w:cs="仿宋"/>
          <w:b/>
          <w:color w:val="auto"/>
          <w:sz w:val="28"/>
          <w:highlight w:val="none"/>
          <w:lang w:eastAsia="zh-CN"/>
        </w:rPr>
        <w:t>第五章 磋商办法（综合评分法）</w:t>
      </w:r>
    </w:p>
    <w:p w14:paraId="7688A5FD">
      <w:pPr>
        <w:pBdr>
          <w:top w:val="none" w:color="000000" w:sz="0" w:space="0"/>
          <w:left w:val="none" w:color="000000" w:sz="0" w:space="0"/>
          <w:bottom w:val="none" w:color="000000" w:sz="0" w:space="0"/>
          <w:right w:val="none" w:color="000000" w:sz="0" w:space="0"/>
        </w:pBdr>
        <w:spacing w:after="0" w:line="360" w:lineRule="auto"/>
        <w:ind w:firstLine="562"/>
        <w:jc w:val="both"/>
        <w:rPr>
          <w:color w:val="auto"/>
          <w:highlight w:val="none"/>
          <w:lang w:eastAsia="zh-CN"/>
        </w:rPr>
      </w:pPr>
      <w:r>
        <w:rPr>
          <w:rFonts w:ascii="仿宋" w:hAnsi="仿宋" w:eastAsia="仿宋" w:cs="仿宋"/>
          <w:b/>
          <w:color w:val="auto"/>
          <w:sz w:val="28"/>
          <w:highlight w:val="none"/>
          <w:lang w:eastAsia="zh-CN"/>
        </w:rPr>
        <w:t>第六章 合同签订与验收付款</w:t>
      </w:r>
    </w:p>
    <w:p w14:paraId="0C412621">
      <w:pPr>
        <w:pBdr>
          <w:top w:val="none" w:color="000000" w:sz="0" w:space="0"/>
          <w:left w:val="none" w:color="000000" w:sz="0" w:space="0"/>
          <w:bottom w:val="none" w:color="000000" w:sz="0" w:space="0"/>
          <w:right w:val="none" w:color="000000" w:sz="0" w:space="0"/>
        </w:pBdr>
        <w:spacing w:after="0" w:line="360" w:lineRule="auto"/>
        <w:ind w:firstLine="562"/>
        <w:jc w:val="both"/>
        <w:rPr>
          <w:color w:val="auto"/>
          <w:highlight w:val="none"/>
          <w:lang w:eastAsia="zh-CN"/>
        </w:rPr>
      </w:pPr>
      <w:r>
        <w:rPr>
          <w:rFonts w:ascii="仿宋" w:hAnsi="仿宋" w:eastAsia="仿宋" w:cs="仿宋"/>
          <w:b/>
          <w:color w:val="auto"/>
          <w:sz w:val="28"/>
          <w:highlight w:val="none"/>
          <w:lang w:eastAsia="zh-CN"/>
        </w:rPr>
        <w:t>第七章 竞争性磋商响应文件组成</w:t>
      </w:r>
    </w:p>
    <w:p w14:paraId="28A67C18">
      <w:pPr>
        <w:pBdr>
          <w:top w:val="none" w:color="000000" w:sz="0" w:space="0"/>
          <w:left w:val="none" w:color="000000" w:sz="0" w:space="0"/>
          <w:bottom w:val="none" w:color="000000" w:sz="0" w:space="0"/>
          <w:right w:val="none" w:color="000000" w:sz="0" w:space="0"/>
        </w:pBdr>
        <w:spacing w:after="0" w:line="360" w:lineRule="auto"/>
        <w:ind w:firstLine="560"/>
        <w:jc w:val="both"/>
        <w:rPr>
          <w:color w:val="auto"/>
          <w:highlight w:val="none"/>
          <w:lang w:eastAsia="zh-CN"/>
        </w:rPr>
      </w:pPr>
      <w:r>
        <w:rPr>
          <w:rFonts w:ascii="仿宋" w:hAnsi="仿宋" w:eastAsia="仿宋" w:cs="仿宋"/>
          <w:color w:val="auto"/>
          <w:sz w:val="28"/>
          <w:highlight w:val="none"/>
          <w:lang w:eastAsia="zh-CN"/>
        </w:rPr>
        <w:t> </w:t>
      </w:r>
    </w:p>
    <w:p w14:paraId="16297D3E">
      <w:pPr>
        <w:pBdr>
          <w:top w:val="none" w:color="000000" w:sz="0" w:space="0"/>
          <w:left w:val="none" w:color="000000" w:sz="0" w:space="0"/>
          <w:bottom w:val="none" w:color="000000" w:sz="0" w:space="0"/>
          <w:right w:val="none" w:color="000000" w:sz="0" w:space="0"/>
        </w:pBdr>
        <w:spacing w:after="0"/>
        <w:rPr>
          <w:color w:val="auto"/>
          <w:highlight w:val="none"/>
          <w:lang w:eastAsia="zh-CN"/>
        </w:rPr>
      </w:pPr>
      <w:r>
        <w:rPr>
          <w:color w:val="auto"/>
          <w:highlight w:val="none"/>
          <w:lang w:eastAsia="zh-CN"/>
        </w:rPr>
        <w:br w:type="page" w:clear="all"/>
      </w:r>
    </w:p>
    <w:p w14:paraId="137B45DC">
      <w:pPr>
        <w:pBdr>
          <w:top w:val="none" w:color="000000" w:sz="0" w:space="0"/>
          <w:left w:val="none" w:color="000000" w:sz="0" w:space="0"/>
          <w:bottom w:val="none" w:color="000000" w:sz="0" w:space="0"/>
          <w:right w:val="none" w:color="000000" w:sz="0" w:space="0"/>
        </w:pBdr>
        <w:spacing w:after="0"/>
        <w:rPr>
          <w:color w:val="auto"/>
          <w:highlight w:val="none"/>
          <w:lang w:eastAsia="zh-CN"/>
        </w:rPr>
      </w:pPr>
      <w:r>
        <w:rPr>
          <w:rFonts w:ascii="宋体" w:hAnsi="宋体" w:eastAsia="宋体" w:cs="宋体"/>
          <w:b/>
          <w:color w:val="auto"/>
          <w:sz w:val="36"/>
          <w:highlight w:val="none"/>
          <w:lang w:eastAsia="zh-CN"/>
        </w:rPr>
        <w:t xml:space="preserve"> </w:t>
      </w:r>
    </w:p>
    <w:p w14:paraId="1B368375">
      <w:pPr>
        <w:pBdr>
          <w:top w:val="none" w:color="000000" w:sz="0" w:space="0"/>
          <w:left w:val="none" w:color="000000" w:sz="0" w:space="0"/>
          <w:bottom w:val="none" w:color="000000" w:sz="0" w:space="0"/>
          <w:right w:val="none" w:color="000000" w:sz="0" w:space="0"/>
        </w:pBdr>
        <w:spacing w:after="0"/>
        <w:jc w:val="center"/>
        <w:rPr>
          <w:color w:val="auto"/>
          <w:highlight w:val="none"/>
          <w:lang w:eastAsia="zh-CN"/>
        </w:rPr>
      </w:pPr>
      <w:r>
        <w:rPr>
          <w:rFonts w:ascii="宋体" w:hAnsi="宋体" w:eastAsia="宋体" w:cs="宋体"/>
          <w:b/>
          <w:color w:val="auto"/>
          <w:sz w:val="36"/>
          <w:highlight w:val="none"/>
          <w:lang w:eastAsia="zh-CN"/>
        </w:rPr>
        <w:t>第一章  竞争性磋商公告</w:t>
      </w:r>
    </w:p>
    <w:p w14:paraId="2BE3E6CF">
      <w:pPr>
        <w:pBdr>
          <w:top w:val="single" w:color="000000" w:sz="4" w:space="0"/>
          <w:left w:val="single" w:color="000000" w:sz="4" w:space="0"/>
          <w:bottom w:val="single" w:color="000000" w:sz="4" w:space="0"/>
          <w:right w:val="single" w:color="000000" w:sz="4" w:space="0"/>
        </w:pBdr>
        <w:spacing w:after="0" w:line="479" w:lineRule="atLeast"/>
        <w:jc w:val="both"/>
        <w:rPr>
          <w:color w:val="auto"/>
          <w:highlight w:val="none"/>
          <w:lang w:eastAsia="zh-CN"/>
        </w:rPr>
      </w:pPr>
      <w:r>
        <w:rPr>
          <w:rFonts w:ascii="仿宋" w:hAnsi="仿宋" w:eastAsia="仿宋" w:cs="仿宋"/>
          <w:color w:val="auto"/>
          <w:sz w:val="24"/>
          <w:highlight w:val="none"/>
          <w:lang w:eastAsia="zh-CN"/>
        </w:rPr>
        <w:t>项目概况：</w:t>
      </w:r>
    </w:p>
    <w:p w14:paraId="4002594A">
      <w:pPr>
        <w:pBdr>
          <w:top w:val="single" w:color="000000" w:sz="4" w:space="0"/>
          <w:left w:val="single" w:color="000000" w:sz="4" w:space="0"/>
          <w:bottom w:val="single" w:color="000000" w:sz="4" w:space="0"/>
          <w:right w:val="single" w:color="000000" w:sz="4" w:space="0"/>
        </w:pBdr>
        <w:spacing w:after="0" w:line="479" w:lineRule="atLeast"/>
        <w:ind w:firstLine="482"/>
        <w:jc w:val="both"/>
        <w:rPr>
          <w:color w:val="auto"/>
          <w:highlight w:val="none"/>
          <w:lang w:eastAsia="zh-CN"/>
        </w:rPr>
      </w:pPr>
      <w:r>
        <w:rPr>
          <w:rFonts w:hint="eastAsia" w:ascii="仿宋" w:hAnsi="仿宋" w:eastAsia="仿宋" w:cs="仿宋"/>
          <w:b/>
          <w:color w:val="auto"/>
          <w:sz w:val="24"/>
          <w:highlight w:val="none"/>
          <w:u w:val="single"/>
          <w:lang w:eastAsia="zh-CN"/>
        </w:rPr>
        <w:t>中兴街道居家养老购买服务</w:t>
      </w:r>
      <w:r>
        <w:rPr>
          <w:rFonts w:ascii="仿宋" w:hAnsi="仿宋" w:eastAsia="仿宋" w:cs="仿宋"/>
          <w:color w:val="auto"/>
          <w:sz w:val="24"/>
          <w:highlight w:val="none"/>
          <w:lang w:eastAsia="zh-CN"/>
        </w:rPr>
        <w:t>的潜在供应商应在直接从</w:t>
      </w:r>
      <w:r>
        <w:rPr>
          <w:rFonts w:ascii="仿宋" w:hAnsi="仿宋" w:eastAsia="仿宋" w:cs="仿宋"/>
          <w:color w:val="auto"/>
          <w:sz w:val="24"/>
          <w:highlight w:val="none"/>
          <w:u w:val="single"/>
          <w:lang w:eastAsia="zh-CN"/>
        </w:rPr>
        <w:t>江苏省政府采购网</w:t>
      </w:r>
      <w:r>
        <w:rPr>
          <w:rFonts w:ascii="仿宋" w:hAnsi="仿宋" w:eastAsia="仿宋" w:cs="仿宋"/>
          <w:color w:val="auto"/>
          <w:sz w:val="24"/>
          <w:highlight w:val="none"/>
          <w:lang w:eastAsia="zh-CN"/>
        </w:rPr>
        <w:t>下载竞争性磋商文件，并于</w:t>
      </w:r>
      <w:r>
        <w:rPr>
          <w:rFonts w:ascii="仿宋" w:hAnsi="仿宋" w:eastAsia="仿宋" w:cs="仿宋"/>
          <w:b/>
          <w:color w:val="auto"/>
          <w:sz w:val="24"/>
          <w:highlight w:val="none"/>
          <w:u w:val="single"/>
          <w:lang w:eastAsia="zh-CN"/>
        </w:rPr>
        <w:t>2024年</w:t>
      </w:r>
      <w:r>
        <w:rPr>
          <w:rFonts w:hint="eastAsia" w:ascii="仿宋" w:hAnsi="仿宋" w:eastAsia="仿宋" w:cs="仿宋"/>
          <w:b/>
          <w:color w:val="auto"/>
          <w:sz w:val="24"/>
          <w:highlight w:val="none"/>
          <w:u w:val="single"/>
          <w:lang w:val="en-US" w:eastAsia="zh-CN"/>
        </w:rPr>
        <w:t>9</w:t>
      </w:r>
      <w:r>
        <w:rPr>
          <w:rFonts w:ascii="仿宋" w:hAnsi="仿宋" w:eastAsia="仿宋" w:cs="仿宋"/>
          <w:b/>
          <w:color w:val="auto"/>
          <w:sz w:val="24"/>
          <w:highlight w:val="none"/>
          <w:u w:val="single"/>
          <w:lang w:eastAsia="zh-CN"/>
        </w:rPr>
        <w:t>月</w:t>
      </w:r>
      <w:r>
        <w:rPr>
          <w:rFonts w:hint="eastAsia" w:ascii="仿宋" w:hAnsi="仿宋" w:eastAsia="仿宋" w:cs="仿宋"/>
          <w:b/>
          <w:color w:val="auto"/>
          <w:sz w:val="24"/>
          <w:highlight w:val="none"/>
          <w:u w:val="single"/>
          <w:lang w:val="en-US" w:eastAsia="zh-CN"/>
        </w:rPr>
        <w:t>19</w:t>
      </w:r>
      <w:r>
        <w:rPr>
          <w:rFonts w:hint="eastAsia" w:ascii="仿宋" w:hAnsi="仿宋" w:eastAsia="仿宋" w:cs="仿宋"/>
          <w:b/>
          <w:color w:val="auto"/>
          <w:sz w:val="24"/>
          <w:highlight w:val="none"/>
          <w:u w:val="single"/>
          <w:lang w:eastAsia="zh-CN"/>
        </w:rPr>
        <w:t>日09</w:t>
      </w:r>
      <w:r>
        <w:rPr>
          <w:rFonts w:ascii="仿宋" w:hAnsi="仿宋" w:eastAsia="仿宋" w:cs="仿宋"/>
          <w:b/>
          <w:color w:val="auto"/>
          <w:sz w:val="24"/>
          <w:highlight w:val="none"/>
          <w:u w:val="single"/>
          <w:lang w:eastAsia="zh-CN"/>
        </w:rPr>
        <w:t>点30分</w:t>
      </w:r>
      <w:r>
        <w:rPr>
          <w:rFonts w:ascii="仿宋" w:hAnsi="仿宋" w:eastAsia="仿宋" w:cs="仿宋"/>
          <w:color w:val="auto"/>
          <w:sz w:val="24"/>
          <w:highlight w:val="none"/>
          <w:lang w:eastAsia="zh-CN"/>
        </w:rPr>
        <w:t>（北京时间）前提交响应文件。</w:t>
      </w:r>
    </w:p>
    <w:p w14:paraId="50674447">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b/>
          <w:color w:val="auto"/>
          <w:sz w:val="24"/>
          <w:highlight w:val="none"/>
          <w:lang w:eastAsia="zh-CN"/>
        </w:rPr>
        <w:t>一、项目基本情况</w:t>
      </w:r>
    </w:p>
    <w:p w14:paraId="73656B8A">
      <w:pPr>
        <w:pBdr>
          <w:top w:val="none" w:color="000000" w:sz="0" w:space="0"/>
          <w:left w:val="none" w:color="000000" w:sz="0" w:space="0"/>
          <w:bottom w:val="none" w:color="000000" w:sz="0" w:space="0"/>
          <w:right w:val="none" w:color="000000" w:sz="0" w:space="0"/>
        </w:pBdr>
        <w:spacing w:after="0" w:line="360" w:lineRule="auto"/>
        <w:ind w:firstLine="480"/>
        <w:rPr>
          <w:rFonts w:ascii="仿宋" w:hAnsi="仿宋" w:eastAsia="仿宋" w:cs="仿宋"/>
          <w:color w:val="auto"/>
          <w:sz w:val="24"/>
          <w:highlight w:val="none"/>
          <w:lang w:eastAsia="zh-CN"/>
        </w:rPr>
      </w:pPr>
      <w:r>
        <w:rPr>
          <w:rFonts w:ascii="仿宋" w:hAnsi="仿宋" w:eastAsia="仿宋" w:cs="仿宋"/>
          <w:color w:val="auto"/>
          <w:sz w:val="24"/>
          <w:highlight w:val="none"/>
          <w:lang w:eastAsia="zh-CN"/>
        </w:rPr>
        <w:t>1、项目编号：JSZC-320690-ZCZX-C2024-0074</w:t>
      </w:r>
    </w:p>
    <w:p w14:paraId="78728673">
      <w:pPr>
        <w:pBdr>
          <w:top w:val="none" w:color="000000" w:sz="0" w:space="0"/>
          <w:left w:val="none" w:color="000000" w:sz="0" w:space="0"/>
          <w:bottom w:val="none" w:color="000000" w:sz="0" w:space="0"/>
          <w:right w:val="none" w:color="000000" w:sz="0" w:space="0"/>
        </w:pBdr>
        <w:spacing w:after="0" w:line="360" w:lineRule="auto"/>
        <w:ind w:firstLine="480"/>
        <w:rPr>
          <w:color w:val="auto"/>
          <w:highlight w:val="none"/>
          <w:lang w:eastAsia="zh-CN"/>
        </w:rPr>
      </w:pPr>
      <w:r>
        <w:rPr>
          <w:rFonts w:ascii="仿宋" w:hAnsi="仿宋" w:eastAsia="仿宋" w:cs="仿宋"/>
          <w:color w:val="auto"/>
          <w:sz w:val="24"/>
          <w:highlight w:val="none"/>
          <w:lang w:eastAsia="zh-CN"/>
        </w:rPr>
        <w:t>2、项目名称：</w:t>
      </w:r>
      <w:r>
        <w:rPr>
          <w:rFonts w:hint="eastAsia" w:ascii="仿宋" w:hAnsi="仿宋" w:eastAsia="仿宋" w:cs="仿宋"/>
          <w:color w:val="auto"/>
          <w:sz w:val="24"/>
          <w:highlight w:val="none"/>
          <w:lang w:eastAsia="zh-CN"/>
        </w:rPr>
        <w:t>中兴街道居家养老购买服务</w:t>
      </w:r>
      <w:r>
        <w:rPr>
          <w:rFonts w:ascii="仿宋" w:hAnsi="仿宋" w:eastAsia="仿宋" w:cs="仿宋"/>
          <w:color w:val="auto"/>
          <w:sz w:val="24"/>
          <w:highlight w:val="none"/>
          <w:lang w:eastAsia="zh-CN"/>
        </w:rPr>
        <w:t>。</w:t>
      </w:r>
    </w:p>
    <w:p w14:paraId="1357717E">
      <w:pPr>
        <w:pBdr>
          <w:top w:val="none" w:color="000000" w:sz="0" w:space="0"/>
          <w:left w:val="none" w:color="000000" w:sz="0" w:space="0"/>
          <w:bottom w:val="none" w:color="000000" w:sz="0" w:space="0"/>
          <w:right w:val="none" w:color="000000" w:sz="0" w:space="0"/>
        </w:pBdr>
        <w:spacing w:after="0" w:line="360" w:lineRule="auto"/>
        <w:ind w:firstLine="480"/>
        <w:rPr>
          <w:color w:val="auto"/>
          <w:highlight w:val="none"/>
          <w:lang w:eastAsia="zh-CN"/>
        </w:rPr>
      </w:pPr>
      <w:r>
        <w:rPr>
          <w:rFonts w:ascii="仿宋" w:hAnsi="仿宋" w:eastAsia="仿宋" w:cs="仿宋"/>
          <w:color w:val="auto"/>
          <w:sz w:val="24"/>
          <w:highlight w:val="none"/>
          <w:lang w:eastAsia="zh-CN"/>
        </w:rPr>
        <w:t>3、采购方式：竞争性磋商。</w:t>
      </w:r>
    </w:p>
    <w:p w14:paraId="6F1D4C19">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left="0" w:firstLine="480" w:firstLineChars="200"/>
        <w:textAlignment w:val="auto"/>
        <w:rPr>
          <w:color w:val="auto"/>
          <w:highlight w:val="none"/>
          <w:lang w:eastAsia="zh-CN"/>
        </w:rPr>
      </w:pPr>
      <w:r>
        <w:rPr>
          <w:rFonts w:ascii="仿宋" w:hAnsi="仿宋" w:eastAsia="仿宋" w:cs="仿宋"/>
          <w:color w:val="auto"/>
          <w:sz w:val="24"/>
          <w:highlight w:val="none"/>
          <w:lang w:eastAsia="zh-CN"/>
        </w:rPr>
        <w:t>4、预算金额：</w:t>
      </w:r>
      <w:r>
        <w:rPr>
          <w:rFonts w:hint="eastAsia" w:ascii="仿宋" w:hAnsi="仿宋" w:eastAsia="仿宋" w:cs="仿宋"/>
          <w:color w:val="auto"/>
          <w:sz w:val="24"/>
          <w:highlight w:val="none"/>
          <w:lang w:val="en-US" w:eastAsia="zh-CN"/>
        </w:rPr>
        <w:t>90万元/年</w:t>
      </w:r>
      <w:r>
        <w:rPr>
          <w:rFonts w:ascii="仿宋" w:hAnsi="仿宋" w:eastAsia="仿宋" w:cs="仿宋"/>
          <w:color w:val="auto"/>
          <w:sz w:val="24"/>
          <w:highlight w:val="none"/>
          <w:lang w:eastAsia="zh-CN"/>
        </w:rPr>
        <w:t>。</w:t>
      </w:r>
    </w:p>
    <w:p w14:paraId="035EAFC4">
      <w:pPr>
        <w:pStyle w:val="3"/>
        <w:pageBreakBefore w:val="0"/>
        <w:widowControl/>
        <w:numPr>
          <w:ilvl w:val="0"/>
          <w:numId w:val="0"/>
        </w:numPr>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仿宋" w:hAnsi="仿宋" w:eastAsia="仿宋" w:cs="仿宋"/>
          <w:b w:val="0"/>
          <w:bCs w:val="0"/>
          <w:color w:val="auto"/>
          <w:sz w:val="24"/>
          <w:szCs w:val="24"/>
          <w:highlight w:val="none"/>
        </w:rPr>
      </w:pPr>
      <w:r>
        <w:rPr>
          <w:rFonts w:ascii="仿宋" w:hAnsi="仿宋" w:eastAsia="仿宋" w:cs="仿宋"/>
          <w:color w:val="auto"/>
          <w:sz w:val="24"/>
          <w:highlight w:val="none"/>
          <w:lang w:eastAsia="zh-CN"/>
        </w:rPr>
        <w:t>5、最高限价：</w:t>
      </w:r>
      <w:r>
        <w:rPr>
          <w:rFonts w:hint="eastAsia" w:ascii="仿宋" w:hAnsi="仿宋" w:eastAsia="仿宋" w:cs="仿宋"/>
          <w:b w:val="0"/>
          <w:bCs w:val="0"/>
          <w:color w:val="auto"/>
          <w:sz w:val="24"/>
          <w:szCs w:val="24"/>
          <w:highlight w:val="none"/>
          <w:lang w:val="en-US" w:eastAsia="zh-CN"/>
        </w:rPr>
        <w:t>见下表，单价、合计响应</w:t>
      </w:r>
      <w:r>
        <w:rPr>
          <w:rFonts w:hint="eastAsia" w:ascii="仿宋" w:hAnsi="仿宋" w:eastAsia="仿宋" w:cs="仿宋"/>
          <w:b w:val="0"/>
          <w:bCs w:val="0"/>
          <w:color w:val="auto"/>
          <w:sz w:val="24"/>
          <w:szCs w:val="24"/>
          <w:highlight w:val="none"/>
        </w:rPr>
        <w:t>报价</w:t>
      </w:r>
      <w:r>
        <w:rPr>
          <w:rFonts w:hint="eastAsia" w:ascii="仿宋" w:hAnsi="仿宋" w:eastAsia="仿宋" w:cs="仿宋"/>
          <w:b w:val="0"/>
          <w:bCs w:val="0"/>
          <w:color w:val="auto"/>
          <w:sz w:val="24"/>
          <w:szCs w:val="24"/>
          <w:highlight w:val="none"/>
          <w:lang w:val="en-US" w:eastAsia="zh-CN"/>
        </w:rPr>
        <w:t>不得</w:t>
      </w:r>
      <w:r>
        <w:rPr>
          <w:rFonts w:hint="eastAsia" w:ascii="仿宋" w:hAnsi="仿宋" w:eastAsia="仿宋" w:cs="仿宋"/>
          <w:b w:val="0"/>
          <w:bCs w:val="0"/>
          <w:color w:val="auto"/>
          <w:sz w:val="24"/>
          <w:szCs w:val="24"/>
          <w:highlight w:val="none"/>
        </w:rPr>
        <w:t>超过最高限价</w:t>
      </w:r>
      <w:r>
        <w:rPr>
          <w:rFonts w:hint="eastAsia" w:ascii="仿宋" w:hAnsi="仿宋" w:eastAsia="仿宋" w:cs="仿宋"/>
          <w:b w:val="0"/>
          <w:bCs w:val="0"/>
          <w:color w:val="auto"/>
          <w:sz w:val="24"/>
          <w:szCs w:val="24"/>
          <w:highlight w:val="none"/>
          <w:lang w:val="en-US" w:eastAsia="zh-CN"/>
        </w:rPr>
        <w:t>各单价、合计价，超过的</w:t>
      </w:r>
      <w:r>
        <w:rPr>
          <w:rFonts w:hint="eastAsia" w:ascii="仿宋" w:hAnsi="仿宋" w:eastAsia="仿宋" w:cs="仿宋"/>
          <w:b w:val="0"/>
          <w:bCs w:val="0"/>
          <w:color w:val="auto"/>
          <w:sz w:val="24"/>
          <w:szCs w:val="24"/>
          <w:highlight w:val="none"/>
        </w:rPr>
        <w:t>为无效报价，按照无效响应处理；</w:t>
      </w:r>
    </w:p>
    <w:tbl>
      <w:tblPr>
        <w:tblStyle w:val="36"/>
        <w:tblpPr w:leftFromText="180" w:rightFromText="180" w:vertAnchor="text" w:horzAnchor="page" w:tblpX="1553" w:tblpY="471"/>
        <w:tblOverlap w:val="never"/>
        <w:tblW w:w="10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6"/>
        <w:gridCol w:w="1827"/>
        <w:gridCol w:w="1195"/>
        <w:gridCol w:w="6640"/>
      </w:tblGrid>
      <w:tr w14:paraId="6A0E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34A1E5D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序号</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2478EC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服务项目</w:t>
            </w:r>
          </w:p>
        </w:tc>
        <w:tc>
          <w:tcPr>
            <w:tcW w:w="1195" w:type="dxa"/>
            <w:tcBorders>
              <w:top w:val="single" w:color="000000" w:sz="4" w:space="0"/>
              <w:left w:val="single" w:color="000000" w:sz="4" w:space="0"/>
              <w:bottom w:val="single" w:color="000000" w:sz="4" w:space="0"/>
              <w:right w:val="single" w:color="000000" w:sz="4" w:space="0"/>
            </w:tcBorders>
            <w:noWrap/>
            <w:vAlign w:val="center"/>
          </w:tcPr>
          <w:p w14:paraId="3EE87B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服务内容</w:t>
            </w:r>
          </w:p>
        </w:tc>
        <w:tc>
          <w:tcPr>
            <w:tcW w:w="6640" w:type="dxa"/>
            <w:tcBorders>
              <w:top w:val="single" w:color="000000" w:sz="4" w:space="0"/>
              <w:left w:val="single" w:color="000000" w:sz="4" w:space="0"/>
              <w:bottom w:val="single" w:color="000000" w:sz="4" w:space="0"/>
              <w:right w:val="single" w:color="000000" w:sz="4" w:space="0"/>
            </w:tcBorders>
            <w:noWrap/>
            <w:vAlign w:val="center"/>
          </w:tcPr>
          <w:p w14:paraId="3A80F12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收费标准最高限价</w:t>
            </w:r>
          </w:p>
        </w:tc>
      </w:tr>
      <w:tr w14:paraId="5CE4E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43E0F8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5E4CE0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送餐助餐送餐配餐</w:t>
            </w:r>
          </w:p>
        </w:tc>
        <w:tc>
          <w:tcPr>
            <w:tcW w:w="1195" w:type="dxa"/>
            <w:tcBorders>
              <w:top w:val="single" w:color="000000" w:sz="4" w:space="0"/>
              <w:left w:val="single" w:color="000000" w:sz="4" w:space="0"/>
              <w:bottom w:val="single" w:color="000000" w:sz="4" w:space="0"/>
              <w:right w:val="single" w:color="000000" w:sz="4" w:space="0"/>
            </w:tcBorders>
            <w:noWrap/>
            <w:vAlign w:val="center"/>
          </w:tcPr>
          <w:p w14:paraId="0E381DCD">
            <w:pPr>
              <w:jc w:val="center"/>
              <w:rPr>
                <w:rFonts w:hint="eastAsia" w:ascii="仿宋_GB2312" w:hAnsi="仿宋_GB2312" w:eastAsia="仿宋_GB2312" w:cs="仿宋_GB2312"/>
                <w:i w:val="0"/>
                <w:iCs w:val="0"/>
                <w:color w:val="auto"/>
                <w:sz w:val="24"/>
                <w:szCs w:val="24"/>
                <w:highlight w:val="none"/>
                <w:u w:val="none"/>
              </w:rPr>
            </w:pPr>
          </w:p>
        </w:tc>
        <w:tc>
          <w:tcPr>
            <w:tcW w:w="6640" w:type="dxa"/>
            <w:tcBorders>
              <w:top w:val="single" w:color="000000" w:sz="4" w:space="0"/>
              <w:left w:val="single" w:color="000000" w:sz="4" w:space="0"/>
              <w:bottom w:val="single" w:color="000000" w:sz="4" w:space="0"/>
              <w:right w:val="single" w:color="000000" w:sz="4" w:space="0"/>
            </w:tcBorders>
            <w:noWrap/>
            <w:vAlign w:val="center"/>
          </w:tcPr>
          <w:p w14:paraId="6771498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第一年 10 元/餐/人，正餐配一大荤一小荤一素一汤，主食一份。</w:t>
            </w:r>
          </w:p>
        </w:tc>
      </w:tr>
      <w:tr w14:paraId="59D3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65AC741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827" w:type="dxa"/>
            <w:vMerge w:val="restart"/>
            <w:tcBorders>
              <w:top w:val="single" w:color="000000" w:sz="4" w:space="0"/>
              <w:left w:val="single" w:color="000000" w:sz="4" w:space="0"/>
              <w:bottom w:val="single" w:color="000000" w:sz="4" w:space="0"/>
              <w:right w:val="single" w:color="000000" w:sz="4" w:space="0"/>
            </w:tcBorders>
            <w:noWrap/>
            <w:vAlign w:val="center"/>
          </w:tcPr>
          <w:p w14:paraId="5D4E313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生活照料</w:t>
            </w:r>
          </w:p>
        </w:tc>
        <w:tc>
          <w:tcPr>
            <w:tcW w:w="1195" w:type="dxa"/>
            <w:vMerge w:val="restart"/>
            <w:tcBorders>
              <w:top w:val="single" w:color="000000" w:sz="4" w:space="0"/>
              <w:left w:val="single" w:color="000000" w:sz="4" w:space="0"/>
              <w:bottom w:val="single" w:color="000000" w:sz="4" w:space="0"/>
              <w:right w:val="single" w:color="000000" w:sz="4" w:space="0"/>
            </w:tcBorders>
            <w:noWrap/>
            <w:vAlign w:val="center"/>
          </w:tcPr>
          <w:p w14:paraId="24D7638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助浴</w:t>
            </w:r>
          </w:p>
        </w:tc>
        <w:tc>
          <w:tcPr>
            <w:tcW w:w="6640" w:type="dxa"/>
            <w:tcBorders>
              <w:top w:val="single" w:color="000000" w:sz="4" w:space="0"/>
              <w:left w:val="single" w:color="000000" w:sz="4" w:space="0"/>
              <w:bottom w:val="single" w:color="000000" w:sz="4" w:space="0"/>
              <w:right w:val="single" w:color="000000" w:sz="4" w:space="0"/>
            </w:tcBorders>
            <w:noWrap/>
            <w:vAlign w:val="center"/>
          </w:tcPr>
          <w:p w14:paraId="02E8C5C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定点助浴 20元/次（使用淋浴设备，配套坐浴椅，全身清洗）</w:t>
            </w:r>
          </w:p>
        </w:tc>
      </w:tr>
      <w:tr w14:paraId="42FF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419B7FC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16841C6B">
            <w:pPr>
              <w:jc w:val="center"/>
              <w:rPr>
                <w:rFonts w:hint="eastAsia" w:ascii="仿宋_GB2312" w:hAnsi="仿宋_GB2312" w:eastAsia="仿宋_GB2312" w:cs="仿宋_GB2312"/>
                <w:i w:val="0"/>
                <w:iCs w:val="0"/>
                <w:color w:val="auto"/>
                <w:sz w:val="24"/>
                <w:szCs w:val="24"/>
                <w:highlight w:val="none"/>
                <w:u w:val="none"/>
              </w:rPr>
            </w:pPr>
          </w:p>
        </w:tc>
        <w:tc>
          <w:tcPr>
            <w:tcW w:w="1195" w:type="dxa"/>
            <w:vMerge w:val="continue"/>
            <w:tcBorders>
              <w:top w:val="single" w:color="000000" w:sz="4" w:space="0"/>
              <w:left w:val="single" w:color="000000" w:sz="4" w:space="0"/>
              <w:bottom w:val="single" w:color="000000" w:sz="4" w:space="0"/>
              <w:right w:val="single" w:color="000000" w:sz="4" w:space="0"/>
            </w:tcBorders>
            <w:noWrap/>
            <w:vAlign w:val="center"/>
          </w:tcPr>
          <w:p w14:paraId="12F313EB">
            <w:pPr>
              <w:jc w:val="center"/>
              <w:rPr>
                <w:rFonts w:hint="eastAsia" w:ascii="仿宋_GB2312" w:hAnsi="仿宋_GB2312" w:eastAsia="仿宋_GB2312" w:cs="仿宋_GB2312"/>
                <w:i w:val="0"/>
                <w:iCs w:val="0"/>
                <w:color w:val="auto"/>
                <w:sz w:val="24"/>
                <w:szCs w:val="24"/>
                <w:highlight w:val="none"/>
                <w:u w:val="none"/>
              </w:rPr>
            </w:pPr>
          </w:p>
        </w:tc>
        <w:tc>
          <w:tcPr>
            <w:tcW w:w="6640" w:type="dxa"/>
            <w:tcBorders>
              <w:top w:val="single" w:color="000000" w:sz="4" w:space="0"/>
              <w:left w:val="single" w:color="000000" w:sz="4" w:space="0"/>
              <w:bottom w:val="single" w:color="000000" w:sz="4" w:space="0"/>
              <w:right w:val="single" w:color="000000" w:sz="4" w:space="0"/>
            </w:tcBorders>
            <w:noWrap/>
            <w:vAlign w:val="center"/>
          </w:tcPr>
          <w:p w14:paraId="04F23B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上门助浴 40元/次（使用淋浴设备，配套坐浴椅，全身清洗）</w:t>
            </w:r>
          </w:p>
        </w:tc>
      </w:tr>
      <w:tr w14:paraId="4F2E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526AA7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03B12DED">
            <w:pPr>
              <w:jc w:val="center"/>
              <w:rPr>
                <w:rFonts w:hint="eastAsia" w:ascii="仿宋_GB2312" w:hAnsi="仿宋_GB2312" w:eastAsia="仿宋_GB2312" w:cs="仿宋_GB2312"/>
                <w:i w:val="0"/>
                <w:iCs w:val="0"/>
                <w:color w:val="auto"/>
                <w:sz w:val="24"/>
                <w:szCs w:val="24"/>
                <w:highlight w:val="none"/>
                <w:u w:val="none"/>
              </w:rPr>
            </w:pPr>
          </w:p>
        </w:tc>
        <w:tc>
          <w:tcPr>
            <w:tcW w:w="1195" w:type="dxa"/>
            <w:vMerge w:val="restart"/>
            <w:tcBorders>
              <w:top w:val="single" w:color="000000" w:sz="4" w:space="0"/>
              <w:left w:val="single" w:color="000000" w:sz="4" w:space="0"/>
              <w:bottom w:val="single" w:color="000000" w:sz="4" w:space="0"/>
              <w:right w:val="single" w:color="000000" w:sz="4" w:space="0"/>
            </w:tcBorders>
            <w:noWrap/>
            <w:vAlign w:val="center"/>
          </w:tcPr>
          <w:p w14:paraId="75D5D3C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理发</w:t>
            </w:r>
          </w:p>
        </w:tc>
        <w:tc>
          <w:tcPr>
            <w:tcW w:w="6640" w:type="dxa"/>
            <w:tcBorders>
              <w:top w:val="single" w:color="000000" w:sz="4" w:space="0"/>
              <w:left w:val="single" w:color="000000" w:sz="4" w:space="0"/>
              <w:bottom w:val="single" w:color="000000" w:sz="4" w:space="0"/>
              <w:right w:val="single" w:color="000000" w:sz="4" w:space="0"/>
            </w:tcBorders>
            <w:noWrap/>
            <w:vAlign w:val="center"/>
          </w:tcPr>
          <w:p w14:paraId="1B25E6C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定点服务 10元/次</w:t>
            </w:r>
          </w:p>
        </w:tc>
      </w:tr>
      <w:tr w14:paraId="4EE7C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nil"/>
              <w:right w:val="single" w:color="000000" w:sz="4" w:space="0"/>
            </w:tcBorders>
            <w:noWrap/>
            <w:vAlign w:val="center"/>
          </w:tcPr>
          <w:p w14:paraId="6BA297B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1FEB2ECB">
            <w:pPr>
              <w:jc w:val="center"/>
              <w:rPr>
                <w:rFonts w:hint="eastAsia" w:ascii="仿宋_GB2312" w:hAnsi="仿宋_GB2312" w:eastAsia="仿宋_GB2312" w:cs="仿宋_GB2312"/>
                <w:i w:val="0"/>
                <w:iCs w:val="0"/>
                <w:color w:val="auto"/>
                <w:sz w:val="24"/>
                <w:szCs w:val="24"/>
                <w:highlight w:val="none"/>
                <w:u w:val="none"/>
              </w:rPr>
            </w:pPr>
          </w:p>
        </w:tc>
        <w:tc>
          <w:tcPr>
            <w:tcW w:w="1195" w:type="dxa"/>
            <w:vMerge w:val="continue"/>
            <w:tcBorders>
              <w:top w:val="single" w:color="000000" w:sz="4" w:space="0"/>
              <w:left w:val="single" w:color="000000" w:sz="4" w:space="0"/>
              <w:bottom w:val="single" w:color="000000" w:sz="4" w:space="0"/>
              <w:right w:val="single" w:color="000000" w:sz="4" w:space="0"/>
            </w:tcBorders>
            <w:noWrap/>
            <w:vAlign w:val="center"/>
          </w:tcPr>
          <w:p w14:paraId="617ED73F">
            <w:pPr>
              <w:jc w:val="center"/>
              <w:rPr>
                <w:rFonts w:hint="eastAsia" w:ascii="仿宋_GB2312" w:hAnsi="仿宋_GB2312" w:eastAsia="仿宋_GB2312" w:cs="仿宋_GB2312"/>
                <w:i w:val="0"/>
                <w:iCs w:val="0"/>
                <w:color w:val="auto"/>
                <w:sz w:val="24"/>
                <w:szCs w:val="24"/>
                <w:highlight w:val="none"/>
                <w:u w:val="none"/>
              </w:rPr>
            </w:pPr>
          </w:p>
        </w:tc>
        <w:tc>
          <w:tcPr>
            <w:tcW w:w="6640" w:type="dxa"/>
            <w:tcBorders>
              <w:top w:val="single" w:color="000000" w:sz="4" w:space="0"/>
              <w:left w:val="single" w:color="000000" w:sz="4" w:space="0"/>
              <w:bottom w:val="single" w:color="000000" w:sz="4" w:space="0"/>
              <w:right w:val="single" w:color="000000" w:sz="4" w:space="0"/>
            </w:tcBorders>
            <w:noWrap/>
            <w:vAlign w:val="center"/>
          </w:tcPr>
          <w:p w14:paraId="0FB0852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上门理发 30元/次</w:t>
            </w:r>
          </w:p>
        </w:tc>
      </w:tr>
      <w:tr w14:paraId="5A98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0C0E5D2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827" w:type="dxa"/>
            <w:vMerge w:val="restart"/>
            <w:tcBorders>
              <w:top w:val="single" w:color="000000" w:sz="4" w:space="0"/>
              <w:left w:val="single" w:color="000000" w:sz="4" w:space="0"/>
              <w:bottom w:val="single" w:color="000000" w:sz="4" w:space="0"/>
              <w:right w:val="single" w:color="000000" w:sz="4" w:space="0"/>
            </w:tcBorders>
            <w:noWrap/>
            <w:vAlign w:val="center"/>
          </w:tcPr>
          <w:p w14:paraId="39415BF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生活照料</w:t>
            </w:r>
          </w:p>
        </w:tc>
        <w:tc>
          <w:tcPr>
            <w:tcW w:w="1195" w:type="dxa"/>
            <w:vMerge w:val="restart"/>
            <w:tcBorders>
              <w:top w:val="single" w:color="000000" w:sz="4" w:space="0"/>
              <w:left w:val="single" w:color="000000" w:sz="4" w:space="0"/>
              <w:bottom w:val="single" w:color="000000" w:sz="4" w:space="0"/>
              <w:right w:val="single" w:color="000000" w:sz="4" w:space="0"/>
            </w:tcBorders>
            <w:noWrap/>
            <w:vAlign w:val="center"/>
          </w:tcPr>
          <w:p w14:paraId="26E0FD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修脚</w:t>
            </w:r>
          </w:p>
        </w:tc>
        <w:tc>
          <w:tcPr>
            <w:tcW w:w="6640" w:type="dxa"/>
            <w:tcBorders>
              <w:top w:val="single" w:color="000000" w:sz="4" w:space="0"/>
              <w:left w:val="single" w:color="000000" w:sz="4" w:space="0"/>
              <w:bottom w:val="single" w:color="000000" w:sz="4" w:space="0"/>
              <w:right w:val="single" w:color="000000" w:sz="4" w:space="0"/>
            </w:tcBorders>
            <w:noWrap/>
            <w:vAlign w:val="center"/>
          </w:tcPr>
          <w:p w14:paraId="1836222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定点服务 30元/次（普通修脚，刮死皮、剪指甲等）</w:t>
            </w:r>
          </w:p>
        </w:tc>
      </w:tr>
      <w:tr w14:paraId="246CD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077B8AF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34EA3588">
            <w:pPr>
              <w:jc w:val="center"/>
              <w:rPr>
                <w:rFonts w:hint="eastAsia" w:ascii="仿宋_GB2312" w:hAnsi="仿宋_GB2312" w:eastAsia="仿宋_GB2312" w:cs="仿宋_GB2312"/>
                <w:i w:val="0"/>
                <w:iCs w:val="0"/>
                <w:color w:val="auto"/>
                <w:sz w:val="24"/>
                <w:szCs w:val="24"/>
                <w:highlight w:val="none"/>
                <w:u w:val="none"/>
              </w:rPr>
            </w:pPr>
          </w:p>
        </w:tc>
        <w:tc>
          <w:tcPr>
            <w:tcW w:w="1195" w:type="dxa"/>
            <w:vMerge w:val="continue"/>
            <w:tcBorders>
              <w:top w:val="single" w:color="000000" w:sz="4" w:space="0"/>
              <w:left w:val="single" w:color="000000" w:sz="4" w:space="0"/>
              <w:bottom w:val="single" w:color="000000" w:sz="4" w:space="0"/>
              <w:right w:val="single" w:color="000000" w:sz="4" w:space="0"/>
            </w:tcBorders>
            <w:noWrap/>
            <w:vAlign w:val="center"/>
          </w:tcPr>
          <w:p w14:paraId="778C41FE">
            <w:pPr>
              <w:jc w:val="center"/>
              <w:rPr>
                <w:rFonts w:hint="eastAsia" w:ascii="仿宋_GB2312" w:hAnsi="仿宋_GB2312" w:eastAsia="仿宋_GB2312" w:cs="仿宋_GB2312"/>
                <w:i w:val="0"/>
                <w:iCs w:val="0"/>
                <w:color w:val="auto"/>
                <w:sz w:val="24"/>
                <w:szCs w:val="24"/>
                <w:highlight w:val="none"/>
                <w:u w:val="none"/>
              </w:rPr>
            </w:pPr>
          </w:p>
        </w:tc>
        <w:tc>
          <w:tcPr>
            <w:tcW w:w="6640" w:type="dxa"/>
            <w:tcBorders>
              <w:top w:val="single" w:color="000000" w:sz="4" w:space="0"/>
              <w:left w:val="single" w:color="000000" w:sz="4" w:space="0"/>
              <w:bottom w:val="single" w:color="000000" w:sz="4" w:space="0"/>
              <w:right w:val="single" w:color="000000" w:sz="4" w:space="0"/>
            </w:tcBorders>
            <w:noWrap w:val="0"/>
            <w:vAlign w:val="center"/>
          </w:tcPr>
          <w:p w14:paraId="02F30C6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上门修脚 50元/次（普通修脚，刮死皮、剪指甲等）</w:t>
            </w:r>
          </w:p>
        </w:tc>
      </w:tr>
      <w:tr w14:paraId="14AE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00C0C15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3B66DF70">
            <w:pPr>
              <w:jc w:val="center"/>
              <w:rPr>
                <w:rFonts w:hint="eastAsia" w:ascii="仿宋_GB2312" w:hAnsi="仿宋_GB2312" w:eastAsia="仿宋_GB2312" w:cs="仿宋_GB2312"/>
                <w:i w:val="0"/>
                <w:iCs w:val="0"/>
                <w:color w:val="auto"/>
                <w:sz w:val="24"/>
                <w:szCs w:val="24"/>
                <w:highlight w:val="none"/>
                <w:u w:val="none"/>
              </w:rPr>
            </w:pPr>
          </w:p>
        </w:tc>
        <w:tc>
          <w:tcPr>
            <w:tcW w:w="1195" w:type="dxa"/>
            <w:vMerge w:val="continue"/>
            <w:tcBorders>
              <w:top w:val="single" w:color="000000" w:sz="4" w:space="0"/>
              <w:left w:val="single" w:color="000000" w:sz="4" w:space="0"/>
              <w:bottom w:val="single" w:color="000000" w:sz="4" w:space="0"/>
              <w:right w:val="single" w:color="000000" w:sz="4" w:space="0"/>
            </w:tcBorders>
            <w:noWrap/>
            <w:vAlign w:val="center"/>
          </w:tcPr>
          <w:p w14:paraId="5EC3D6BB">
            <w:pPr>
              <w:jc w:val="center"/>
              <w:rPr>
                <w:rFonts w:hint="eastAsia" w:ascii="仿宋_GB2312" w:hAnsi="仿宋_GB2312" w:eastAsia="仿宋_GB2312" w:cs="仿宋_GB2312"/>
                <w:i w:val="0"/>
                <w:iCs w:val="0"/>
                <w:color w:val="auto"/>
                <w:sz w:val="24"/>
                <w:szCs w:val="24"/>
                <w:highlight w:val="none"/>
                <w:u w:val="none"/>
              </w:rPr>
            </w:pPr>
          </w:p>
        </w:tc>
        <w:tc>
          <w:tcPr>
            <w:tcW w:w="6640" w:type="dxa"/>
            <w:tcBorders>
              <w:top w:val="single" w:color="000000" w:sz="4" w:space="0"/>
              <w:left w:val="single" w:color="000000" w:sz="4" w:space="0"/>
              <w:bottom w:val="single" w:color="000000" w:sz="4" w:space="0"/>
              <w:right w:val="single" w:color="000000" w:sz="4" w:space="0"/>
            </w:tcBorders>
            <w:noWrap/>
            <w:vAlign w:val="center"/>
          </w:tcPr>
          <w:p w14:paraId="355F341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鸡眼 10元/次（不含用药</w:t>
            </w:r>
          </w:p>
        </w:tc>
      </w:tr>
      <w:tr w14:paraId="4401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6087E6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6E469B94">
            <w:pPr>
              <w:jc w:val="center"/>
              <w:rPr>
                <w:rFonts w:hint="eastAsia" w:ascii="仿宋_GB2312" w:hAnsi="仿宋_GB2312" w:eastAsia="仿宋_GB2312" w:cs="仿宋_GB2312"/>
                <w:i w:val="0"/>
                <w:iCs w:val="0"/>
                <w:color w:val="auto"/>
                <w:sz w:val="24"/>
                <w:szCs w:val="24"/>
                <w:highlight w:val="none"/>
                <w:u w:val="none"/>
              </w:rPr>
            </w:pPr>
          </w:p>
        </w:tc>
        <w:tc>
          <w:tcPr>
            <w:tcW w:w="1195" w:type="dxa"/>
            <w:vMerge w:val="continue"/>
            <w:tcBorders>
              <w:top w:val="single" w:color="000000" w:sz="4" w:space="0"/>
              <w:left w:val="single" w:color="000000" w:sz="4" w:space="0"/>
              <w:bottom w:val="single" w:color="000000" w:sz="4" w:space="0"/>
              <w:right w:val="single" w:color="000000" w:sz="4" w:space="0"/>
            </w:tcBorders>
            <w:noWrap/>
            <w:vAlign w:val="center"/>
          </w:tcPr>
          <w:p w14:paraId="5092BEF4">
            <w:pPr>
              <w:jc w:val="center"/>
              <w:rPr>
                <w:rFonts w:hint="eastAsia" w:ascii="仿宋_GB2312" w:hAnsi="仿宋_GB2312" w:eastAsia="仿宋_GB2312" w:cs="仿宋_GB2312"/>
                <w:i w:val="0"/>
                <w:iCs w:val="0"/>
                <w:color w:val="auto"/>
                <w:sz w:val="24"/>
                <w:szCs w:val="24"/>
                <w:highlight w:val="none"/>
                <w:u w:val="none"/>
              </w:rPr>
            </w:pPr>
          </w:p>
        </w:tc>
        <w:tc>
          <w:tcPr>
            <w:tcW w:w="6640" w:type="dxa"/>
            <w:tcBorders>
              <w:top w:val="single" w:color="000000" w:sz="4" w:space="0"/>
              <w:left w:val="single" w:color="000000" w:sz="4" w:space="0"/>
              <w:bottom w:val="single" w:color="000000" w:sz="4" w:space="0"/>
              <w:right w:val="single" w:color="000000" w:sz="4" w:space="0"/>
            </w:tcBorders>
            <w:noWrap/>
            <w:vAlign w:val="center"/>
          </w:tcPr>
          <w:p w14:paraId="1B59527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治甲沟炎 10元/次（不含用药）</w:t>
            </w:r>
          </w:p>
        </w:tc>
      </w:tr>
      <w:tr w14:paraId="72E5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12A8027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719159D3">
            <w:pPr>
              <w:jc w:val="center"/>
              <w:rPr>
                <w:rFonts w:hint="eastAsia" w:ascii="仿宋_GB2312" w:hAnsi="仿宋_GB2312" w:eastAsia="仿宋_GB2312" w:cs="仿宋_GB2312"/>
                <w:i w:val="0"/>
                <w:iCs w:val="0"/>
                <w:color w:val="auto"/>
                <w:sz w:val="24"/>
                <w:szCs w:val="24"/>
                <w:highlight w:val="none"/>
                <w:u w:val="none"/>
              </w:rPr>
            </w:pPr>
          </w:p>
        </w:tc>
        <w:tc>
          <w:tcPr>
            <w:tcW w:w="1195" w:type="dxa"/>
            <w:vMerge w:val="continue"/>
            <w:tcBorders>
              <w:top w:val="single" w:color="000000" w:sz="4" w:space="0"/>
              <w:left w:val="single" w:color="000000" w:sz="4" w:space="0"/>
              <w:bottom w:val="single" w:color="000000" w:sz="4" w:space="0"/>
              <w:right w:val="single" w:color="000000" w:sz="4" w:space="0"/>
            </w:tcBorders>
            <w:noWrap/>
            <w:vAlign w:val="center"/>
          </w:tcPr>
          <w:p w14:paraId="11A56F40">
            <w:pPr>
              <w:jc w:val="center"/>
              <w:rPr>
                <w:rFonts w:hint="eastAsia" w:ascii="仿宋_GB2312" w:hAnsi="仿宋_GB2312" w:eastAsia="仿宋_GB2312" w:cs="仿宋_GB2312"/>
                <w:i w:val="0"/>
                <w:iCs w:val="0"/>
                <w:color w:val="auto"/>
                <w:sz w:val="24"/>
                <w:szCs w:val="24"/>
                <w:highlight w:val="none"/>
                <w:u w:val="none"/>
              </w:rPr>
            </w:pPr>
          </w:p>
        </w:tc>
        <w:tc>
          <w:tcPr>
            <w:tcW w:w="6640" w:type="dxa"/>
            <w:tcBorders>
              <w:top w:val="single" w:color="000000" w:sz="4" w:space="0"/>
              <w:left w:val="single" w:color="000000" w:sz="4" w:space="0"/>
              <w:bottom w:val="single" w:color="000000" w:sz="4" w:space="0"/>
              <w:right w:val="single" w:color="000000" w:sz="4" w:space="0"/>
            </w:tcBorders>
            <w:noWrap/>
            <w:vAlign w:val="center"/>
          </w:tcPr>
          <w:p w14:paraId="038FA7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修垫核 10元/次（不含用药）</w:t>
            </w:r>
          </w:p>
        </w:tc>
      </w:tr>
      <w:tr w14:paraId="76A9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434263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28A9DE2D">
            <w:pPr>
              <w:jc w:val="center"/>
              <w:rPr>
                <w:rFonts w:hint="eastAsia" w:ascii="仿宋_GB2312" w:hAnsi="仿宋_GB2312" w:eastAsia="仿宋_GB2312" w:cs="仿宋_GB2312"/>
                <w:i w:val="0"/>
                <w:iCs w:val="0"/>
                <w:color w:val="auto"/>
                <w:sz w:val="24"/>
                <w:szCs w:val="24"/>
                <w:highlight w:val="none"/>
                <w:u w:val="none"/>
              </w:rPr>
            </w:pPr>
          </w:p>
        </w:tc>
        <w:tc>
          <w:tcPr>
            <w:tcW w:w="1195" w:type="dxa"/>
            <w:vMerge w:val="continue"/>
            <w:tcBorders>
              <w:top w:val="single" w:color="000000" w:sz="4" w:space="0"/>
              <w:left w:val="single" w:color="000000" w:sz="4" w:space="0"/>
              <w:bottom w:val="single" w:color="000000" w:sz="4" w:space="0"/>
              <w:right w:val="single" w:color="000000" w:sz="4" w:space="0"/>
            </w:tcBorders>
            <w:noWrap/>
            <w:vAlign w:val="center"/>
          </w:tcPr>
          <w:p w14:paraId="71F4ED0A">
            <w:pPr>
              <w:jc w:val="center"/>
              <w:rPr>
                <w:rFonts w:hint="eastAsia" w:ascii="仿宋_GB2312" w:hAnsi="仿宋_GB2312" w:eastAsia="仿宋_GB2312" w:cs="仿宋_GB2312"/>
                <w:i w:val="0"/>
                <w:iCs w:val="0"/>
                <w:color w:val="auto"/>
                <w:sz w:val="24"/>
                <w:szCs w:val="24"/>
                <w:highlight w:val="none"/>
                <w:u w:val="none"/>
              </w:rPr>
            </w:pPr>
          </w:p>
        </w:tc>
        <w:tc>
          <w:tcPr>
            <w:tcW w:w="6640" w:type="dxa"/>
            <w:tcBorders>
              <w:top w:val="single" w:color="000000" w:sz="4" w:space="0"/>
              <w:left w:val="single" w:color="000000" w:sz="4" w:space="0"/>
              <w:bottom w:val="single" w:color="000000" w:sz="4" w:space="0"/>
              <w:right w:val="single" w:color="000000" w:sz="4" w:space="0"/>
            </w:tcBorders>
            <w:noWrap/>
            <w:vAlign w:val="center"/>
          </w:tcPr>
          <w:p w14:paraId="2967557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修灰指甲 10元/次（不含用药）</w:t>
            </w:r>
          </w:p>
        </w:tc>
      </w:tr>
      <w:tr w14:paraId="61391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1F1708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76800092">
            <w:pPr>
              <w:jc w:val="center"/>
              <w:rPr>
                <w:rFonts w:hint="eastAsia" w:ascii="仿宋_GB2312" w:hAnsi="仿宋_GB2312" w:eastAsia="仿宋_GB2312" w:cs="仿宋_GB2312"/>
                <w:i w:val="0"/>
                <w:iCs w:val="0"/>
                <w:color w:val="auto"/>
                <w:sz w:val="24"/>
                <w:szCs w:val="24"/>
                <w:highlight w:val="none"/>
                <w:u w:val="none"/>
              </w:rPr>
            </w:pPr>
          </w:p>
        </w:tc>
        <w:tc>
          <w:tcPr>
            <w:tcW w:w="1195" w:type="dxa"/>
            <w:vMerge w:val="continue"/>
            <w:tcBorders>
              <w:top w:val="single" w:color="000000" w:sz="4" w:space="0"/>
              <w:left w:val="single" w:color="000000" w:sz="4" w:space="0"/>
              <w:bottom w:val="single" w:color="000000" w:sz="4" w:space="0"/>
              <w:right w:val="single" w:color="000000" w:sz="4" w:space="0"/>
            </w:tcBorders>
            <w:noWrap/>
            <w:vAlign w:val="center"/>
          </w:tcPr>
          <w:p w14:paraId="70847980">
            <w:pPr>
              <w:jc w:val="center"/>
              <w:rPr>
                <w:rFonts w:hint="eastAsia" w:ascii="仿宋_GB2312" w:hAnsi="仿宋_GB2312" w:eastAsia="仿宋_GB2312" w:cs="仿宋_GB2312"/>
                <w:i w:val="0"/>
                <w:iCs w:val="0"/>
                <w:color w:val="auto"/>
                <w:sz w:val="24"/>
                <w:szCs w:val="24"/>
                <w:highlight w:val="none"/>
                <w:u w:val="none"/>
              </w:rPr>
            </w:pPr>
          </w:p>
        </w:tc>
        <w:tc>
          <w:tcPr>
            <w:tcW w:w="6640" w:type="dxa"/>
            <w:tcBorders>
              <w:top w:val="single" w:color="000000" w:sz="4" w:space="0"/>
              <w:left w:val="single" w:color="000000" w:sz="4" w:space="0"/>
              <w:bottom w:val="single" w:color="000000" w:sz="4" w:space="0"/>
              <w:right w:val="single" w:color="000000" w:sz="4" w:space="0"/>
            </w:tcBorders>
            <w:noWrap/>
            <w:vAlign w:val="center"/>
          </w:tcPr>
          <w:p w14:paraId="44C5B17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修脚垫 10元/次（不含用药）</w:t>
            </w:r>
          </w:p>
        </w:tc>
      </w:tr>
      <w:tr w14:paraId="3FCF8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678" w:type="dxa"/>
            <w:gridSpan w:val="3"/>
            <w:tcBorders>
              <w:top w:val="single" w:color="000000" w:sz="4" w:space="0"/>
              <w:left w:val="single" w:color="000000" w:sz="4" w:space="0"/>
              <w:bottom w:val="single" w:color="000000" w:sz="4" w:space="0"/>
              <w:right w:val="single" w:color="000000" w:sz="4" w:space="0"/>
            </w:tcBorders>
            <w:noWrap/>
            <w:vAlign w:val="center"/>
          </w:tcPr>
          <w:p w14:paraId="3BF54A64">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最高限价合计价</w:t>
            </w:r>
          </w:p>
        </w:tc>
        <w:tc>
          <w:tcPr>
            <w:tcW w:w="6640" w:type="dxa"/>
            <w:tcBorders>
              <w:top w:val="single" w:color="000000" w:sz="4" w:space="0"/>
              <w:left w:val="single" w:color="000000" w:sz="4" w:space="0"/>
              <w:bottom w:val="single" w:color="000000" w:sz="4" w:space="0"/>
              <w:right w:val="nil"/>
            </w:tcBorders>
            <w:noWrap/>
            <w:vAlign w:val="center"/>
          </w:tcPr>
          <w:p w14:paraId="27DDB67E">
            <w:pPr>
              <w:jc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240元</w:t>
            </w:r>
          </w:p>
        </w:tc>
      </w:tr>
    </w:tbl>
    <w:p w14:paraId="5B5BC79B">
      <w:pPr>
        <w:keepNext w:val="0"/>
        <w:keepLines w:val="0"/>
        <w:pageBreakBefore w:val="0"/>
        <w:widowControl/>
        <w:numPr>
          <w:ilvl w:val="0"/>
          <w:numId w:val="1"/>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0"/>
        <w:textAlignment w:val="auto"/>
        <w:rPr>
          <w:rFonts w:ascii="仿宋" w:hAnsi="仿宋" w:eastAsia="仿宋" w:cs="仿宋"/>
          <w:color w:val="auto"/>
          <w:sz w:val="24"/>
          <w:highlight w:val="none"/>
          <w:lang w:eastAsia="zh-CN"/>
        </w:rPr>
      </w:pPr>
      <w:r>
        <w:rPr>
          <w:rFonts w:ascii="仿宋" w:hAnsi="仿宋" w:eastAsia="仿宋" w:cs="仿宋"/>
          <w:color w:val="auto"/>
          <w:sz w:val="24"/>
          <w:highlight w:val="none"/>
          <w:lang w:eastAsia="zh-CN"/>
        </w:rPr>
        <w:t>采购需求：详见第四章项目需求。</w:t>
      </w:r>
    </w:p>
    <w:p w14:paraId="059CD654">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0" w:firstLineChars="200"/>
        <w:textAlignment w:val="auto"/>
        <w:rPr>
          <w:rFonts w:hint="eastAsia" w:ascii="仿宋_GB2312" w:hAnsi="仿宋_GB2312" w:eastAsia="仿宋_GB2312" w:cs="仿宋_GB2312"/>
          <w:color w:val="auto"/>
          <w:sz w:val="24"/>
          <w:highlight w:val="none"/>
          <w:lang w:eastAsia="zh-CN"/>
        </w:rPr>
      </w:pPr>
      <w:r>
        <w:rPr>
          <w:rFonts w:hint="eastAsia" w:ascii="仿宋" w:hAnsi="仿宋" w:eastAsia="仿宋" w:cs="仿宋"/>
          <w:color w:val="auto"/>
          <w:sz w:val="24"/>
          <w:highlight w:val="none"/>
          <w:lang w:val="en-US" w:eastAsia="zh-CN"/>
        </w:rPr>
        <w:t>7</w:t>
      </w:r>
      <w:r>
        <w:rPr>
          <w:rFonts w:ascii="仿宋" w:hAnsi="仿宋" w:eastAsia="仿宋" w:cs="仿宋"/>
          <w:color w:val="auto"/>
          <w:sz w:val="24"/>
          <w:highlight w:val="none"/>
          <w:lang w:eastAsia="zh-CN"/>
        </w:rPr>
        <w:t>、合同履行期限：</w:t>
      </w:r>
      <w:r>
        <w:rPr>
          <w:rFonts w:hint="eastAsia" w:ascii="仿宋_GB2312" w:hAnsi="仿宋_GB2312" w:eastAsia="仿宋_GB2312" w:cs="仿宋_GB2312"/>
          <w:b w:val="0"/>
          <w:bCs w:val="0"/>
          <w:color w:val="auto"/>
          <w:sz w:val="24"/>
          <w:szCs w:val="24"/>
          <w:highlight w:val="none"/>
          <w:lang w:val="en-US" w:eastAsia="zh-CN"/>
        </w:rPr>
        <w:t>三年。合同一年一签，考核合格后续签下一年度。</w:t>
      </w:r>
    </w:p>
    <w:p w14:paraId="78A522D8">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ascii="仿宋" w:hAnsi="仿宋" w:eastAsia="仿宋" w:cs="仿宋"/>
          <w:color w:val="auto"/>
          <w:sz w:val="24"/>
          <w:highlight w:val="none"/>
          <w:lang w:eastAsia="zh-CN"/>
        </w:rPr>
        <w:t>、落实政府采购政策需满足的要求：</w:t>
      </w:r>
      <w:r>
        <w:rPr>
          <w:rFonts w:hint="eastAsia" w:ascii="仿宋" w:hAnsi="仿宋" w:eastAsia="仿宋" w:cs="仿宋"/>
          <w:color w:val="auto"/>
          <w:sz w:val="24"/>
          <w:highlight w:val="none"/>
          <w:lang w:eastAsia="zh-CN"/>
        </w:rPr>
        <w:t>本项目为专门面向中小企业（含残疾人福利性单位、监狱企业）采购的项目,供应商应为中小微企业、残疾人福利性单位或监狱企业，并按照采购文件要求提供《中小企业声明函》</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lang w:eastAsia="zh-CN"/>
        </w:rPr>
        <w:t xml:space="preserve">《残疾人福利性单位声明函》或监狱和戒毒企业证明材料。 </w:t>
      </w:r>
    </w:p>
    <w:p w14:paraId="762CB261">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ascii="仿宋" w:hAnsi="仿宋" w:eastAsia="仿宋" w:cs="仿宋"/>
          <w:color w:val="auto"/>
          <w:sz w:val="24"/>
          <w:highlight w:val="none"/>
          <w:lang w:eastAsia="zh-CN"/>
        </w:rPr>
        <w:t>、所属行业：其他未列明行业；</w:t>
      </w:r>
    </w:p>
    <w:p w14:paraId="75C5443E">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ascii="仿宋" w:hAnsi="仿宋" w:eastAsia="仿宋" w:cs="仿宋"/>
          <w:color w:val="auto"/>
          <w:sz w:val="24"/>
          <w:highlight w:val="none"/>
          <w:lang w:eastAsia="zh-CN"/>
        </w:rPr>
        <w:t xml:space="preserve">、本项目（是/否）接受联合体： 否 </w:t>
      </w:r>
    </w:p>
    <w:p w14:paraId="4772246F">
      <w:pPr>
        <w:pBdr>
          <w:top w:val="none" w:color="000000" w:sz="0" w:space="0"/>
          <w:left w:val="none" w:color="000000" w:sz="0" w:space="0"/>
          <w:bottom w:val="none" w:color="000000" w:sz="0" w:space="0"/>
          <w:right w:val="none" w:color="000000" w:sz="0" w:space="0"/>
        </w:pBdr>
        <w:spacing w:after="0" w:line="479" w:lineRule="atLeast"/>
        <w:jc w:val="both"/>
        <w:rPr>
          <w:color w:val="auto"/>
          <w:highlight w:val="none"/>
          <w:lang w:eastAsia="zh-CN"/>
        </w:rPr>
      </w:pPr>
      <w:r>
        <w:rPr>
          <w:rFonts w:ascii="仿宋" w:hAnsi="仿宋" w:eastAsia="仿宋" w:cs="仿宋"/>
          <w:b/>
          <w:color w:val="auto"/>
          <w:sz w:val="24"/>
          <w:highlight w:val="none"/>
          <w:lang w:eastAsia="zh-CN"/>
        </w:rPr>
        <w:t>二、申请人的资格要求：</w:t>
      </w:r>
    </w:p>
    <w:p w14:paraId="4FBF7AE8">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1、具备《中华人民共和国政府采购法》第二十二条规定：</w:t>
      </w:r>
    </w:p>
    <w:p w14:paraId="64D0C55E">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1.1具备独立承担民事责任的能力；</w:t>
      </w:r>
    </w:p>
    <w:p w14:paraId="3DC1E0FC">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1.2具有良好的商业信誉和健全的财务会计制度；</w:t>
      </w:r>
    </w:p>
    <w:p w14:paraId="6631FE25">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1.3具有履行合同所必须的设备和专业技术能力；</w:t>
      </w:r>
    </w:p>
    <w:p w14:paraId="6EF5B9C1">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1.4参加政府采购活动前三年内，在经营活动中没有重大违法记录；</w:t>
      </w:r>
    </w:p>
    <w:p w14:paraId="01C07901">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1.5法律、行政法规规定的其它条件。且符合、承认并承诺履行招标文件各项规定的国内法人、其它组织（不包括在港澳台地区注册人、其它组织）。</w:t>
      </w:r>
    </w:p>
    <w:p w14:paraId="499C70E1">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2、提供法人或者其他组织的营业执照等证明文件。</w:t>
      </w:r>
    </w:p>
    <w:p w14:paraId="7732D4DD">
      <w:pPr>
        <w:pBdr>
          <w:top w:val="none" w:color="000000" w:sz="0" w:space="0"/>
          <w:left w:val="none" w:color="000000" w:sz="0" w:space="0"/>
          <w:bottom w:val="none" w:color="000000" w:sz="0" w:space="0"/>
          <w:right w:val="none" w:color="000000" w:sz="0" w:space="0"/>
        </w:pBdr>
        <w:spacing w:after="0" w:line="479" w:lineRule="atLeast"/>
        <w:ind w:left="120" w:firstLine="360"/>
        <w:rPr>
          <w:color w:val="auto"/>
          <w:highlight w:val="none"/>
          <w:lang w:eastAsia="zh-CN"/>
        </w:rPr>
      </w:pPr>
      <w:r>
        <w:rPr>
          <w:rFonts w:ascii="仿宋" w:hAnsi="仿宋" w:eastAsia="仿宋" w:cs="仿宋"/>
          <w:color w:val="auto"/>
          <w:sz w:val="24"/>
          <w:highlight w:val="none"/>
          <w:lang w:eastAsia="zh-CN"/>
        </w:rPr>
        <w:t>3、未被“信用中国”网站 、中国政府采购网 和国家企业信用信息公示系统列为失信被执行人名单、重大税收违法案件当事人名单、政府采购严重违法失信行为记录名单、经营异常名录、严重违法失信企业名单。</w:t>
      </w:r>
    </w:p>
    <w:p w14:paraId="074987F3">
      <w:pPr>
        <w:pBdr>
          <w:top w:val="none" w:color="000000" w:sz="0" w:space="0"/>
          <w:left w:val="none" w:color="000000" w:sz="0" w:space="0"/>
          <w:bottom w:val="none" w:color="000000" w:sz="0" w:space="0"/>
          <w:right w:val="none" w:color="000000" w:sz="0" w:space="0"/>
        </w:pBdr>
        <w:spacing w:after="0" w:line="400" w:lineRule="exact"/>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法定代表人参加投标的，必须提供法人身份证明原件及本人身份证原件</w:t>
      </w:r>
      <w:r>
        <w:rPr>
          <w:rFonts w:hint="eastAsia" w:ascii="仿宋" w:hAnsi="仿宋" w:eastAsia="仿宋" w:cs="仿宋"/>
          <w:color w:val="auto"/>
          <w:sz w:val="24"/>
          <w:highlight w:val="none"/>
          <w:lang w:val="en-US" w:eastAsia="zh-CN"/>
        </w:rPr>
        <w:t>复印件</w:t>
      </w:r>
      <w:r>
        <w:rPr>
          <w:rFonts w:hint="eastAsia" w:ascii="仿宋" w:hAnsi="仿宋" w:eastAsia="仿宋" w:cs="仿宋"/>
          <w:color w:val="auto"/>
          <w:sz w:val="24"/>
          <w:highlight w:val="none"/>
          <w:lang w:eastAsia="zh-CN"/>
        </w:rPr>
        <w:t>；非法定代表人参加的，必须提供法定代表人签名或盖章的授权委托书原件及被委托授权人身份证</w:t>
      </w:r>
      <w:r>
        <w:rPr>
          <w:rFonts w:hint="eastAsia" w:ascii="仿宋" w:hAnsi="仿宋" w:eastAsia="仿宋" w:cs="仿宋"/>
          <w:color w:val="auto"/>
          <w:sz w:val="24"/>
          <w:highlight w:val="none"/>
          <w:lang w:val="en-US" w:eastAsia="zh-CN"/>
        </w:rPr>
        <w:t>复印件</w:t>
      </w:r>
      <w:r>
        <w:rPr>
          <w:rFonts w:hint="eastAsia" w:ascii="仿宋" w:hAnsi="仿宋" w:eastAsia="仿宋" w:cs="仿宋"/>
          <w:color w:val="auto"/>
          <w:sz w:val="24"/>
          <w:highlight w:val="none"/>
          <w:lang w:eastAsia="zh-CN"/>
        </w:rPr>
        <w:t>和法定代表人的身份证</w:t>
      </w:r>
      <w:r>
        <w:rPr>
          <w:rFonts w:hint="eastAsia" w:ascii="仿宋" w:hAnsi="仿宋" w:eastAsia="仿宋" w:cs="仿宋"/>
          <w:color w:val="auto"/>
          <w:sz w:val="24"/>
          <w:highlight w:val="none"/>
          <w:lang w:val="en-US" w:eastAsia="zh-CN"/>
        </w:rPr>
        <w:t>复印件</w:t>
      </w:r>
      <w:r>
        <w:rPr>
          <w:rFonts w:hint="eastAsia" w:ascii="仿宋" w:hAnsi="仿宋" w:eastAsia="仿宋" w:cs="仿宋"/>
          <w:color w:val="auto"/>
          <w:sz w:val="24"/>
          <w:highlight w:val="none"/>
          <w:lang w:eastAsia="zh-CN"/>
        </w:rPr>
        <w:t>；</w:t>
      </w:r>
    </w:p>
    <w:p w14:paraId="6CB33BC3">
      <w:pPr>
        <w:pBdr>
          <w:top w:val="none" w:color="000000" w:sz="0" w:space="0"/>
          <w:left w:val="none" w:color="000000" w:sz="0" w:space="0"/>
          <w:bottom w:val="none" w:color="000000" w:sz="0" w:space="0"/>
          <w:right w:val="none" w:color="000000" w:sz="0" w:space="0"/>
        </w:pBdr>
        <w:spacing w:after="0" w:line="479" w:lineRule="atLeast"/>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lang w:eastAsia="zh-CN"/>
        </w:rPr>
        <w:t>、本项目不接受联合体投标。</w:t>
      </w:r>
    </w:p>
    <w:p w14:paraId="0D877A37">
      <w:pPr>
        <w:pBdr>
          <w:top w:val="none" w:color="000000" w:sz="0" w:space="0"/>
          <w:left w:val="none" w:color="000000" w:sz="0" w:space="0"/>
          <w:bottom w:val="none" w:color="000000" w:sz="0" w:space="0"/>
          <w:right w:val="none" w:color="000000" w:sz="0" w:space="0"/>
        </w:pBdr>
        <w:spacing w:after="0" w:line="479" w:lineRule="atLeast"/>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ascii="仿宋" w:hAnsi="仿宋" w:eastAsia="仿宋" w:cs="仿宋"/>
          <w:color w:val="auto"/>
          <w:sz w:val="24"/>
          <w:highlight w:val="none"/>
          <w:lang w:eastAsia="zh-CN"/>
        </w:rPr>
        <w:t>、供应商中标后不得将中标项目分包或者转让给其它主体实施。</w:t>
      </w:r>
    </w:p>
    <w:p w14:paraId="07D68B59">
      <w:pPr>
        <w:pBdr>
          <w:top w:val="none" w:color="000000" w:sz="0" w:space="0"/>
          <w:left w:val="none" w:color="000000" w:sz="0" w:space="0"/>
          <w:bottom w:val="none" w:color="000000" w:sz="0" w:space="0"/>
          <w:right w:val="none" w:color="000000" w:sz="0" w:space="0"/>
        </w:pBdr>
        <w:spacing w:after="0" w:line="479" w:lineRule="atLeast"/>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r>
        <w:rPr>
          <w:rFonts w:ascii="仿宋" w:hAnsi="仿宋" w:eastAsia="仿宋" w:cs="仿宋"/>
          <w:color w:val="auto"/>
          <w:sz w:val="24"/>
          <w:highlight w:val="none"/>
          <w:lang w:eastAsia="zh-CN"/>
        </w:rPr>
        <w:t>、本项目的特定资格要求：</w:t>
      </w:r>
      <w:r>
        <w:rPr>
          <w:rFonts w:hint="eastAsia" w:ascii="仿宋" w:hAnsi="仿宋" w:eastAsia="仿宋" w:cs="仿宋"/>
          <w:color w:val="auto"/>
          <w:sz w:val="24"/>
          <w:highlight w:val="none"/>
          <w:lang w:val="en-US" w:eastAsia="zh-CN"/>
        </w:rPr>
        <w:t>提供满足本项目需求的人员一览表，且项目经理具有大专及以上文化水平，提供学历证书复印件。</w:t>
      </w:r>
    </w:p>
    <w:p w14:paraId="7D2F90B0">
      <w:pPr>
        <w:pBdr>
          <w:top w:val="none" w:color="000000" w:sz="0" w:space="0"/>
          <w:left w:val="none" w:color="000000" w:sz="0" w:space="0"/>
          <w:bottom w:val="none" w:color="000000" w:sz="0" w:space="0"/>
          <w:right w:val="none" w:color="000000" w:sz="0" w:space="0"/>
        </w:pBdr>
        <w:spacing w:after="0" w:line="479" w:lineRule="atLeast"/>
        <w:ind w:firstLine="480"/>
        <w:rPr>
          <w:rFonts w:hint="eastAsia" w:ascii="仿宋" w:hAnsi="仿宋" w:eastAsia="仿宋" w:cs="仿宋"/>
          <w:color w:val="auto"/>
          <w:sz w:val="24"/>
          <w:highlight w:val="none"/>
          <w:lang w:eastAsia="zh-CN"/>
        </w:rPr>
      </w:pPr>
      <w:r>
        <w:rPr>
          <w:rFonts w:ascii="仿宋" w:hAnsi="仿宋" w:eastAsia="仿宋" w:cs="仿宋"/>
          <w:color w:val="auto"/>
          <w:sz w:val="24"/>
          <w:highlight w:val="none"/>
          <w:lang w:eastAsia="zh-CN"/>
        </w:rPr>
        <w:t>【特别提醒】单位负责人为同一人或者存在直接控股、管理关系的不同供应商，不得参加同一合同 项下的采购活动，法定代表人为同一人的以上法人，母公司、全资子公司及其控股公司，都不得参加同一合同项目的采购活动。</w:t>
      </w:r>
    </w:p>
    <w:p w14:paraId="0B388827">
      <w:pPr>
        <w:pBdr>
          <w:top w:val="none" w:color="000000" w:sz="0" w:space="0"/>
          <w:left w:val="none" w:color="000000" w:sz="0" w:space="0"/>
          <w:bottom w:val="none" w:color="000000" w:sz="0" w:space="0"/>
          <w:right w:val="none" w:color="000000" w:sz="0" w:space="0"/>
        </w:pBdr>
        <w:spacing w:after="0" w:line="479" w:lineRule="atLeast"/>
        <w:ind w:firstLine="480"/>
        <w:rPr>
          <w:rFonts w:hint="eastAsia" w:ascii="仿宋" w:hAnsi="仿宋" w:eastAsia="仿宋" w:cs="仿宋"/>
          <w:color w:val="auto"/>
          <w:sz w:val="24"/>
          <w:highlight w:val="none"/>
          <w:lang w:eastAsia="zh-CN"/>
        </w:rPr>
      </w:pPr>
      <w:r>
        <w:rPr>
          <w:rFonts w:ascii="仿宋" w:hAnsi="仿宋" w:eastAsia="仿宋" w:cs="仿宋"/>
          <w:color w:val="auto"/>
          <w:sz w:val="24"/>
          <w:highlight w:val="none"/>
          <w:lang w:eastAsia="zh-CN"/>
        </w:rPr>
        <w:t>三、获取采购文件</w:t>
      </w:r>
    </w:p>
    <w:p w14:paraId="5AB04288">
      <w:pPr>
        <w:pBdr>
          <w:top w:val="none" w:color="000000" w:sz="0" w:space="0"/>
          <w:left w:val="none" w:color="000000" w:sz="0" w:space="0"/>
          <w:bottom w:val="none" w:color="000000" w:sz="0" w:space="0"/>
          <w:right w:val="none" w:color="000000" w:sz="0" w:space="0"/>
        </w:pBdr>
        <w:spacing w:after="0" w:line="479" w:lineRule="atLeast"/>
        <w:ind w:firstLine="480"/>
        <w:rPr>
          <w:rFonts w:hint="eastAsia" w:ascii="仿宋" w:hAnsi="仿宋" w:eastAsia="仿宋" w:cs="仿宋"/>
          <w:color w:val="auto"/>
          <w:sz w:val="24"/>
          <w:highlight w:val="none"/>
          <w:lang w:eastAsia="zh-CN"/>
        </w:rPr>
      </w:pPr>
      <w:r>
        <w:rPr>
          <w:rFonts w:ascii="仿宋" w:hAnsi="仿宋" w:eastAsia="仿宋" w:cs="仿宋"/>
          <w:color w:val="auto"/>
          <w:sz w:val="24"/>
          <w:highlight w:val="none"/>
          <w:lang w:eastAsia="zh-CN"/>
        </w:rPr>
        <w:t>1、采购文件获取的时间：</w:t>
      </w:r>
      <w:r>
        <w:rPr>
          <w:rFonts w:ascii="仿宋" w:hAnsi="仿宋" w:eastAsia="仿宋" w:cs="仿宋"/>
          <w:b/>
          <w:bCs/>
          <w:color w:val="auto"/>
          <w:sz w:val="24"/>
          <w:highlight w:val="none"/>
          <w:u w:val="single"/>
          <w:lang w:eastAsia="zh-CN"/>
        </w:rPr>
        <w:t>202</w:t>
      </w:r>
      <w:r>
        <w:rPr>
          <w:rFonts w:hint="eastAsia" w:ascii="仿宋" w:hAnsi="仿宋" w:eastAsia="仿宋" w:cs="仿宋"/>
          <w:b/>
          <w:bCs/>
          <w:color w:val="auto"/>
          <w:sz w:val="24"/>
          <w:highlight w:val="none"/>
          <w:u w:val="single"/>
          <w:lang w:eastAsia="zh-CN"/>
        </w:rPr>
        <w:t>4</w:t>
      </w:r>
      <w:r>
        <w:rPr>
          <w:rFonts w:ascii="仿宋" w:hAnsi="仿宋" w:eastAsia="仿宋" w:cs="仿宋"/>
          <w:b/>
          <w:bCs/>
          <w:color w:val="auto"/>
          <w:sz w:val="24"/>
          <w:highlight w:val="none"/>
          <w:u w:val="single"/>
          <w:lang w:eastAsia="zh-CN"/>
        </w:rPr>
        <w:t>年</w:t>
      </w:r>
      <w:r>
        <w:rPr>
          <w:rFonts w:hint="eastAsia" w:ascii="仿宋" w:hAnsi="仿宋" w:eastAsia="仿宋" w:cs="仿宋"/>
          <w:b/>
          <w:bCs/>
          <w:color w:val="auto"/>
          <w:sz w:val="24"/>
          <w:highlight w:val="none"/>
          <w:u w:val="single"/>
          <w:lang w:val="en-US" w:eastAsia="zh-CN"/>
        </w:rPr>
        <w:t>9</w:t>
      </w:r>
      <w:r>
        <w:rPr>
          <w:rFonts w:ascii="仿宋" w:hAnsi="仿宋" w:eastAsia="仿宋" w:cs="仿宋"/>
          <w:b/>
          <w:bCs/>
          <w:color w:val="auto"/>
          <w:sz w:val="24"/>
          <w:highlight w:val="none"/>
          <w:u w:val="single"/>
          <w:lang w:eastAsia="zh-CN"/>
        </w:rPr>
        <w:t>月</w:t>
      </w:r>
      <w:r>
        <w:rPr>
          <w:rFonts w:hint="eastAsia" w:ascii="仿宋" w:hAnsi="仿宋" w:eastAsia="仿宋" w:cs="仿宋"/>
          <w:b/>
          <w:bCs/>
          <w:color w:val="auto"/>
          <w:sz w:val="24"/>
          <w:highlight w:val="none"/>
          <w:u w:val="single"/>
          <w:lang w:val="en-US" w:eastAsia="zh-CN"/>
        </w:rPr>
        <w:t>4</w:t>
      </w:r>
      <w:r>
        <w:rPr>
          <w:rFonts w:ascii="仿宋" w:hAnsi="仿宋" w:eastAsia="仿宋" w:cs="仿宋"/>
          <w:b/>
          <w:bCs/>
          <w:color w:val="auto"/>
          <w:sz w:val="24"/>
          <w:highlight w:val="none"/>
          <w:u w:val="single"/>
          <w:lang w:eastAsia="zh-CN"/>
        </w:rPr>
        <w:t>日</w:t>
      </w:r>
      <w:r>
        <w:rPr>
          <w:rFonts w:ascii="仿宋" w:hAnsi="仿宋" w:eastAsia="仿宋" w:cs="仿宋"/>
          <w:color w:val="auto"/>
          <w:sz w:val="24"/>
          <w:highlight w:val="none"/>
          <w:lang w:eastAsia="zh-CN"/>
        </w:rPr>
        <w:t>至</w:t>
      </w:r>
      <w:r>
        <w:rPr>
          <w:rFonts w:ascii="仿宋" w:hAnsi="仿宋" w:eastAsia="仿宋" w:cs="仿宋"/>
          <w:b/>
          <w:bCs/>
          <w:color w:val="auto"/>
          <w:sz w:val="24"/>
          <w:highlight w:val="none"/>
          <w:u w:val="single"/>
          <w:lang w:eastAsia="zh-CN"/>
        </w:rPr>
        <w:t>2024年</w:t>
      </w:r>
      <w:r>
        <w:rPr>
          <w:rFonts w:hint="eastAsia" w:ascii="仿宋" w:hAnsi="仿宋" w:eastAsia="仿宋" w:cs="仿宋"/>
          <w:b/>
          <w:bCs/>
          <w:color w:val="auto"/>
          <w:sz w:val="24"/>
          <w:highlight w:val="none"/>
          <w:u w:val="single"/>
          <w:lang w:val="en-US" w:eastAsia="zh-CN"/>
        </w:rPr>
        <w:t>9</w:t>
      </w:r>
      <w:r>
        <w:rPr>
          <w:rFonts w:ascii="仿宋" w:hAnsi="仿宋" w:eastAsia="仿宋" w:cs="仿宋"/>
          <w:b/>
          <w:bCs/>
          <w:color w:val="auto"/>
          <w:sz w:val="24"/>
          <w:highlight w:val="none"/>
          <w:u w:val="single"/>
          <w:lang w:eastAsia="zh-CN"/>
        </w:rPr>
        <w:t>月</w:t>
      </w:r>
      <w:r>
        <w:rPr>
          <w:rFonts w:hint="eastAsia" w:ascii="仿宋" w:hAnsi="仿宋" w:eastAsia="仿宋" w:cs="仿宋"/>
          <w:b/>
          <w:bCs/>
          <w:color w:val="auto"/>
          <w:sz w:val="24"/>
          <w:highlight w:val="none"/>
          <w:u w:val="single"/>
          <w:lang w:val="en-US" w:eastAsia="zh-CN"/>
        </w:rPr>
        <w:t>19</w:t>
      </w:r>
      <w:r>
        <w:rPr>
          <w:rFonts w:ascii="仿宋" w:hAnsi="仿宋" w:eastAsia="仿宋" w:cs="仿宋"/>
          <w:b/>
          <w:bCs/>
          <w:color w:val="auto"/>
          <w:sz w:val="24"/>
          <w:highlight w:val="none"/>
          <w:u w:val="single"/>
          <w:lang w:eastAsia="zh-CN"/>
        </w:rPr>
        <w:t>日</w:t>
      </w:r>
    </w:p>
    <w:p w14:paraId="621B431A">
      <w:pPr>
        <w:pBdr>
          <w:top w:val="none" w:color="000000" w:sz="0" w:space="0"/>
          <w:left w:val="none" w:color="000000" w:sz="0" w:space="0"/>
          <w:bottom w:val="none" w:color="000000" w:sz="0" w:space="0"/>
          <w:right w:val="none" w:color="000000" w:sz="0" w:space="0"/>
        </w:pBdr>
        <w:shd w:val="clear" w:color="FFFFFF" w:fill="FFFFFF"/>
        <w:spacing w:after="0" w:line="479" w:lineRule="atLeast"/>
        <w:ind w:firstLine="420"/>
        <w:jc w:val="both"/>
        <w:rPr>
          <w:color w:val="auto"/>
          <w:highlight w:val="none"/>
          <w:lang w:eastAsia="zh-CN"/>
        </w:rPr>
      </w:pPr>
      <w:r>
        <w:rPr>
          <w:rFonts w:ascii="仿宋" w:hAnsi="仿宋" w:eastAsia="仿宋" w:cs="仿宋"/>
          <w:color w:val="auto"/>
          <w:sz w:val="24"/>
          <w:highlight w:val="none"/>
          <w:lang w:eastAsia="zh-CN"/>
        </w:rPr>
        <w:t>2、采购文件获取的地点、方式等:</w:t>
      </w:r>
    </w:p>
    <w:p w14:paraId="29F0D510">
      <w:pPr>
        <w:pBdr>
          <w:top w:val="none" w:color="000000" w:sz="0" w:space="0"/>
          <w:left w:val="none" w:color="000000" w:sz="0" w:space="0"/>
          <w:bottom w:val="none" w:color="000000" w:sz="0" w:space="0"/>
          <w:right w:val="none" w:color="000000" w:sz="0" w:space="0"/>
        </w:pBdr>
        <w:shd w:val="clear" w:color="FFFFFF" w:fill="FFFFFF"/>
        <w:spacing w:after="0" w:line="479" w:lineRule="atLeast"/>
        <w:ind w:firstLine="420"/>
        <w:jc w:val="both"/>
        <w:rPr>
          <w:color w:val="auto"/>
          <w:highlight w:val="none"/>
          <w:lang w:eastAsia="zh-CN"/>
        </w:rPr>
      </w:pPr>
      <w:r>
        <w:rPr>
          <w:rFonts w:ascii="仿宋" w:hAnsi="仿宋" w:eastAsia="仿宋" w:cs="仿宋"/>
          <w:color w:val="auto"/>
          <w:sz w:val="24"/>
          <w:highlight w:val="none"/>
          <w:lang w:eastAsia="zh-CN"/>
        </w:rPr>
        <w:t>供应商</w:t>
      </w:r>
      <w:r>
        <w:rPr>
          <w:rFonts w:ascii="仿宋" w:hAnsi="仿宋" w:eastAsia="仿宋" w:cs="仿宋"/>
          <w:color w:val="auto"/>
          <w:sz w:val="24"/>
          <w:highlight w:val="none"/>
          <w:u w:val="single"/>
          <w:lang w:eastAsia="zh-CN"/>
        </w:rPr>
        <w:t>直接从江苏省政府采购网</w:t>
      </w:r>
      <w:r>
        <w:rPr>
          <w:rFonts w:ascii="仿宋" w:hAnsi="仿宋" w:eastAsia="仿宋" w:cs="仿宋"/>
          <w:color w:val="auto"/>
          <w:sz w:val="24"/>
          <w:highlight w:val="none"/>
          <w:lang w:eastAsia="zh-CN"/>
        </w:rPr>
        <w:t>自行下载竞争性磋商文件等招标资料。</w:t>
      </w:r>
    </w:p>
    <w:p w14:paraId="3A08DB3D">
      <w:pPr>
        <w:pBdr>
          <w:top w:val="none" w:color="000000" w:sz="0" w:space="0"/>
          <w:left w:val="none" w:color="000000" w:sz="0" w:space="0"/>
          <w:bottom w:val="none" w:color="000000" w:sz="0" w:space="0"/>
          <w:right w:val="none" w:color="000000" w:sz="0" w:space="0"/>
        </w:pBdr>
        <w:shd w:val="clear" w:color="FFFFFF" w:fill="FFFFFF"/>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3、方式：自行下载</w:t>
      </w:r>
    </w:p>
    <w:p w14:paraId="4AD1E1FB">
      <w:pPr>
        <w:pBdr>
          <w:top w:val="none" w:color="000000" w:sz="0" w:space="0"/>
          <w:left w:val="none" w:color="000000" w:sz="0" w:space="0"/>
          <w:bottom w:val="none" w:color="000000" w:sz="0" w:space="0"/>
          <w:right w:val="none" w:color="000000" w:sz="0" w:space="0"/>
        </w:pBdr>
        <w:spacing w:after="0" w:line="479" w:lineRule="atLeast"/>
        <w:ind w:firstLine="361"/>
        <w:jc w:val="both"/>
        <w:rPr>
          <w:color w:val="auto"/>
          <w:highlight w:val="none"/>
          <w:lang w:eastAsia="zh-CN"/>
        </w:rPr>
      </w:pPr>
      <w:r>
        <w:rPr>
          <w:rFonts w:ascii="仿宋" w:hAnsi="仿宋" w:eastAsia="仿宋" w:cs="仿宋"/>
          <w:b/>
          <w:color w:val="auto"/>
          <w:sz w:val="24"/>
          <w:highlight w:val="none"/>
          <w:lang w:eastAsia="zh-CN"/>
        </w:rPr>
        <w:t>四、响应文件提交</w:t>
      </w:r>
    </w:p>
    <w:p w14:paraId="3A994A9D">
      <w:pPr>
        <w:pBdr>
          <w:top w:val="none" w:color="000000" w:sz="0" w:space="0"/>
          <w:left w:val="none" w:color="000000" w:sz="0" w:space="0"/>
          <w:bottom w:val="none" w:color="000000" w:sz="0" w:space="0"/>
          <w:right w:val="none" w:color="000000" w:sz="0" w:space="0"/>
        </w:pBdr>
        <w:spacing w:after="0" w:line="479" w:lineRule="atLeast"/>
        <w:ind w:firstLine="482"/>
        <w:jc w:val="both"/>
        <w:rPr>
          <w:color w:val="auto"/>
          <w:highlight w:val="none"/>
          <w:lang w:eastAsia="zh-CN"/>
        </w:rPr>
      </w:pPr>
      <w:r>
        <w:rPr>
          <w:rFonts w:ascii="仿宋" w:hAnsi="仿宋" w:eastAsia="仿宋" w:cs="仿宋"/>
          <w:b/>
          <w:color w:val="auto"/>
          <w:sz w:val="24"/>
          <w:highlight w:val="none"/>
          <w:lang w:eastAsia="zh-CN"/>
        </w:rPr>
        <w:t>截止时间：</w:t>
      </w:r>
      <w:r>
        <w:rPr>
          <w:rFonts w:ascii="仿宋" w:hAnsi="仿宋" w:eastAsia="仿宋" w:cs="仿宋"/>
          <w:b/>
          <w:bCs/>
          <w:color w:val="auto"/>
          <w:sz w:val="24"/>
          <w:highlight w:val="none"/>
          <w:u w:val="single"/>
          <w:lang w:eastAsia="zh-CN"/>
        </w:rPr>
        <w:t>2024年</w:t>
      </w:r>
      <w:r>
        <w:rPr>
          <w:rFonts w:hint="eastAsia" w:ascii="仿宋" w:hAnsi="仿宋" w:eastAsia="仿宋" w:cs="仿宋"/>
          <w:b/>
          <w:bCs/>
          <w:color w:val="auto"/>
          <w:sz w:val="24"/>
          <w:highlight w:val="none"/>
          <w:u w:val="single"/>
          <w:lang w:val="en-US" w:eastAsia="zh-CN"/>
        </w:rPr>
        <w:t>9</w:t>
      </w:r>
      <w:r>
        <w:rPr>
          <w:rFonts w:ascii="仿宋" w:hAnsi="仿宋" w:eastAsia="仿宋" w:cs="仿宋"/>
          <w:b/>
          <w:bCs/>
          <w:color w:val="auto"/>
          <w:sz w:val="24"/>
          <w:highlight w:val="none"/>
          <w:u w:val="single"/>
          <w:lang w:eastAsia="zh-CN"/>
        </w:rPr>
        <w:t>月</w:t>
      </w:r>
      <w:r>
        <w:rPr>
          <w:rFonts w:hint="eastAsia" w:ascii="仿宋" w:hAnsi="仿宋" w:eastAsia="仿宋" w:cs="仿宋"/>
          <w:b/>
          <w:bCs/>
          <w:color w:val="auto"/>
          <w:sz w:val="24"/>
          <w:highlight w:val="none"/>
          <w:u w:val="single"/>
          <w:lang w:val="en-US" w:eastAsia="zh-CN"/>
        </w:rPr>
        <w:t>19</w:t>
      </w:r>
      <w:r>
        <w:rPr>
          <w:rFonts w:ascii="仿宋" w:hAnsi="仿宋" w:eastAsia="仿宋" w:cs="仿宋"/>
          <w:b/>
          <w:bCs/>
          <w:color w:val="auto"/>
          <w:sz w:val="24"/>
          <w:highlight w:val="none"/>
          <w:u w:val="single"/>
          <w:lang w:eastAsia="zh-CN"/>
        </w:rPr>
        <w:t>日</w:t>
      </w:r>
      <w:r>
        <w:rPr>
          <w:rFonts w:hint="eastAsia" w:ascii="仿宋" w:hAnsi="仿宋" w:eastAsia="仿宋" w:cs="仿宋"/>
          <w:b/>
          <w:color w:val="auto"/>
          <w:sz w:val="24"/>
          <w:highlight w:val="none"/>
          <w:u w:val="single"/>
          <w:lang w:eastAsia="zh-CN"/>
        </w:rPr>
        <w:t>09</w:t>
      </w:r>
      <w:r>
        <w:rPr>
          <w:rFonts w:ascii="仿宋" w:hAnsi="仿宋" w:eastAsia="仿宋" w:cs="仿宋"/>
          <w:b/>
          <w:color w:val="auto"/>
          <w:sz w:val="24"/>
          <w:highlight w:val="none"/>
          <w:u w:val="single"/>
          <w:lang w:eastAsia="zh-CN"/>
        </w:rPr>
        <w:t>时30分。</w:t>
      </w:r>
    </w:p>
    <w:p w14:paraId="1965FB1A">
      <w:pPr>
        <w:pBdr>
          <w:top w:val="none" w:color="000000" w:sz="0" w:space="0"/>
          <w:left w:val="none" w:color="000000" w:sz="0" w:space="0"/>
          <w:bottom w:val="none" w:color="000000" w:sz="0" w:space="0"/>
          <w:right w:val="none" w:color="000000" w:sz="0" w:space="0"/>
        </w:pBdr>
        <w:spacing w:after="0" w:line="479" w:lineRule="atLeast"/>
        <w:ind w:firstLine="482"/>
        <w:jc w:val="both"/>
        <w:rPr>
          <w:rFonts w:eastAsia="仿宋"/>
          <w:color w:val="auto"/>
          <w:highlight w:val="none"/>
          <w:lang w:eastAsia="zh-CN"/>
        </w:rPr>
      </w:pPr>
      <w:r>
        <w:rPr>
          <w:rFonts w:ascii="仿宋" w:hAnsi="仿宋" w:eastAsia="仿宋" w:cs="仿宋"/>
          <w:b/>
          <w:color w:val="auto"/>
          <w:sz w:val="24"/>
          <w:highlight w:val="none"/>
          <w:lang w:eastAsia="zh-CN"/>
        </w:rPr>
        <w:t>地点：</w:t>
      </w:r>
      <w:r>
        <w:rPr>
          <w:rFonts w:hint="eastAsia" w:ascii="仿宋" w:hAnsi="仿宋" w:eastAsia="仿宋" w:cs="仿宋"/>
          <w:b/>
          <w:color w:val="auto"/>
          <w:sz w:val="24"/>
          <w:highlight w:val="none"/>
          <w:u w:val="single"/>
          <w:lang w:eastAsia="zh-CN"/>
        </w:rPr>
        <w:t>南通开发区上海路15号中兴街道办事处二楼会议室</w:t>
      </w:r>
    </w:p>
    <w:p w14:paraId="4CA2F9D4">
      <w:pPr>
        <w:pBdr>
          <w:top w:val="none" w:color="000000" w:sz="0" w:space="0"/>
          <w:left w:val="none" w:color="000000" w:sz="0" w:space="0"/>
          <w:bottom w:val="none" w:color="000000" w:sz="0" w:space="0"/>
          <w:right w:val="none" w:color="000000" w:sz="0" w:space="0"/>
        </w:pBdr>
        <w:spacing w:after="0" w:line="479" w:lineRule="atLeast"/>
        <w:ind w:firstLine="239"/>
        <w:jc w:val="both"/>
        <w:rPr>
          <w:color w:val="auto"/>
          <w:highlight w:val="none"/>
          <w:lang w:eastAsia="zh-CN"/>
        </w:rPr>
      </w:pPr>
      <w:r>
        <w:rPr>
          <w:rFonts w:ascii="仿宋" w:hAnsi="仿宋" w:eastAsia="仿宋" w:cs="仿宋"/>
          <w:b/>
          <w:color w:val="auto"/>
          <w:sz w:val="24"/>
          <w:highlight w:val="none"/>
          <w:lang w:eastAsia="zh-CN"/>
        </w:rPr>
        <w:t>五、开启</w:t>
      </w:r>
    </w:p>
    <w:p w14:paraId="59893687">
      <w:pPr>
        <w:pBdr>
          <w:top w:val="none" w:color="000000" w:sz="0" w:space="0"/>
          <w:left w:val="none" w:color="000000" w:sz="0" w:space="0"/>
          <w:bottom w:val="none" w:color="000000" w:sz="0" w:space="0"/>
          <w:right w:val="none" w:color="000000" w:sz="0" w:space="0"/>
        </w:pBdr>
        <w:spacing w:after="0" w:line="479" w:lineRule="atLeast"/>
        <w:ind w:firstLine="482"/>
        <w:jc w:val="both"/>
        <w:rPr>
          <w:rFonts w:hint="eastAsia" w:ascii="仿宋" w:hAnsi="仿宋" w:eastAsia="仿宋" w:cs="仿宋"/>
          <w:b/>
          <w:color w:val="auto"/>
          <w:sz w:val="24"/>
          <w:highlight w:val="none"/>
          <w:u w:val="single"/>
          <w:lang w:eastAsia="zh-CN"/>
        </w:rPr>
      </w:pPr>
      <w:r>
        <w:rPr>
          <w:rFonts w:ascii="仿宋" w:hAnsi="仿宋" w:eastAsia="仿宋" w:cs="仿宋"/>
          <w:b/>
          <w:color w:val="auto"/>
          <w:sz w:val="24"/>
          <w:highlight w:val="none"/>
          <w:lang w:eastAsia="zh-CN"/>
        </w:rPr>
        <w:t>时间：</w:t>
      </w:r>
      <w:r>
        <w:rPr>
          <w:rFonts w:ascii="仿宋" w:hAnsi="仿宋" w:eastAsia="仿宋" w:cs="仿宋"/>
          <w:b/>
          <w:bCs/>
          <w:color w:val="auto"/>
          <w:sz w:val="24"/>
          <w:highlight w:val="none"/>
          <w:u w:val="single"/>
          <w:lang w:eastAsia="zh-CN"/>
        </w:rPr>
        <w:t>2024年</w:t>
      </w:r>
      <w:r>
        <w:rPr>
          <w:rFonts w:hint="eastAsia" w:ascii="仿宋" w:hAnsi="仿宋" w:eastAsia="仿宋" w:cs="仿宋"/>
          <w:b/>
          <w:bCs/>
          <w:color w:val="auto"/>
          <w:sz w:val="24"/>
          <w:highlight w:val="none"/>
          <w:u w:val="single"/>
          <w:lang w:val="en-US" w:eastAsia="zh-CN"/>
        </w:rPr>
        <w:t>9</w:t>
      </w:r>
      <w:r>
        <w:rPr>
          <w:rFonts w:ascii="仿宋" w:hAnsi="仿宋" w:eastAsia="仿宋" w:cs="仿宋"/>
          <w:b/>
          <w:bCs/>
          <w:color w:val="auto"/>
          <w:sz w:val="24"/>
          <w:highlight w:val="none"/>
          <w:u w:val="single"/>
          <w:lang w:eastAsia="zh-CN"/>
        </w:rPr>
        <w:t>月</w:t>
      </w:r>
      <w:r>
        <w:rPr>
          <w:rFonts w:hint="eastAsia" w:ascii="仿宋" w:hAnsi="仿宋" w:eastAsia="仿宋" w:cs="仿宋"/>
          <w:b/>
          <w:bCs/>
          <w:color w:val="auto"/>
          <w:sz w:val="24"/>
          <w:highlight w:val="none"/>
          <w:u w:val="single"/>
          <w:lang w:val="en-US" w:eastAsia="zh-CN"/>
        </w:rPr>
        <w:t>19</w:t>
      </w:r>
      <w:r>
        <w:rPr>
          <w:rFonts w:ascii="仿宋" w:hAnsi="仿宋" w:eastAsia="仿宋" w:cs="仿宋"/>
          <w:b/>
          <w:bCs/>
          <w:color w:val="auto"/>
          <w:sz w:val="24"/>
          <w:highlight w:val="none"/>
          <w:u w:val="single"/>
          <w:lang w:eastAsia="zh-CN"/>
        </w:rPr>
        <w:t>日</w:t>
      </w:r>
      <w:r>
        <w:rPr>
          <w:rFonts w:hint="eastAsia" w:ascii="仿宋" w:hAnsi="仿宋" w:eastAsia="仿宋" w:cs="仿宋"/>
          <w:b/>
          <w:color w:val="auto"/>
          <w:sz w:val="24"/>
          <w:highlight w:val="none"/>
          <w:u w:val="single"/>
          <w:lang w:eastAsia="zh-CN"/>
        </w:rPr>
        <w:t>09</w:t>
      </w:r>
      <w:r>
        <w:rPr>
          <w:rFonts w:ascii="仿宋" w:hAnsi="仿宋" w:eastAsia="仿宋" w:cs="仿宋"/>
          <w:b/>
          <w:color w:val="auto"/>
          <w:sz w:val="24"/>
          <w:highlight w:val="none"/>
          <w:u w:val="single"/>
          <w:lang w:eastAsia="zh-CN"/>
        </w:rPr>
        <w:t>时30分。</w:t>
      </w:r>
    </w:p>
    <w:p w14:paraId="63DF8530">
      <w:pPr>
        <w:pBdr>
          <w:top w:val="none" w:color="000000" w:sz="0" w:space="0"/>
          <w:left w:val="none" w:color="000000" w:sz="0" w:space="0"/>
          <w:bottom w:val="none" w:color="000000" w:sz="0" w:space="0"/>
          <w:right w:val="none" w:color="000000" w:sz="0" w:space="0"/>
        </w:pBdr>
        <w:spacing w:after="0" w:line="479" w:lineRule="atLeast"/>
        <w:ind w:firstLine="482"/>
        <w:jc w:val="both"/>
        <w:rPr>
          <w:rFonts w:eastAsia="仿宋"/>
          <w:color w:val="auto"/>
          <w:highlight w:val="none"/>
          <w:lang w:eastAsia="zh-CN"/>
        </w:rPr>
      </w:pPr>
      <w:r>
        <w:rPr>
          <w:rFonts w:ascii="仿宋" w:hAnsi="仿宋" w:eastAsia="仿宋" w:cs="仿宋"/>
          <w:b/>
          <w:color w:val="auto"/>
          <w:sz w:val="24"/>
          <w:highlight w:val="none"/>
          <w:lang w:eastAsia="zh-CN"/>
        </w:rPr>
        <w:t>地点：</w:t>
      </w:r>
      <w:r>
        <w:rPr>
          <w:rFonts w:hint="eastAsia" w:ascii="仿宋" w:hAnsi="仿宋" w:eastAsia="仿宋" w:cs="仿宋"/>
          <w:b/>
          <w:color w:val="auto"/>
          <w:sz w:val="24"/>
          <w:highlight w:val="none"/>
          <w:u w:val="single"/>
          <w:lang w:eastAsia="zh-CN"/>
        </w:rPr>
        <w:t>南通开发区上海路15号中兴街道办事处二楼会议室</w:t>
      </w:r>
    </w:p>
    <w:p w14:paraId="23177B93">
      <w:pPr>
        <w:pBdr>
          <w:top w:val="none" w:color="000000" w:sz="0" w:space="0"/>
          <w:left w:val="none" w:color="000000" w:sz="0" w:space="0"/>
          <w:bottom w:val="none" w:color="000000" w:sz="0" w:space="0"/>
          <w:right w:val="none" w:color="000000" w:sz="0" w:space="0"/>
        </w:pBdr>
        <w:spacing w:after="0" w:line="479" w:lineRule="atLeast"/>
        <w:ind w:firstLine="361"/>
        <w:rPr>
          <w:color w:val="auto"/>
          <w:highlight w:val="none"/>
          <w:lang w:eastAsia="zh-CN"/>
        </w:rPr>
      </w:pPr>
      <w:r>
        <w:rPr>
          <w:rFonts w:ascii="仿宋" w:hAnsi="仿宋" w:eastAsia="仿宋" w:cs="仿宋"/>
          <w:b/>
          <w:color w:val="auto"/>
          <w:sz w:val="24"/>
          <w:highlight w:val="none"/>
          <w:lang w:eastAsia="zh-CN"/>
        </w:rPr>
        <w:t>六、公告期限</w:t>
      </w:r>
    </w:p>
    <w:p w14:paraId="1D6C5623">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自本公告发布之日起3个工作日。</w:t>
      </w:r>
    </w:p>
    <w:p w14:paraId="2552FDD2">
      <w:pPr>
        <w:pBdr>
          <w:top w:val="none" w:color="000000" w:sz="0" w:space="0"/>
          <w:left w:val="none" w:color="000000" w:sz="0" w:space="0"/>
          <w:bottom w:val="none" w:color="000000" w:sz="0" w:space="0"/>
          <w:right w:val="none" w:color="000000" w:sz="0" w:space="0"/>
        </w:pBdr>
        <w:spacing w:after="0" w:line="479" w:lineRule="atLeast"/>
        <w:ind w:firstLine="361"/>
        <w:jc w:val="both"/>
        <w:rPr>
          <w:color w:val="auto"/>
          <w:highlight w:val="none"/>
          <w:lang w:eastAsia="zh-CN"/>
        </w:rPr>
      </w:pPr>
      <w:r>
        <w:rPr>
          <w:rFonts w:ascii="仿宋" w:hAnsi="仿宋" w:eastAsia="仿宋" w:cs="仿宋"/>
          <w:b/>
          <w:color w:val="auto"/>
          <w:sz w:val="24"/>
          <w:highlight w:val="none"/>
          <w:lang w:eastAsia="zh-CN"/>
        </w:rPr>
        <w:t>七、其他补充事宜</w:t>
      </w:r>
    </w:p>
    <w:p w14:paraId="0D4B2080">
      <w:pPr>
        <w:pBdr>
          <w:top w:val="none" w:color="000000" w:sz="0" w:space="0"/>
          <w:left w:val="none" w:color="000000" w:sz="0" w:space="0"/>
          <w:bottom w:val="none" w:color="000000" w:sz="0" w:space="0"/>
          <w:right w:val="none" w:color="000000" w:sz="0" w:space="0"/>
        </w:pBdr>
        <w:spacing w:after="0" w:line="479" w:lineRule="atLeast"/>
        <w:ind w:firstLine="482"/>
        <w:rPr>
          <w:color w:val="auto"/>
          <w:highlight w:val="none"/>
          <w:lang w:eastAsia="zh-CN"/>
        </w:rPr>
      </w:pPr>
      <w:r>
        <w:rPr>
          <w:rFonts w:ascii="仿宋" w:hAnsi="仿宋" w:eastAsia="仿宋" w:cs="仿宋"/>
          <w:color w:val="auto"/>
          <w:sz w:val="24"/>
          <w:highlight w:val="none"/>
          <w:lang w:eastAsia="zh-CN"/>
        </w:rPr>
        <w:t>（一）磋商保证金：</w:t>
      </w:r>
      <w:r>
        <w:rPr>
          <w:rFonts w:ascii="仿宋" w:hAnsi="仿宋" w:eastAsia="仿宋" w:cs="仿宋"/>
          <w:b/>
          <w:color w:val="auto"/>
          <w:sz w:val="24"/>
          <w:highlight w:val="none"/>
          <w:lang w:eastAsia="zh-CN"/>
        </w:rPr>
        <w:t>本项目免收磋商保证金</w:t>
      </w:r>
      <w:r>
        <w:rPr>
          <w:rFonts w:ascii="仿宋" w:hAnsi="仿宋" w:eastAsia="仿宋" w:cs="仿宋"/>
          <w:color w:val="auto"/>
          <w:sz w:val="24"/>
          <w:highlight w:val="none"/>
          <w:lang w:eastAsia="zh-CN"/>
        </w:rPr>
        <w:t>。</w:t>
      </w:r>
    </w:p>
    <w:p w14:paraId="71A59BA2">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响应单位（成交供应商）存在下列所述情形的，招标投标行政监督部门应当将其记入不良行为记录，在一年内其它政府投资项目的招标人可以据此不接受其投标：</w:t>
      </w:r>
    </w:p>
    <w:p w14:paraId="08BD8BE5">
      <w:pPr>
        <w:pBdr>
          <w:top w:val="none" w:color="000000" w:sz="0" w:space="0"/>
          <w:left w:val="none" w:color="000000" w:sz="0" w:space="0"/>
          <w:bottom w:val="none" w:color="000000" w:sz="0" w:space="0"/>
          <w:right w:val="none" w:color="000000" w:sz="0" w:space="0"/>
        </w:pBdr>
        <w:spacing w:after="0" w:line="479" w:lineRule="atLeast"/>
        <w:ind w:firstLine="240"/>
        <w:jc w:val="both"/>
        <w:rPr>
          <w:color w:val="auto"/>
          <w:highlight w:val="none"/>
          <w:lang w:eastAsia="zh-CN"/>
        </w:rPr>
      </w:pPr>
      <w:r>
        <w:rPr>
          <w:rFonts w:ascii="仿宋" w:hAnsi="仿宋" w:eastAsia="仿宋" w:cs="仿宋"/>
          <w:color w:val="auto"/>
          <w:sz w:val="24"/>
          <w:highlight w:val="none"/>
          <w:lang w:eastAsia="zh-CN"/>
        </w:rPr>
        <w:t>（1）放弃中标项目的；</w:t>
      </w:r>
    </w:p>
    <w:p w14:paraId="4D456320">
      <w:pPr>
        <w:pBdr>
          <w:top w:val="none" w:color="000000" w:sz="0" w:space="0"/>
          <w:left w:val="none" w:color="000000" w:sz="0" w:space="0"/>
          <w:bottom w:val="none" w:color="000000" w:sz="0" w:space="0"/>
          <w:right w:val="none" w:color="000000" w:sz="0" w:space="0"/>
        </w:pBdr>
        <w:spacing w:after="0" w:line="479" w:lineRule="atLeast"/>
        <w:ind w:firstLine="240"/>
        <w:jc w:val="both"/>
        <w:rPr>
          <w:color w:val="auto"/>
          <w:highlight w:val="none"/>
          <w:lang w:eastAsia="zh-CN"/>
        </w:rPr>
      </w:pPr>
      <w:r>
        <w:rPr>
          <w:rFonts w:ascii="仿宋" w:hAnsi="仿宋" w:eastAsia="仿宋" w:cs="仿宋"/>
          <w:color w:val="auto"/>
          <w:sz w:val="24"/>
          <w:highlight w:val="none"/>
          <w:lang w:eastAsia="zh-CN"/>
        </w:rPr>
        <w:t>（2）拒不按照投标文件的要求提交履约保证金的；</w:t>
      </w:r>
    </w:p>
    <w:p w14:paraId="48545F56">
      <w:pPr>
        <w:pBdr>
          <w:top w:val="none" w:color="000000" w:sz="0" w:space="0"/>
          <w:left w:val="none" w:color="000000" w:sz="0" w:space="0"/>
          <w:bottom w:val="none" w:color="000000" w:sz="0" w:space="0"/>
          <w:right w:val="none" w:color="000000" w:sz="0" w:space="0"/>
        </w:pBdr>
        <w:spacing w:after="0" w:line="479" w:lineRule="atLeast"/>
        <w:ind w:firstLine="240"/>
        <w:jc w:val="both"/>
        <w:rPr>
          <w:color w:val="auto"/>
          <w:highlight w:val="none"/>
          <w:lang w:eastAsia="zh-CN"/>
        </w:rPr>
      </w:pPr>
      <w:r>
        <w:rPr>
          <w:rFonts w:ascii="仿宋" w:hAnsi="仿宋" w:eastAsia="仿宋" w:cs="仿宋"/>
          <w:color w:val="auto"/>
          <w:sz w:val="24"/>
          <w:highlight w:val="none"/>
          <w:lang w:eastAsia="zh-CN"/>
        </w:rPr>
        <w:t>（3）不与采购人签订合同的，或者在签订合同时向采购人提出附加条件或者更改合同实质性内容的。</w:t>
      </w:r>
    </w:p>
    <w:p w14:paraId="75C71AB9">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（二）本项目的采购人其他资格要求、项目需求、评分标准，均由采购人提出。相关的询问、质疑，请直接向采购人提出，并由采购人负责答复。</w:t>
      </w:r>
    </w:p>
    <w:p w14:paraId="6898D9C0">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三）友情提醒：资格审查及技术标评审结束后进入最后报价环节，最后报价将作为评审价。所有的响应供应商须在现场填写并提交最后报价，未在规定时间内提交最后报价的，经磋商委员会核实后，报价标不予得分。</w:t>
      </w:r>
    </w:p>
    <w:p w14:paraId="7502F01E">
      <w:pPr>
        <w:pBdr>
          <w:top w:val="none" w:color="000000" w:sz="0" w:space="0"/>
          <w:left w:val="none" w:color="000000" w:sz="0" w:space="0"/>
          <w:bottom w:val="none" w:color="000000" w:sz="0" w:space="0"/>
          <w:right w:val="none" w:color="000000" w:sz="0" w:space="0"/>
        </w:pBdr>
        <w:spacing w:after="0" w:line="479" w:lineRule="atLeast"/>
        <w:ind w:firstLine="482"/>
        <w:jc w:val="both"/>
        <w:rPr>
          <w:color w:val="auto"/>
          <w:highlight w:val="none"/>
          <w:lang w:eastAsia="zh-CN"/>
        </w:rPr>
      </w:pPr>
      <w:r>
        <w:rPr>
          <w:rFonts w:ascii="仿宋" w:hAnsi="仿宋" w:eastAsia="仿宋" w:cs="仿宋"/>
          <w:b/>
          <w:color w:val="auto"/>
          <w:sz w:val="24"/>
          <w:highlight w:val="none"/>
          <w:lang w:eastAsia="zh-CN"/>
        </w:rPr>
        <w:t>八、特别提醒：</w:t>
      </w:r>
    </w:p>
    <w:p w14:paraId="6A3BF8F8">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1、到现场磋商时，请考虑路途拥堵、停车困难等情况，适当提前到达。</w:t>
      </w:r>
    </w:p>
    <w:p w14:paraId="17975F58">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2、有关本次磋商的事项若存在澄清或修改，敬请及时关注“</w:t>
      </w:r>
      <w:r>
        <w:rPr>
          <w:rFonts w:ascii="仿宋" w:hAnsi="仿宋" w:eastAsia="仿宋" w:cs="仿宋"/>
          <w:color w:val="auto"/>
          <w:sz w:val="24"/>
          <w:highlight w:val="none"/>
          <w:u w:val="single"/>
          <w:lang w:eastAsia="zh-CN"/>
        </w:rPr>
        <w:t>江苏省政府采购网</w:t>
      </w:r>
      <w:r>
        <w:rPr>
          <w:rFonts w:ascii="仿宋" w:hAnsi="仿宋" w:eastAsia="仿宋" w:cs="仿宋"/>
          <w:color w:val="auto"/>
          <w:sz w:val="24"/>
          <w:highlight w:val="none"/>
          <w:lang w:eastAsia="zh-CN"/>
        </w:rPr>
        <w:t>”发布的信息更正公告。</w:t>
      </w:r>
    </w:p>
    <w:p w14:paraId="0E74FC78">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3、请参与现场交易活动的人员，携带有效身份证件，接受实名登记，自觉服从和配合现场工作人员调度安排，并在交易活动现场注意与他人保持安全距离、减少逗留时间。</w:t>
      </w:r>
    </w:p>
    <w:p w14:paraId="577AAA3E">
      <w:pPr>
        <w:pBdr>
          <w:top w:val="none" w:color="000000" w:sz="0" w:space="0"/>
          <w:left w:val="none" w:color="000000" w:sz="0" w:space="0"/>
          <w:bottom w:val="none" w:color="000000" w:sz="0" w:space="0"/>
          <w:right w:val="none" w:color="000000" w:sz="0" w:space="0"/>
        </w:pBdr>
        <w:spacing w:after="0" w:line="479" w:lineRule="atLeast"/>
        <w:ind w:firstLine="482"/>
        <w:jc w:val="both"/>
        <w:rPr>
          <w:color w:val="auto"/>
          <w:highlight w:val="none"/>
          <w:lang w:eastAsia="zh-CN"/>
        </w:rPr>
      </w:pPr>
      <w:r>
        <w:rPr>
          <w:rFonts w:ascii="仿宋" w:hAnsi="仿宋" w:eastAsia="仿宋" w:cs="仿宋"/>
          <w:b/>
          <w:color w:val="auto"/>
          <w:sz w:val="24"/>
          <w:highlight w:val="none"/>
          <w:lang w:eastAsia="zh-CN"/>
        </w:rPr>
        <w:t>九、磋商评审流程简介</w:t>
      </w:r>
    </w:p>
    <w:p w14:paraId="5DB06A22">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磋商小组审查响应供应商资格，符合资格的供应商接受磋商小组的各轮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磋商小组采用综合评分法对提交最后报价的供应商的响应文件和最后报价进行综合评分，响应文件满足磋商文件全部实质性要求且按评审因素的量化指标评审得分最高者，为成交供应商。</w:t>
      </w:r>
    </w:p>
    <w:p w14:paraId="7431DD33">
      <w:pPr>
        <w:pBdr>
          <w:top w:val="none" w:color="000000" w:sz="0" w:space="0"/>
          <w:left w:val="none" w:color="000000" w:sz="0" w:space="0"/>
          <w:bottom w:val="none" w:color="000000" w:sz="0" w:space="0"/>
          <w:right w:val="none" w:color="000000" w:sz="0" w:space="0"/>
        </w:pBdr>
        <w:spacing w:after="0" w:line="479" w:lineRule="atLeast"/>
        <w:ind w:firstLine="482"/>
        <w:jc w:val="both"/>
        <w:rPr>
          <w:color w:val="auto"/>
          <w:highlight w:val="none"/>
          <w:lang w:eastAsia="zh-CN"/>
        </w:rPr>
      </w:pPr>
      <w:r>
        <w:rPr>
          <w:rFonts w:ascii="仿宋" w:hAnsi="仿宋" w:eastAsia="仿宋" w:cs="仿宋"/>
          <w:b/>
          <w:color w:val="auto"/>
          <w:sz w:val="24"/>
          <w:highlight w:val="none"/>
          <w:lang w:eastAsia="zh-CN"/>
        </w:rPr>
        <w:t>十、监督管理</w:t>
      </w:r>
    </w:p>
    <w:p w14:paraId="023CA076">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本级财政部门对全区政府采购公共资源交易活动进行监督管理。</w:t>
      </w:r>
    </w:p>
    <w:p w14:paraId="56D4CD5D">
      <w:pPr>
        <w:pBdr>
          <w:top w:val="none" w:color="000000" w:sz="0" w:space="0"/>
          <w:left w:val="none" w:color="000000" w:sz="0" w:space="0"/>
          <w:bottom w:val="none" w:color="000000" w:sz="0" w:space="0"/>
          <w:right w:val="none" w:color="000000" w:sz="0" w:space="0"/>
        </w:pBdr>
        <w:spacing w:after="0" w:line="479" w:lineRule="atLeast"/>
        <w:ind w:firstLine="482"/>
        <w:jc w:val="both"/>
        <w:rPr>
          <w:color w:val="auto"/>
          <w:highlight w:val="none"/>
          <w:lang w:eastAsia="zh-CN"/>
        </w:rPr>
      </w:pPr>
      <w:r>
        <w:rPr>
          <w:rFonts w:ascii="仿宋" w:hAnsi="仿宋" w:eastAsia="仿宋" w:cs="仿宋"/>
          <w:b/>
          <w:color w:val="auto"/>
          <w:sz w:val="24"/>
          <w:highlight w:val="none"/>
          <w:lang w:eastAsia="zh-CN"/>
        </w:rPr>
        <w:t>十一、凡对本次采购提出询问，请按以下方式联系。</w:t>
      </w:r>
    </w:p>
    <w:p w14:paraId="62ABF611">
      <w:pPr>
        <w:pBdr>
          <w:top w:val="none" w:color="000000" w:sz="0" w:space="0"/>
          <w:left w:val="none" w:color="000000" w:sz="0" w:space="0"/>
          <w:bottom w:val="none" w:color="000000" w:sz="0" w:space="0"/>
          <w:right w:val="none" w:color="000000" w:sz="0" w:space="0"/>
        </w:pBdr>
        <w:spacing w:after="0" w:line="479" w:lineRule="atLeast"/>
        <w:ind w:firstLine="720"/>
        <w:rPr>
          <w:color w:val="auto"/>
          <w:highlight w:val="none"/>
          <w:lang w:eastAsia="zh-CN"/>
        </w:rPr>
      </w:pPr>
      <w:r>
        <w:rPr>
          <w:rFonts w:ascii="仿宋" w:hAnsi="仿宋" w:eastAsia="仿宋" w:cs="仿宋"/>
          <w:color w:val="auto"/>
          <w:sz w:val="24"/>
          <w:highlight w:val="none"/>
          <w:lang w:eastAsia="zh-CN"/>
        </w:rPr>
        <w:t>1、采购人信息</w:t>
      </w:r>
    </w:p>
    <w:p w14:paraId="37961D2B">
      <w:pPr>
        <w:pBdr>
          <w:top w:val="none" w:color="000000" w:sz="0" w:space="0"/>
          <w:left w:val="none" w:color="000000" w:sz="0" w:space="0"/>
          <w:bottom w:val="none" w:color="000000" w:sz="0" w:space="0"/>
          <w:right w:val="none" w:color="000000" w:sz="0" w:space="0"/>
        </w:pBdr>
        <w:spacing w:after="0" w:line="479" w:lineRule="atLeast"/>
        <w:ind w:firstLine="72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称：南通市中兴街道办事处</w:t>
      </w:r>
    </w:p>
    <w:p w14:paraId="76D83C2F">
      <w:pPr>
        <w:pBdr>
          <w:top w:val="none" w:color="000000" w:sz="0" w:space="0"/>
          <w:left w:val="none" w:color="000000" w:sz="0" w:space="0"/>
          <w:bottom w:val="none" w:color="000000" w:sz="0" w:space="0"/>
          <w:right w:val="none" w:color="000000" w:sz="0" w:space="0"/>
        </w:pBdr>
        <w:spacing w:after="0" w:line="479" w:lineRule="atLeast"/>
        <w:ind w:firstLine="7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联 系 方 式：顾先生   联系方式：13218298003 </w:t>
      </w:r>
    </w:p>
    <w:p w14:paraId="3F7ECAB7">
      <w:pPr>
        <w:pBdr>
          <w:top w:val="none" w:color="000000" w:sz="0" w:space="0"/>
          <w:left w:val="none" w:color="000000" w:sz="0" w:space="0"/>
          <w:bottom w:val="none" w:color="000000" w:sz="0" w:space="0"/>
          <w:right w:val="none" w:color="000000" w:sz="0" w:space="0"/>
        </w:pBdr>
        <w:spacing w:after="0" w:line="479" w:lineRule="atLeast"/>
        <w:ind w:firstLine="720"/>
        <w:rPr>
          <w:color w:val="auto"/>
          <w:highlight w:val="none"/>
          <w:lang w:eastAsia="zh-CN"/>
        </w:rPr>
      </w:pPr>
      <w:r>
        <w:rPr>
          <w:rFonts w:ascii="仿宋" w:hAnsi="仿宋" w:eastAsia="仿宋" w:cs="仿宋"/>
          <w:color w:val="auto"/>
          <w:sz w:val="24"/>
          <w:highlight w:val="none"/>
          <w:lang w:eastAsia="zh-CN"/>
        </w:rPr>
        <w:t>2、采购代理机构信息</w:t>
      </w:r>
    </w:p>
    <w:p w14:paraId="31F60C2B">
      <w:pPr>
        <w:pBdr>
          <w:top w:val="none" w:color="000000" w:sz="0" w:space="0"/>
          <w:left w:val="none" w:color="000000" w:sz="0" w:space="0"/>
          <w:bottom w:val="none" w:color="000000" w:sz="0" w:space="0"/>
          <w:right w:val="none" w:color="000000" w:sz="0" w:space="0"/>
        </w:pBdr>
        <w:spacing w:after="0" w:line="479" w:lineRule="atLeast"/>
        <w:ind w:firstLine="720"/>
        <w:rPr>
          <w:color w:val="auto"/>
          <w:highlight w:val="none"/>
          <w:lang w:eastAsia="zh-CN"/>
        </w:rPr>
      </w:pPr>
      <w:r>
        <w:rPr>
          <w:rFonts w:ascii="仿宋" w:hAnsi="仿宋" w:eastAsia="仿宋" w:cs="仿宋"/>
          <w:color w:val="auto"/>
          <w:sz w:val="24"/>
          <w:highlight w:val="none"/>
          <w:lang w:eastAsia="zh-CN"/>
        </w:rPr>
        <w:t>名    称：</w:t>
      </w:r>
      <w:r>
        <w:rPr>
          <w:rFonts w:hint="eastAsia" w:ascii="仿宋" w:hAnsi="仿宋" w:eastAsia="仿宋" w:cs="仿宋"/>
          <w:color w:val="auto"/>
          <w:sz w:val="24"/>
          <w:highlight w:val="none"/>
          <w:lang w:eastAsia="zh-CN"/>
        </w:rPr>
        <w:t>中诚智信工程咨询集团股份有限公司</w:t>
      </w:r>
      <w:r>
        <w:rPr>
          <w:rFonts w:ascii="仿宋" w:hAnsi="仿宋" w:eastAsia="仿宋" w:cs="仿宋"/>
          <w:color w:val="auto"/>
          <w:sz w:val="24"/>
          <w:highlight w:val="none"/>
          <w:lang w:eastAsia="zh-CN"/>
        </w:rPr>
        <w:t xml:space="preserve"> </w:t>
      </w:r>
    </w:p>
    <w:p w14:paraId="24585697">
      <w:pPr>
        <w:pBdr>
          <w:top w:val="none" w:color="000000" w:sz="0" w:space="0"/>
          <w:left w:val="none" w:color="000000" w:sz="0" w:space="0"/>
          <w:bottom w:val="none" w:color="000000" w:sz="0" w:space="0"/>
          <w:right w:val="none" w:color="000000" w:sz="0" w:space="0"/>
        </w:pBdr>
        <w:spacing w:after="0" w:line="479" w:lineRule="atLeast"/>
        <w:ind w:firstLine="720"/>
        <w:rPr>
          <w:color w:val="auto"/>
          <w:highlight w:val="none"/>
          <w:lang w:eastAsia="zh-CN"/>
        </w:rPr>
      </w:pPr>
      <w:r>
        <w:rPr>
          <w:rFonts w:ascii="仿宋" w:hAnsi="仿宋" w:eastAsia="仿宋" w:cs="仿宋"/>
          <w:color w:val="auto"/>
          <w:sz w:val="24"/>
          <w:highlight w:val="none"/>
          <w:lang w:eastAsia="zh-CN"/>
        </w:rPr>
        <w:t>地    址：南通市崇川区世纪大道18号恒隆国际</w:t>
      </w:r>
      <w:r>
        <w:rPr>
          <w:rFonts w:hint="eastAsia" w:ascii="仿宋" w:hAnsi="仿宋" w:eastAsia="仿宋" w:cs="仿宋"/>
          <w:color w:val="auto"/>
          <w:sz w:val="24"/>
          <w:highlight w:val="none"/>
          <w:lang w:eastAsia="zh-CN"/>
        </w:rPr>
        <w:t>B</w:t>
      </w:r>
      <w:r>
        <w:rPr>
          <w:rFonts w:ascii="仿宋" w:hAnsi="仿宋" w:eastAsia="仿宋" w:cs="仿宋"/>
          <w:color w:val="auto"/>
          <w:sz w:val="24"/>
          <w:highlight w:val="none"/>
          <w:lang w:eastAsia="zh-CN"/>
        </w:rPr>
        <w:t>座801室</w:t>
      </w:r>
    </w:p>
    <w:p w14:paraId="7374C72E">
      <w:pPr>
        <w:pBdr>
          <w:top w:val="none" w:color="000000" w:sz="0" w:space="0"/>
          <w:left w:val="none" w:color="000000" w:sz="0" w:space="0"/>
          <w:bottom w:val="none" w:color="000000" w:sz="0" w:space="0"/>
          <w:right w:val="none" w:color="000000" w:sz="0" w:space="0"/>
        </w:pBdr>
        <w:spacing w:after="0" w:line="479" w:lineRule="atLeast"/>
        <w:ind w:firstLine="720"/>
        <w:rPr>
          <w:rFonts w:hint="eastAsia" w:ascii="仿宋" w:hAnsi="仿宋" w:eastAsia="仿宋" w:cs="仿宋"/>
          <w:color w:val="auto"/>
          <w:sz w:val="24"/>
          <w:highlight w:val="none"/>
          <w:lang w:eastAsia="zh-CN"/>
        </w:rPr>
      </w:pPr>
      <w:r>
        <w:rPr>
          <w:rFonts w:ascii="仿宋" w:hAnsi="仿宋" w:eastAsia="仿宋" w:cs="仿宋"/>
          <w:color w:val="auto"/>
          <w:sz w:val="24"/>
          <w:highlight w:val="none"/>
          <w:lang w:eastAsia="zh-CN"/>
        </w:rPr>
        <w:t>联系方式：</w:t>
      </w:r>
      <w:r>
        <w:rPr>
          <w:rFonts w:hint="eastAsia" w:ascii="仿宋" w:hAnsi="仿宋" w:eastAsia="仿宋" w:cs="仿宋"/>
          <w:color w:val="auto"/>
          <w:sz w:val="24"/>
          <w:highlight w:val="none"/>
          <w:lang w:eastAsia="zh-CN"/>
        </w:rPr>
        <w:t>18912260987</w:t>
      </w:r>
    </w:p>
    <w:p w14:paraId="0DF2C3C2">
      <w:pPr>
        <w:pBdr>
          <w:top w:val="none" w:color="000000" w:sz="0" w:space="0"/>
          <w:left w:val="none" w:color="000000" w:sz="0" w:space="0"/>
          <w:bottom w:val="none" w:color="000000" w:sz="0" w:space="0"/>
          <w:right w:val="none" w:color="000000" w:sz="0" w:space="0"/>
        </w:pBdr>
        <w:spacing w:after="0" w:line="479" w:lineRule="atLeast"/>
        <w:ind w:firstLine="720"/>
        <w:rPr>
          <w:color w:val="auto"/>
          <w:highlight w:val="none"/>
          <w:lang w:eastAsia="zh-CN"/>
        </w:rPr>
      </w:pPr>
      <w:r>
        <w:rPr>
          <w:rFonts w:ascii="仿宋" w:hAnsi="仿宋" w:eastAsia="仿宋" w:cs="仿宋"/>
          <w:color w:val="auto"/>
          <w:sz w:val="24"/>
          <w:highlight w:val="none"/>
          <w:lang w:eastAsia="zh-CN"/>
        </w:rPr>
        <w:t>3、项目联系方式</w:t>
      </w:r>
    </w:p>
    <w:p w14:paraId="4829B3A6">
      <w:pPr>
        <w:pBdr>
          <w:top w:val="none" w:color="000000" w:sz="0" w:space="0"/>
          <w:left w:val="none" w:color="000000" w:sz="0" w:space="0"/>
          <w:bottom w:val="none" w:color="000000" w:sz="0" w:space="0"/>
          <w:right w:val="none" w:color="000000" w:sz="0" w:space="0"/>
        </w:pBdr>
        <w:spacing w:after="0" w:line="479" w:lineRule="atLeast"/>
        <w:ind w:firstLine="720"/>
        <w:rPr>
          <w:color w:val="auto"/>
          <w:highlight w:val="none"/>
          <w:lang w:eastAsia="zh-CN"/>
        </w:rPr>
      </w:pPr>
      <w:r>
        <w:rPr>
          <w:rFonts w:ascii="仿宋" w:hAnsi="仿宋" w:eastAsia="仿宋" w:cs="仿宋"/>
          <w:color w:val="auto"/>
          <w:sz w:val="24"/>
          <w:highlight w:val="none"/>
          <w:lang w:eastAsia="zh-CN"/>
        </w:rPr>
        <w:t>项目联系人：</w:t>
      </w:r>
      <w:r>
        <w:rPr>
          <w:rFonts w:hint="eastAsia" w:ascii="仿宋" w:hAnsi="仿宋" w:eastAsia="仿宋" w:cs="仿宋"/>
          <w:color w:val="auto"/>
          <w:sz w:val="24"/>
          <w:highlight w:val="none"/>
          <w:lang w:eastAsia="zh-CN"/>
        </w:rPr>
        <w:t>顾</w:t>
      </w:r>
      <w:r>
        <w:rPr>
          <w:rFonts w:ascii="仿宋" w:hAnsi="仿宋" w:eastAsia="仿宋" w:cs="仿宋"/>
          <w:color w:val="auto"/>
          <w:sz w:val="24"/>
          <w:highlight w:val="none"/>
          <w:lang w:eastAsia="zh-CN"/>
        </w:rPr>
        <w:t xml:space="preserve">女士       </w:t>
      </w:r>
    </w:p>
    <w:p w14:paraId="16C9B372">
      <w:pPr>
        <w:pBdr>
          <w:top w:val="none" w:color="000000" w:sz="0" w:space="0"/>
          <w:left w:val="none" w:color="000000" w:sz="0" w:space="0"/>
          <w:bottom w:val="none" w:color="000000" w:sz="0" w:space="0"/>
          <w:right w:val="none" w:color="000000" w:sz="0" w:space="0"/>
        </w:pBdr>
        <w:spacing w:after="0" w:line="479" w:lineRule="atLeast"/>
        <w:ind w:firstLine="720"/>
        <w:rPr>
          <w:color w:val="auto"/>
          <w:highlight w:val="none"/>
          <w:lang w:eastAsia="zh-CN"/>
        </w:rPr>
      </w:pPr>
      <w:r>
        <w:rPr>
          <w:rFonts w:ascii="仿宋" w:hAnsi="仿宋" w:eastAsia="仿宋" w:cs="仿宋"/>
          <w:color w:val="auto"/>
          <w:sz w:val="24"/>
          <w:highlight w:val="none"/>
          <w:lang w:eastAsia="zh-CN"/>
        </w:rPr>
        <w:t>地    址：南通市崇川区世纪大道18号恒隆国际</w:t>
      </w:r>
      <w:r>
        <w:rPr>
          <w:rFonts w:hint="eastAsia" w:ascii="仿宋" w:hAnsi="仿宋" w:eastAsia="仿宋" w:cs="仿宋"/>
          <w:color w:val="auto"/>
          <w:sz w:val="24"/>
          <w:highlight w:val="none"/>
          <w:lang w:eastAsia="zh-CN"/>
        </w:rPr>
        <w:t>B</w:t>
      </w:r>
      <w:r>
        <w:rPr>
          <w:rFonts w:ascii="仿宋" w:hAnsi="仿宋" w:eastAsia="仿宋" w:cs="仿宋"/>
          <w:color w:val="auto"/>
          <w:sz w:val="24"/>
          <w:highlight w:val="none"/>
          <w:lang w:eastAsia="zh-CN"/>
        </w:rPr>
        <w:t xml:space="preserve">座801室 </w:t>
      </w:r>
    </w:p>
    <w:p w14:paraId="4CCC2EF0">
      <w:pPr>
        <w:pBdr>
          <w:top w:val="none" w:color="000000" w:sz="0" w:space="0"/>
          <w:left w:val="none" w:color="000000" w:sz="0" w:space="0"/>
          <w:bottom w:val="none" w:color="000000" w:sz="0" w:space="0"/>
          <w:right w:val="none" w:color="000000" w:sz="0" w:space="0"/>
        </w:pBdr>
        <w:spacing w:after="0" w:line="479" w:lineRule="atLeast"/>
        <w:ind w:firstLine="720"/>
        <w:rPr>
          <w:rFonts w:hint="eastAsia" w:ascii="仿宋" w:hAnsi="仿宋" w:eastAsia="仿宋" w:cs="仿宋"/>
          <w:color w:val="auto"/>
          <w:sz w:val="24"/>
          <w:highlight w:val="none"/>
          <w:lang w:eastAsia="zh-CN"/>
        </w:rPr>
      </w:pPr>
      <w:r>
        <w:rPr>
          <w:rFonts w:ascii="仿宋" w:hAnsi="仿宋" w:eastAsia="仿宋" w:cs="仿宋"/>
          <w:color w:val="auto"/>
          <w:sz w:val="24"/>
          <w:highlight w:val="none"/>
          <w:lang w:eastAsia="zh-CN"/>
        </w:rPr>
        <w:t>联系方式：</w:t>
      </w:r>
      <w:r>
        <w:rPr>
          <w:rFonts w:hint="eastAsia" w:ascii="仿宋" w:hAnsi="仿宋" w:eastAsia="仿宋" w:cs="仿宋"/>
          <w:color w:val="auto"/>
          <w:sz w:val="24"/>
          <w:highlight w:val="none"/>
          <w:lang w:eastAsia="zh-CN"/>
        </w:rPr>
        <w:t>18912260987</w:t>
      </w:r>
    </w:p>
    <w:p w14:paraId="5E030F0C">
      <w:pPr>
        <w:pBdr>
          <w:top w:val="none" w:color="000000" w:sz="0" w:space="0"/>
          <w:left w:val="none" w:color="000000" w:sz="0" w:space="0"/>
          <w:bottom w:val="none" w:color="000000" w:sz="0" w:space="0"/>
          <w:right w:val="none" w:color="000000" w:sz="0" w:space="0"/>
        </w:pBdr>
        <w:spacing w:after="0"/>
        <w:rPr>
          <w:color w:val="auto"/>
          <w:highlight w:val="none"/>
          <w:lang w:eastAsia="zh-CN"/>
        </w:rPr>
      </w:pPr>
      <w:r>
        <w:rPr>
          <w:color w:val="auto"/>
          <w:highlight w:val="none"/>
          <w:lang w:eastAsia="zh-CN"/>
        </w:rPr>
        <w:br w:type="page" w:clear="all"/>
      </w:r>
    </w:p>
    <w:p w14:paraId="5257ADA8">
      <w:pPr>
        <w:pBdr>
          <w:top w:val="none" w:color="000000" w:sz="0" w:space="0"/>
          <w:left w:val="none" w:color="000000" w:sz="0" w:space="0"/>
          <w:bottom w:val="none" w:color="000000" w:sz="0" w:space="0"/>
          <w:right w:val="none" w:color="000000" w:sz="0" w:space="0"/>
        </w:pBdr>
        <w:spacing w:after="0"/>
        <w:rPr>
          <w:color w:val="auto"/>
          <w:highlight w:val="none"/>
          <w:lang w:eastAsia="zh-CN"/>
        </w:rPr>
      </w:pPr>
      <w:r>
        <w:rPr>
          <w:rFonts w:ascii="宋体" w:hAnsi="宋体" w:eastAsia="宋体" w:cs="宋体"/>
          <w:b/>
          <w:color w:val="auto"/>
          <w:sz w:val="32"/>
          <w:highlight w:val="none"/>
          <w:lang w:eastAsia="zh-CN"/>
        </w:rPr>
        <w:t xml:space="preserve"> </w:t>
      </w:r>
    </w:p>
    <w:p w14:paraId="72CBDA6A">
      <w:pPr>
        <w:pBdr>
          <w:top w:val="none" w:color="000000" w:sz="0" w:space="0"/>
          <w:left w:val="none" w:color="000000" w:sz="0" w:space="0"/>
          <w:bottom w:val="none" w:color="000000" w:sz="0" w:space="0"/>
          <w:right w:val="none" w:color="000000" w:sz="0" w:space="0"/>
        </w:pBdr>
        <w:spacing w:after="0"/>
        <w:jc w:val="center"/>
        <w:rPr>
          <w:color w:val="auto"/>
          <w:highlight w:val="none"/>
          <w:lang w:eastAsia="zh-CN"/>
        </w:rPr>
      </w:pPr>
      <w:r>
        <w:rPr>
          <w:rFonts w:ascii="宋体" w:hAnsi="宋体" w:eastAsia="宋体" w:cs="宋体"/>
          <w:b/>
          <w:color w:val="auto"/>
          <w:sz w:val="36"/>
          <w:highlight w:val="none"/>
          <w:lang w:eastAsia="zh-CN"/>
        </w:rPr>
        <w:t>第二章  磋商须知</w:t>
      </w:r>
    </w:p>
    <w:p w14:paraId="2E91792B">
      <w:pPr>
        <w:pBdr>
          <w:top w:val="none" w:color="000000" w:sz="0" w:space="0"/>
          <w:left w:val="none" w:color="000000" w:sz="0" w:space="0"/>
          <w:bottom w:val="none" w:color="000000" w:sz="0" w:space="0"/>
          <w:right w:val="none" w:color="000000" w:sz="0" w:space="0"/>
        </w:pBdr>
        <w:spacing w:after="0" w:line="479" w:lineRule="atLeast"/>
        <w:jc w:val="center"/>
        <w:rPr>
          <w:color w:val="auto"/>
          <w:highlight w:val="none"/>
          <w:lang w:eastAsia="zh-CN"/>
        </w:rPr>
      </w:pPr>
      <w:r>
        <w:rPr>
          <w:rFonts w:ascii="仿宋" w:hAnsi="仿宋" w:eastAsia="仿宋" w:cs="仿宋"/>
          <w:color w:val="auto"/>
          <w:sz w:val="24"/>
          <w:highlight w:val="none"/>
          <w:lang w:eastAsia="zh-CN"/>
        </w:rPr>
        <w:t>（参加竞争性磋商的供应商以下简称“磋商供应商”）</w:t>
      </w:r>
    </w:p>
    <w:p w14:paraId="02D9F836">
      <w:pPr>
        <w:pBdr>
          <w:top w:val="none" w:color="000000" w:sz="0" w:space="0"/>
          <w:left w:val="none" w:color="000000" w:sz="0" w:space="0"/>
          <w:bottom w:val="none" w:color="000000" w:sz="0" w:space="0"/>
          <w:right w:val="none" w:color="000000" w:sz="0" w:space="0"/>
        </w:pBdr>
        <w:spacing w:after="0" w:line="479" w:lineRule="atLeast"/>
        <w:ind w:firstLine="482"/>
        <w:rPr>
          <w:color w:val="auto"/>
          <w:highlight w:val="none"/>
          <w:lang w:eastAsia="zh-CN"/>
        </w:rPr>
      </w:pPr>
      <w:r>
        <w:rPr>
          <w:rFonts w:ascii="仿宋" w:hAnsi="仿宋" w:eastAsia="仿宋" w:cs="仿宋"/>
          <w:b/>
          <w:color w:val="auto"/>
          <w:sz w:val="24"/>
          <w:highlight w:val="none"/>
          <w:lang w:eastAsia="zh-CN"/>
        </w:rPr>
        <w:t>一、总则</w:t>
      </w:r>
    </w:p>
    <w:p w14:paraId="48EDD21C">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1、适用范围</w:t>
      </w:r>
    </w:p>
    <w:p w14:paraId="3F388629">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1.1 本竞争性磋商文件（以下简称磋商文件）仅适用此项目。</w:t>
      </w:r>
    </w:p>
    <w:p w14:paraId="3D26F2A7">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1.2 本项目按照项目分包，分别确定各分包成交供应商。</w:t>
      </w:r>
    </w:p>
    <w:p w14:paraId="5EC34572">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2、项目采购方式</w:t>
      </w:r>
    </w:p>
    <w:p w14:paraId="67F5C14A">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本次采购采取竞争性磋商的方式。</w:t>
      </w:r>
    </w:p>
    <w:p w14:paraId="60177AFA">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3、合格的磋商供应商</w:t>
      </w:r>
    </w:p>
    <w:p w14:paraId="78093500">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3.1满足本磋商文件“竞争性磋商公告”中“申请人的资格要求”的规定。</w:t>
      </w:r>
    </w:p>
    <w:p w14:paraId="5830F042">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3.2 满足本磋商文件实质性要求和条件的规定。</w:t>
      </w:r>
    </w:p>
    <w:p w14:paraId="1A2AFBAC">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4、参加磋商费用</w:t>
      </w:r>
    </w:p>
    <w:p w14:paraId="2475DE8E">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4.1</w:t>
      </w:r>
      <w:r>
        <w:rPr>
          <w:rFonts w:ascii="仿宋" w:hAnsi="仿宋" w:eastAsia="仿宋" w:cs="仿宋"/>
          <w:b/>
          <w:color w:val="auto"/>
          <w:sz w:val="24"/>
          <w:highlight w:val="none"/>
          <w:lang w:eastAsia="zh-CN"/>
        </w:rPr>
        <w:t>供应商应承担其编制磋商文件以及递交磋商文件所涉及的一切费用，无论投标结果如何，采购人对上述费用不负任何责任。</w:t>
      </w:r>
    </w:p>
    <w:p w14:paraId="62C5F72C">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5、磋商文件的约束力</w:t>
      </w:r>
    </w:p>
    <w:p w14:paraId="025978F7">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供应商一旦下载了本磋商文件并决定参加磋商，即被认为接受了本磋商文件的规定和约束，并且视为自竞争性磋商公告期限届满之日起已经知道或应当知道自身权益是否受到了损害。</w:t>
      </w:r>
    </w:p>
    <w:p w14:paraId="5F0711A5">
      <w:pPr>
        <w:pBdr>
          <w:top w:val="none" w:color="000000" w:sz="0" w:space="0"/>
          <w:left w:val="none" w:color="000000" w:sz="0" w:space="0"/>
          <w:bottom w:val="none" w:color="000000" w:sz="0" w:space="0"/>
          <w:right w:val="none" w:color="000000" w:sz="0" w:space="0"/>
        </w:pBdr>
        <w:spacing w:after="0" w:line="479" w:lineRule="atLeast"/>
        <w:ind w:firstLine="600"/>
        <w:rPr>
          <w:color w:val="auto"/>
          <w:highlight w:val="none"/>
          <w:lang w:eastAsia="zh-CN"/>
        </w:rPr>
      </w:pPr>
      <w:r>
        <w:rPr>
          <w:rFonts w:ascii="仿宋" w:hAnsi="仿宋" w:eastAsia="仿宋" w:cs="仿宋"/>
          <w:color w:val="auto"/>
          <w:sz w:val="24"/>
          <w:highlight w:val="none"/>
          <w:lang w:eastAsia="zh-CN"/>
        </w:rPr>
        <w:t>6、磋商文件的询问及修改</w:t>
      </w:r>
    </w:p>
    <w:p w14:paraId="3C60FE47">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rPr>
        <w:t>6.1任何要求对磋商文件进行询问的供应商，均应在提交首次响应文件截止时间五日</w:t>
      </w:r>
      <w:r>
        <w:rPr>
          <w:rFonts w:hint="eastAsia" w:ascii="仿宋" w:hAnsi="仿宋" w:eastAsia="仿宋" w:cs="仿宋"/>
          <w:color w:val="auto"/>
          <w:sz w:val="24"/>
          <w:highlight w:val="none"/>
          <w:lang w:val="en-US" w:eastAsia="zh-CN"/>
        </w:rPr>
        <w:t>前</w:t>
      </w:r>
      <w:r>
        <w:rPr>
          <w:rFonts w:ascii="仿宋" w:hAnsi="仿宋" w:eastAsia="仿宋" w:cs="仿宋"/>
          <w:color w:val="auto"/>
          <w:sz w:val="24"/>
          <w:highlight w:val="none"/>
        </w:rPr>
        <w:t>以电子文件形式（不具单位名称）发送至</w:t>
      </w:r>
      <w:r>
        <w:rPr>
          <w:rFonts w:hint="eastAsia" w:ascii="仿宋" w:hAnsi="仿宋" w:eastAsia="仿宋" w:cs="仿宋"/>
          <w:b/>
          <w:color w:val="auto"/>
          <w:sz w:val="24"/>
          <w:highlight w:val="none"/>
          <w:lang w:eastAsia="zh-CN"/>
        </w:rPr>
        <w:t>525360572@qq.com</w:t>
      </w:r>
      <w:r>
        <w:rPr>
          <w:rFonts w:ascii="仿宋" w:hAnsi="仿宋" w:eastAsia="仿宋" w:cs="仿宋"/>
          <w:color w:val="auto"/>
          <w:sz w:val="24"/>
          <w:highlight w:val="none"/>
        </w:rPr>
        <w:t>邮箱向采购人提出（邮件发送后请联系</w:t>
      </w:r>
      <w:r>
        <w:rPr>
          <w:rFonts w:hint="eastAsia" w:ascii="仿宋" w:hAnsi="仿宋" w:eastAsia="仿宋" w:cs="仿宋"/>
          <w:color w:val="auto"/>
          <w:sz w:val="24"/>
          <w:highlight w:val="none"/>
          <w:lang w:eastAsia="zh-CN"/>
        </w:rPr>
        <w:t>18912260987</w:t>
      </w:r>
      <w:r>
        <w:rPr>
          <w:rFonts w:ascii="仿宋" w:hAnsi="仿宋" w:eastAsia="仿宋" w:cs="仿宋"/>
          <w:color w:val="auto"/>
          <w:sz w:val="24"/>
          <w:highlight w:val="none"/>
        </w:rPr>
        <w:t>确认）。</w:t>
      </w:r>
      <w:r>
        <w:rPr>
          <w:rFonts w:ascii="仿宋" w:hAnsi="仿宋" w:eastAsia="仿宋" w:cs="仿宋"/>
          <w:color w:val="auto"/>
          <w:sz w:val="24"/>
          <w:highlight w:val="none"/>
          <w:lang w:eastAsia="zh-CN"/>
        </w:rPr>
        <w:t>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五日前，在江苏省政府采购网上发布书面更正公告形式通知所有获取磋商文件的供应商。不足五日的，采购人应当顺延提交首次响应文件截止时间。</w:t>
      </w:r>
    </w:p>
    <w:p w14:paraId="666E04CB">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6.2采购人可以视采购项目的具体情况，组织供应商进行现场考察或召开磋商前答疑会，但不单独或分别组织只有一个供应商参加的现场考察和答疑会。</w:t>
      </w:r>
    </w:p>
    <w:p w14:paraId="58A359BB">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7、磋商文件的解释</w:t>
      </w:r>
    </w:p>
    <w:p w14:paraId="3DC2E2E2">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7.1 本磋商文件由采购人负责解释。</w:t>
      </w:r>
    </w:p>
    <w:p w14:paraId="071690BC">
      <w:pPr>
        <w:pBdr>
          <w:top w:val="none" w:color="000000" w:sz="0" w:space="0"/>
          <w:left w:val="none" w:color="000000" w:sz="0" w:space="0"/>
          <w:bottom w:val="none" w:color="000000" w:sz="0" w:space="0"/>
          <w:right w:val="none" w:color="000000" w:sz="0" w:space="0"/>
        </w:pBdr>
        <w:spacing w:after="0" w:line="479" w:lineRule="atLeast"/>
        <w:ind w:firstLine="482"/>
        <w:rPr>
          <w:color w:val="auto"/>
          <w:highlight w:val="none"/>
          <w:lang w:eastAsia="zh-CN"/>
        </w:rPr>
      </w:pPr>
      <w:r>
        <w:rPr>
          <w:rFonts w:ascii="仿宋" w:hAnsi="仿宋" w:eastAsia="仿宋" w:cs="仿宋"/>
          <w:b/>
          <w:color w:val="auto"/>
          <w:sz w:val="24"/>
          <w:highlight w:val="none"/>
          <w:lang w:eastAsia="zh-CN"/>
        </w:rPr>
        <w:t>二、供应商响应文件的编制及保证金收取</w:t>
      </w:r>
    </w:p>
    <w:p w14:paraId="55CD61AA">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1、供应商响应文件编写及装订</w:t>
      </w:r>
    </w:p>
    <w:p w14:paraId="198FB196">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1.1响应文件的组成及格式见第七章，响应供应商按竞争性磋商文件要求编写响应文件并牢固装订成册。响应文件均须采用A4纸（图纸等除外），响应文件不得行间插字、涂改、增删，如修改错漏处，须经响应供应商法定代表人或其被授权人签字并加盖公章。</w:t>
      </w:r>
    </w:p>
    <w:p w14:paraId="53B9AD1E">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1.2供应商应准备</w:t>
      </w:r>
      <w:r>
        <w:rPr>
          <w:rFonts w:ascii="仿宋" w:hAnsi="仿宋" w:eastAsia="仿宋" w:cs="仿宋"/>
          <w:b/>
          <w:color w:val="auto"/>
          <w:sz w:val="24"/>
          <w:highlight w:val="none"/>
          <w:u w:val="single"/>
          <w:lang w:eastAsia="zh-CN"/>
        </w:rPr>
        <w:t xml:space="preserve"> 叁 </w:t>
      </w:r>
      <w:r>
        <w:rPr>
          <w:rFonts w:ascii="仿宋" w:hAnsi="仿宋" w:eastAsia="仿宋" w:cs="仿宋"/>
          <w:color w:val="auto"/>
          <w:sz w:val="24"/>
          <w:highlight w:val="none"/>
          <w:lang w:eastAsia="zh-CN"/>
        </w:rPr>
        <w:t>份完整的投标文件，其中正本</w:t>
      </w:r>
      <w:r>
        <w:rPr>
          <w:rFonts w:ascii="仿宋" w:hAnsi="仿宋" w:eastAsia="仿宋" w:cs="仿宋"/>
          <w:b/>
          <w:color w:val="auto"/>
          <w:sz w:val="24"/>
          <w:highlight w:val="none"/>
          <w:u w:val="single"/>
          <w:lang w:eastAsia="zh-CN"/>
        </w:rPr>
        <w:t xml:space="preserve">壹 </w:t>
      </w:r>
      <w:r>
        <w:rPr>
          <w:rFonts w:ascii="仿宋" w:hAnsi="仿宋" w:eastAsia="仿宋" w:cs="仿宋"/>
          <w:color w:val="auto"/>
          <w:sz w:val="24"/>
          <w:highlight w:val="none"/>
          <w:lang w:eastAsia="zh-CN"/>
        </w:rPr>
        <w:t>份，副本</w:t>
      </w:r>
      <w:r>
        <w:rPr>
          <w:rFonts w:ascii="仿宋" w:hAnsi="仿宋" w:eastAsia="仿宋" w:cs="仿宋"/>
          <w:b/>
          <w:color w:val="auto"/>
          <w:sz w:val="24"/>
          <w:highlight w:val="none"/>
          <w:u w:val="single"/>
          <w:lang w:eastAsia="zh-CN"/>
        </w:rPr>
        <w:t xml:space="preserve"> 贰 </w:t>
      </w:r>
      <w:r>
        <w:rPr>
          <w:rFonts w:ascii="仿宋" w:hAnsi="仿宋" w:eastAsia="仿宋" w:cs="仿宋"/>
          <w:color w:val="auto"/>
          <w:sz w:val="24"/>
          <w:highlight w:val="none"/>
          <w:lang w:eastAsia="zh-CN"/>
        </w:rPr>
        <w:t>份，并标明“正本”或“副本”字样。响应供应商可将响应文件正副本统一密封或分别密封，如正本和副本分别密封的，应在封袋上标明正、副本字样。</w:t>
      </w:r>
    </w:p>
    <w:p w14:paraId="579693E7">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1.3响应文件正本须用不能擦去的墨水书写或打印并按竞争性磋商文件要求在规定的地方由法定代表人或被授权人签字或盖章，并加盖单位印章。副本可复印，但须加盖单位印章。</w:t>
      </w:r>
    </w:p>
    <w:p w14:paraId="0EEA7289">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1.4供应商响应文件密封及标记</w:t>
      </w:r>
    </w:p>
    <w:p w14:paraId="55CB07CC">
      <w:pPr>
        <w:pBdr>
          <w:top w:val="none" w:color="000000" w:sz="0" w:space="0"/>
          <w:left w:val="none" w:color="000000" w:sz="0" w:space="0"/>
          <w:bottom w:val="none" w:color="000000" w:sz="0" w:space="0"/>
          <w:right w:val="none" w:color="000000" w:sz="0" w:space="0"/>
        </w:pBdr>
        <w:spacing w:after="0" w:line="479" w:lineRule="atLeast"/>
        <w:ind w:firstLine="482"/>
        <w:jc w:val="both"/>
        <w:rPr>
          <w:color w:val="auto"/>
          <w:highlight w:val="none"/>
          <w:lang w:eastAsia="zh-CN"/>
        </w:rPr>
      </w:pPr>
      <w:r>
        <w:rPr>
          <w:rFonts w:ascii="仿宋" w:hAnsi="仿宋" w:eastAsia="仿宋" w:cs="仿宋"/>
          <w:b/>
          <w:color w:val="auto"/>
          <w:sz w:val="24"/>
          <w:highlight w:val="none"/>
          <w:lang w:eastAsia="zh-CN"/>
        </w:rPr>
        <w:t>响应文件应分三册密封。第一册为“资格审查材料”、第二册为“商务技术标”、第三册为“价格标”；三册应分别装订成册并单独密封。特别提示：与投标报价相关的任何资料不得出现在“资格审查材料”和“商务技术标”之中。密封后应标明投标文件项目名称、项目编号、供应商名称、边缝处加盖单位骑缝章或骑缝签字。</w:t>
      </w:r>
    </w:p>
    <w:p w14:paraId="6BFC7C3B">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 xml:space="preserve">1.5磋商响应文件的内容： </w:t>
      </w:r>
    </w:p>
    <w:p w14:paraId="398EC7DF">
      <w:pPr>
        <w:pBdr>
          <w:top w:val="none" w:color="000000" w:sz="0" w:space="0"/>
          <w:left w:val="none" w:color="000000" w:sz="0" w:space="0"/>
          <w:bottom w:val="none" w:color="000000" w:sz="0" w:space="0"/>
          <w:right w:val="none" w:color="000000" w:sz="0" w:space="0"/>
        </w:pBdr>
        <w:spacing w:after="0" w:line="479" w:lineRule="atLeast"/>
        <w:ind w:firstLine="482"/>
        <w:jc w:val="both"/>
        <w:rPr>
          <w:color w:val="auto"/>
          <w:highlight w:val="none"/>
          <w:lang w:eastAsia="zh-CN"/>
        </w:rPr>
      </w:pPr>
      <w:r>
        <w:rPr>
          <w:rFonts w:ascii="仿宋" w:hAnsi="仿宋" w:eastAsia="仿宋" w:cs="仿宋"/>
          <w:b/>
          <w:color w:val="auto"/>
          <w:sz w:val="24"/>
          <w:highlight w:val="none"/>
          <w:lang w:eastAsia="zh-CN"/>
        </w:rPr>
        <w:t>A、资格后审资料文件（可提供一个密封包，一正二副）</w:t>
      </w:r>
      <w:r>
        <w:rPr>
          <w:rFonts w:ascii="仿宋" w:hAnsi="仿宋" w:eastAsia="仿宋" w:cs="仿宋"/>
          <w:color w:val="auto"/>
          <w:sz w:val="24"/>
          <w:highlight w:val="none"/>
          <w:lang w:eastAsia="zh-CN"/>
        </w:rPr>
        <w:t>：根据第五章资格审查要求提供相应的资料</w:t>
      </w:r>
    </w:p>
    <w:p w14:paraId="6BDC1D82">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1）法定代表人参加磋商的，必须提供法人身份证明原件及本人身份证复印件；非法定代表人参加的，必须提供法定代表人签名或盖章的授权委托书原件及被委托授权人身份证复印件这两项（须加盖公章）（格式见第七章）；</w:t>
      </w:r>
    </w:p>
    <w:p w14:paraId="4C8C08D7">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（2）提供法人或者其他组织的营业执照等证明文件</w:t>
      </w:r>
      <w:r>
        <w:rPr>
          <w:rFonts w:hint="eastAsia" w:ascii="仿宋" w:hAnsi="仿宋" w:eastAsia="仿宋" w:cs="仿宋"/>
          <w:color w:val="auto"/>
          <w:sz w:val="24"/>
          <w:highlight w:val="none"/>
          <w:lang w:eastAsia="zh-CN"/>
        </w:rPr>
        <w:t>（以上提供原件复印件加盖公章）</w:t>
      </w:r>
      <w:r>
        <w:rPr>
          <w:rFonts w:ascii="仿宋" w:hAnsi="仿宋" w:eastAsia="仿宋" w:cs="仿宋"/>
          <w:color w:val="auto"/>
          <w:sz w:val="24"/>
          <w:highlight w:val="none"/>
          <w:lang w:eastAsia="zh-CN"/>
        </w:rPr>
        <w:t>；</w:t>
      </w:r>
    </w:p>
    <w:p w14:paraId="33CD8BF0">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（3）满足《中华人民共和国政府采购法》第二十二条规定声明函（按后附格式）；</w:t>
      </w:r>
    </w:p>
    <w:p w14:paraId="27928194">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4）磋商供应商需提供企业信用查询结果（“信用中国”网站、中国政府采购网和国家企业信用信息公示系统进入查询自行打印)，查询结果有效期须在自本项目公告发布之日起至本项目磋商投标截止日内有效。提供以上网页的投标单位企业信用的截图，未提供截图或失信的供应商资格审查均不予通过。</w:t>
      </w:r>
    </w:p>
    <w:p w14:paraId="484E1825">
      <w:pPr>
        <w:pBdr>
          <w:top w:val="none" w:color="000000" w:sz="0" w:space="0"/>
          <w:left w:val="none" w:color="000000" w:sz="0" w:space="0"/>
          <w:bottom w:val="none" w:color="000000" w:sz="0" w:space="0"/>
          <w:right w:val="none" w:color="000000" w:sz="0" w:space="0"/>
        </w:pBdr>
        <w:spacing w:after="0" w:line="479" w:lineRule="atLeast"/>
        <w:ind w:firstLine="480"/>
        <w:jc w:val="both"/>
        <w:rPr>
          <w:rFonts w:hint="eastAsia" w:ascii="仿宋" w:hAnsi="仿宋" w:eastAsia="仿宋" w:cs="仿宋"/>
          <w:color w:val="auto"/>
          <w:sz w:val="24"/>
          <w:highlight w:val="none"/>
          <w:lang w:eastAsia="zh-CN"/>
        </w:rPr>
      </w:pPr>
      <w:r>
        <w:rPr>
          <w:rFonts w:ascii="仿宋" w:hAnsi="仿宋" w:eastAsia="仿宋" w:cs="仿宋"/>
          <w:color w:val="auto"/>
          <w:sz w:val="24"/>
          <w:highlight w:val="none"/>
          <w:lang w:eastAsia="zh-CN"/>
        </w:rPr>
        <w:t>（</w:t>
      </w:r>
      <w:r>
        <w:rPr>
          <w:rFonts w:hint="eastAsia" w:ascii="仿宋" w:hAnsi="仿宋" w:eastAsia="仿宋" w:cs="仿宋"/>
          <w:color w:val="auto"/>
          <w:sz w:val="24"/>
          <w:highlight w:val="none"/>
          <w:lang w:eastAsia="zh-CN"/>
        </w:rPr>
        <w:t>5</w:t>
      </w:r>
      <w:r>
        <w:rPr>
          <w:rFonts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提供满足本项目需求的人员一览表，且项目经理具有大专及以上文化水平，提供学历证书</w:t>
      </w:r>
      <w:r>
        <w:rPr>
          <w:rFonts w:hint="eastAsia" w:ascii="仿宋" w:hAnsi="仿宋" w:eastAsia="仿宋" w:cs="仿宋"/>
          <w:color w:val="auto"/>
          <w:sz w:val="24"/>
          <w:highlight w:val="none"/>
          <w:lang w:eastAsia="zh-CN"/>
        </w:rPr>
        <w:t>（以上提供原件复印件加盖公章）。</w:t>
      </w:r>
    </w:p>
    <w:p w14:paraId="27EA001B">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ascii="仿宋" w:hAnsi="仿宋" w:eastAsia="仿宋" w:cs="仿宋"/>
          <w:color w:val="auto"/>
          <w:sz w:val="24"/>
          <w:highlight w:val="none"/>
          <w:lang w:eastAsia="zh-CN"/>
        </w:rPr>
        <w:t>）关于资格文件的声明函（格式见第七章）；</w:t>
      </w:r>
    </w:p>
    <w:p w14:paraId="6FC132F4">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ascii="仿宋" w:hAnsi="仿宋" w:eastAsia="仿宋" w:cs="仿宋"/>
          <w:color w:val="auto"/>
          <w:sz w:val="24"/>
          <w:highlight w:val="none"/>
          <w:lang w:eastAsia="zh-CN"/>
        </w:rPr>
        <w:t>）供应商响应文件函（格式见第七章）；</w:t>
      </w:r>
    </w:p>
    <w:p w14:paraId="1CBACB30">
      <w:pPr>
        <w:pBdr>
          <w:top w:val="none" w:color="000000" w:sz="0" w:space="0"/>
          <w:left w:val="none" w:color="000000" w:sz="0" w:space="0"/>
          <w:bottom w:val="none" w:color="000000" w:sz="0" w:space="0"/>
          <w:right w:val="none" w:color="000000" w:sz="0" w:space="0"/>
        </w:pBdr>
        <w:spacing w:after="0" w:line="479" w:lineRule="atLeast"/>
        <w:ind w:firstLine="480"/>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color w:val="auto"/>
          <w:highlight w:val="none"/>
          <w:lang w:eastAsia="zh-CN"/>
        </w:rPr>
        <w:t>中小企业声明函</w:t>
      </w:r>
      <w:r>
        <w:rPr>
          <w:rFonts w:ascii="仿宋" w:hAnsi="仿宋" w:eastAsia="仿宋" w:cs="仿宋"/>
          <w:color w:val="auto"/>
          <w:sz w:val="24"/>
          <w:highlight w:val="none"/>
          <w:lang w:eastAsia="zh-CN"/>
        </w:rPr>
        <w:t>（格式见第七章）</w:t>
      </w:r>
      <w:r>
        <w:rPr>
          <w:rFonts w:hint="eastAsia" w:ascii="仿宋" w:hAnsi="仿宋" w:eastAsia="仿宋" w:cs="仿宋"/>
          <w:color w:val="auto"/>
          <w:highlight w:val="none"/>
          <w:lang w:eastAsia="zh-CN"/>
        </w:rPr>
        <w:t>；</w:t>
      </w:r>
    </w:p>
    <w:p w14:paraId="607C18A0">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9</w:t>
      </w:r>
      <w:r>
        <w:rPr>
          <w:rFonts w:ascii="仿宋" w:hAnsi="仿宋" w:eastAsia="仿宋" w:cs="仿宋"/>
          <w:color w:val="auto"/>
          <w:sz w:val="24"/>
          <w:highlight w:val="none"/>
          <w:lang w:eastAsia="zh-CN"/>
        </w:rPr>
        <w:t>）磋商供应商认为须提供的其他材料。</w:t>
      </w:r>
    </w:p>
    <w:p w14:paraId="7B9E2BDF">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特别提醒】资格后审的全部资料须提供原件的清晰复印件并加盖单位公章；资格审查合格后，方可进入技术标和价格标的评审（有一项不符合，即取消技术标、价格标评审资格），根据供应商技术标得分结合价格标报价得分，综合得分最高者为中标候选单位。</w:t>
      </w:r>
    </w:p>
    <w:p w14:paraId="3BD0B3A3">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B、</w:t>
      </w:r>
      <w:r>
        <w:rPr>
          <w:rFonts w:ascii="仿宋" w:hAnsi="仿宋" w:eastAsia="仿宋" w:cs="仿宋"/>
          <w:b/>
          <w:color w:val="auto"/>
          <w:sz w:val="24"/>
          <w:highlight w:val="none"/>
          <w:lang w:eastAsia="zh-CN"/>
        </w:rPr>
        <w:t>商务技术磋商响应文件（可提供一个密封包，一正二副）</w:t>
      </w:r>
      <w:r>
        <w:rPr>
          <w:rFonts w:ascii="仿宋" w:hAnsi="仿宋" w:eastAsia="仿宋" w:cs="仿宋"/>
          <w:color w:val="auto"/>
          <w:sz w:val="24"/>
          <w:highlight w:val="none"/>
          <w:lang w:eastAsia="zh-CN"/>
        </w:rPr>
        <w:t>：根据第六章评标办法自行编制</w:t>
      </w:r>
    </w:p>
    <w:p w14:paraId="6A841BFD">
      <w:pPr>
        <w:pBdr>
          <w:top w:val="none" w:color="000000" w:sz="0" w:space="0"/>
          <w:left w:val="none" w:color="000000" w:sz="0" w:space="0"/>
          <w:bottom w:val="none" w:color="000000" w:sz="0" w:space="0"/>
          <w:right w:val="none" w:color="000000" w:sz="0" w:space="0"/>
        </w:pBdr>
        <w:spacing w:after="0" w:line="479" w:lineRule="atLeast"/>
        <w:ind w:firstLine="358"/>
        <w:jc w:val="both"/>
        <w:rPr>
          <w:color w:val="auto"/>
          <w:highlight w:val="none"/>
          <w:lang w:eastAsia="zh-CN"/>
        </w:rPr>
      </w:pPr>
      <w:r>
        <w:rPr>
          <w:rFonts w:ascii="仿宋" w:hAnsi="仿宋" w:eastAsia="仿宋" w:cs="仿宋"/>
          <w:color w:val="auto"/>
          <w:sz w:val="24"/>
          <w:highlight w:val="none"/>
          <w:lang w:eastAsia="zh-CN"/>
        </w:rPr>
        <w:t>（1）封面</w:t>
      </w:r>
    </w:p>
    <w:p w14:paraId="799EAD02">
      <w:pPr>
        <w:pBdr>
          <w:top w:val="none" w:color="000000" w:sz="0" w:space="0"/>
          <w:left w:val="none" w:color="000000" w:sz="0" w:space="0"/>
          <w:bottom w:val="none" w:color="000000" w:sz="0" w:space="0"/>
          <w:right w:val="none" w:color="000000" w:sz="0" w:space="0"/>
        </w:pBdr>
        <w:spacing w:after="0" w:line="479" w:lineRule="atLeast"/>
        <w:ind w:firstLine="358"/>
        <w:jc w:val="both"/>
        <w:rPr>
          <w:color w:val="auto"/>
          <w:highlight w:val="none"/>
          <w:lang w:eastAsia="zh-CN"/>
        </w:rPr>
      </w:pPr>
      <w:r>
        <w:rPr>
          <w:rFonts w:ascii="仿宋" w:hAnsi="仿宋" w:eastAsia="仿宋" w:cs="仿宋"/>
          <w:color w:val="auto"/>
          <w:sz w:val="24"/>
          <w:highlight w:val="none"/>
          <w:lang w:eastAsia="zh-CN"/>
        </w:rPr>
        <w:t>（2）磋商响应函</w:t>
      </w:r>
    </w:p>
    <w:p w14:paraId="1CB7A8ED">
      <w:pPr>
        <w:pBdr>
          <w:top w:val="none" w:color="000000" w:sz="0" w:space="0"/>
          <w:left w:val="none" w:color="000000" w:sz="0" w:space="0"/>
          <w:bottom w:val="none" w:color="000000" w:sz="0" w:space="0"/>
          <w:right w:val="none" w:color="000000" w:sz="0" w:space="0"/>
        </w:pBdr>
        <w:spacing w:after="0" w:line="479" w:lineRule="atLeast"/>
        <w:ind w:firstLine="358"/>
        <w:rPr>
          <w:color w:val="auto"/>
          <w:highlight w:val="none"/>
          <w:lang w:eastAsia="zh-CN"/>
        </w:rPr>
      </w:pPr>
      <w:r>
        <w:rPr>
          <w:rFonts w:ascii="仿宋" w:hAnsi="仿宋" w:eastAsia="仿宋" w:cs="仿宋"/>
          <w:color w:val="auto"/>
          <w:sz w:val="24"/>
          <w:highlight w:val="none"/>
          <w:lang w:eastAsia="zh-CN"/>
        </w:rPr>
        <w:t>（3）根据第六章“评标办法”2.2.2 条款技术标的评审因素及评审标准提供相关投标资料。</w:t>
      </w:r>
    </w:p>
    <w:p w14:paraId="2E456766">
      <w:pPr>
        <w:pBdr>
          <w:top w:val="none" w:color="000000" w:sz="0" w:space="0"/>
          <w:left w:val="none" w:color="000000" w:sz="0" w:space="0"/>
          <w:bottom w:val="none" w:color="000000" w:sz="0" w:space="0"/>
          <w:right w:val="none" w:color="000000" w:sz="0" w:space="0"/>
        </w:pBdr>
        <w:spacing w:after="0" w:line="479" w:lineRule="atLeast"/>
        <w:ind w:firstLine="358"/>
        <w:rPr>
          <w:color w:val="auto"/>
          <w:highlight w:val="none"/>
          <w:lang w:eastAsia="zh-CN"/>
        </w:rPr>
      </w:pPr>
      <w:r>
        <w:rPr>
          <w:rFonts w:ascii="仿宋" w:hAnsi="仿宋" w:eastAsia="仿宋" w:cs="仿宋"/>
          <w:color w:val="auto"/>
          <w:sz w:val="24"/>
          <w:highlight w:val="none"/>
          <w:lang w:eastAsia="zh-CN"/>
        </w:rPr>
        <w:t>（4）商务部分正负偏离表；</w:t>
      </w:r>
    </w:p>
    <w:p w14:paraId="5225EC04">
      <w:pPr>
        <w:pBdr>
          <w:top w:val="none" w:color="000000" w:sz="0" w:space="0"/>
          <w:left w:val="none" w:color="000000" w:sz="0" w:space="0"/>
          <w:bottom w:val="none" w:color="000000" w:sz="0" w:space="0"/>
          <w:right w:val="none" w:color="000000" w:sz="0" w:space="0"/>
        </w:pBdr>
        <w:spacing w:after="0" w:line="479" w:lineRule="atLeast"/>
        <w:ind w:firstLine="358"/>
        <w:rPr>
          <w:color w:val="auto"/>
          <w:highlight w:val="none"/>
          <w:lang w:eastAsia="zh-CN"/>
        </w:rPr>
      </w:pPr>
      <w:r>
        <w:rPr>
          <w:rFonts w:ascii="仿宋" w:hAnsi="仿宋" w:eastAsia="仿宋" w:cs="仿宋"/>
          <w:color w:val="auto"/>
          <w:sz w:val="24"/>
          <w:highlight w:val="none"/>
          <w:lang w:eastAsia="zh-CN"/>
        </w:rPr>
        <w:t>（5）技术部分正负偏离表；</w:t>
      </w:r>
    </w:p>
    <w:p w14:paraId="4388A07F">
      <w:pPr>
        <w:pBdr>
          <w:top w:val="none" w:color="000000" w:sz="0" w:space="0"/>
          <w:left w:val="none" w:color="000000" w:sz="0" w:space="0"/>
          <w:bottom w:val="none" w:color="000000" w:sz="0" w:space="0"/>
          <w:right w:val="none" w:color="000000" w:sz="0" w:space="0"/>
        </w:pBdr>
        <w:spacing w:after="0" w:line="479" w:lineRule="atLeast"/>
        <w:ind w:firstLine="360"/>
        <w:jc w:val="both"/>
        <w:rPr>
          <w:color w:val="auto"/>
          <w:highlight w:val="none"/>
          <w:lang w:eastAsia="zh-CN"/>
        </w:rPr>
      </w:pPr>
      <w:r>
        <w:rPr>
          <w:rFonts w:ascii="仿宋" w:hAnsi="仿宋" w:eastAsia="仿宋" w:cs="仿宋"/>
          <w:color w:val="auto"/>
          <w:sz w:val="24"/>
          <w:highlight w:val="none"/>
          <w:lang w:eastAsia="zh-CN"/>
        </w:rPr>
        <w:t>（6）磋商供应商认为需要提交的其他资料。</w:t>
      </w:r>
    </w:p>
    <w:p w14:paraId="55D43048">
      <w:pPr>
        <w:pBdr>
          <w:top w:val="none" w:color="000000" w:sz="0" w:space="0"/>
          <w:left w:val="none" w:color="000000" w:sz="0" w:space="0"/>
          <w:bottom w:val="none" w:color="000000" w:sz="0" w:space="0"/>
          <w:right w:val="none" w:color="000000" w:sz="0" w:space="0"/>
        </w:pBdr>
        <w:spacing w:after="0" w:line="479" w:lineRule="atLeast"/>
        <w:ind w:firstLine="482"/>
        <w:rPr>
          <w:color w:val="auto"/>
          <w:highlight w:val="none"/>
          <w:lang w:eastAsia="zh-CN"/>
        </w:rPr>
      </w:pPr>
      <w:r>
        <w:rPr>
          <w:rFonts w:ascii="仿宋" w:hAnsi="仿宋" w:eastAsia="仿宋" w:cs="仿宋"/>
          <w:b/>
          <w:color w:val="auto"/>
          <w:sz w:val="24"/>
          <w:highlight w:val="none"/>
          <w:lang w:eastAsia="zh-CN"/>
        </w:rPr>
        <w:t>注明：各磋商供应商根据本项目技术标文件目录中的内容按顺序编制目录和页码范围（以上条款的具体内容及要求请按照本磋商文件第六章“评标办法”2.2.2 条款技术标的评审因素及评审标准提供相关投标资料），以上条款中相关所有证明材料或证书需提供复印件并加盖单位公章，响应文件中资料不清晰或资料不全的不予得分。造成一切后果由投标单位承担。</w:t>
      </w:r>
    </w:p>
    <w:p w14:paraId="48455EFC">
      <w:pPr>
        <w:pBdr>
          <w:top w:val="none" w:color="000000" w:sz="0" w:space="0"/>
          <w:left w:val="none" w:color="000000" w:sz="0" w:space="0"/>
          <w:bottom w:val="none" w:color="000000" w:sz="0" w:space="0"/>
          <w:right w:val="none" w:color="000000" w:sz="0" w:space="0"/>
        </w:pBdr>
        <w:spacing w:after="0" w:line="479" w:lineRule="atLeast"/>
        <w:ind w:firstLine="482"/>
        <w:jc w:val="both"/>
        <w:rPr>
          <w:color w:val="auto"/>
          <w:highlight w:val="none"/>
          <w:lang w:eastAsia="zh-CN"/>
        </w:rPr>
      </w:pPr>
      <w:r>
        <w:rPr>
          <w:rFonts w:ascii="仿宋" w:hAnsi="仿宋" w:eastAsia="仿宋" w:cs="仿宋"/>
          <w:b/>
          <w:color w:val="auto"/>
          <w:sz w:val="24"/>
          <w:highlight w:val="none"/>
          <w:lang w:eastAsia="zh-CN"/>
        </w:rPr>
        <w:t>C、价格磋商响应文件（可提供一个密封包，一正二副）</w:t>
      </w:r>
    </w:p>
    <w:p w14:paraId="29ACAAC3">
      <w:pPr>
        <w:pBdr>
          <w:top w:val="none" w:color="000000" w:sz="0" w:space="0"/>
          <w:left w:val="none" w:color="000000" w:sz="0" w:space="0"/>
          <w:bottom w:val="none" w:color="000000" w:sz="0" w:space="0"/>
          <w:right w:val="none" w:color="000000" w:sz="0" w:space="0"/>
        </w:pBdr>
        <w:spacing w:after="0" w:line="479" w:lineRule="atLeast"/>
        <w:ind w:firstLine="480" w:firstLineChars="200"/>
        <w:jc w:val="both"/>
        <w:rPr>
          <w:color w:val="auto"/>
          <w:highlight w:val="none"/>
          <w:lang w:eastAsia="zh-CN"/>
        </w:rPr>
      </w:pPr>
      <w:r>
        <w:rPr>
          <w:rFonts w:ascii="仿宋" w:hAnsi="仿宋" w:eastAsia="仿宋" w:cs="仿宋"/>
          <w:color w:val="auto"/>
          <w:sz w:val="24"/>
          <w:highlight w:val="none"/>
          <w:lang w:eastAsia="zh-CN"/>
        </w:rPr>
        <w:t>（1）封面</w:t>
      </w:r>
    </w:p>
    <w:p w14:paraId="107D166B">
      <w:pPr>
        <w:pBdr>
          <w:top w:val="none" w:color="000000" w:sz="0" w:space="0"/>
          <w:left w:val="none" w:color="000000" w:sz="0" w:space="0"/>
          <w:bottom w:val="none" w:color="000000" w:sz="0" w:space="0"/>
          <w:right w:val="none" w:color="000000" w:sz="0" w:space="0"/>
        </w:pBdr>
        <w:spacing w:after="0" w:line="479" w:lineRule="atLeast"/>
        <w:ind w:firstLine="480" w:firstLineChars="200"/>
        <w:jc w:val="both"/>
        <w:rPr>
          <w:color w:val="auto"/>
          <w:highlight w:val="none"/>
          <w:lang w:eastAsia="zh-CN"/>
        </w:rPr>
      </w:pPr>
      <w:r>
        <w:rPr>
          <w:rFonts w:ascii="仿宋" w:hAnsi="仿宋" w:eastAsia="仿宋" w:cs="仿宋"/>
          <w:color w:val="auto"/>
          <w:sz w:val="24"/>
          <w:highlight w:val="none"/>
          <w:lang w:eastAsia="zh-CN"/>
        </w:rPr>
        <w:t>（2）供应商响应文件报价表（第一次磋商报价）</w:t>
      </w:r>
    </w:p>
    <w:p w14:paraId="3E409D2F">
      <w:pPr>
        <w:pBdr>
          <w:top w:val="none" w:color="000000" w:sz="0" w:space="0"/>
          <w:left w:val="none" w:color="000000" w:sz="0" w:space="0"/>
          <w:bottom w:val="none" w:color="000000" w:sz="0" w:space="0"/>
          <w:right w:val="none" w:color="000000" w:sz="0" w:space="0"/>
        </w:pBdr>
        <w:spacing w:after="0" w:line="479" w:lineRule="atLeast"/>
        <w:ind w:firstLine="480" w:firstLineChars="200"/>
        <w:jc w:val="both"/>
        <w:rPr>
          <w:color w:val="auto"/>
          <w:highlight w:val="none"/>
          <w:lang w:eastAsia="zh-CN"/>
        </w:rPr>
      </w:pPr>
      <w:r>
        <w:rPr>
          <w:rFonts w:ascii="仿宋" w:hAnsi="仿宋" w:eastAsia="仿宋" w:cs="仿宋"/>
          <w:color w:val="auto"/>
          <w:sz w:val="24"/>
          <w:highlight w:val="none"/>
          <w:lang w:eastAsia="zh-CN"/>
        </w:rPr>
        <w:t>（3）报价明细表</w:t>
      </w:r>
    </w:p>
    <w:p w14:paraId="5F6670F6">
      <w:pPr>
        <w:pBdr>
          <w:top w:val="none" w:color="000000" w:sz="0" w:space="0"/>
          <w:left w:val="none" w:color="000000" w:sz="0" w:space="0"/>
          <w:bottom w:val="none" w:color="000000" w:sz="0" w:space="0"/>
          <w:right w:val="none" w:color="000000" w:sz="0" w:space="0"/>
        </w:pBdr>
        <w:spacing w:after="0" w:line="479" w:lineRule="atLeast"/>
        <w:ind w:firstLine="480" w:firstLineChars="200"/>
        <w:jc w:val="both"/>
        <w:rPr>
          <w:rFonts w:hint="eastAsia" w:ascii="仿宋" w:hAnsi="仿宋" w:eastAsia="仿宋" w:cs="仿宋"/>
          <w:color w:val="auto"/>
          <w:sz w:val="24"/>
          <w:highlight w:val="none"/>
          <w:lang w:eastAsia="zh-CN"/>
        </w:rPr>
      </w:pPr>
      <w:r>
        <w:rPr>
          <w:rFonts w:ascii="仿宋" w:hAnsi="仿宋" w:eastAsia="仿宋" w:cs="仿宋"/>
          <w:color w:val="auto"/>
          <w:sz w:val="24"/>
          <w:highlight w:val="none"/>
          <w:lang w:eastAsia="zh-CN"/>
        </w:rPr>
        <w:t>（4）供应商响应文件报价表（最终）</w:t>
      </w:r>
    </w:p>
    <w:p w14:paraId="7F2C5675">
      <w:pPr>
        <w:pBdr>
          <w:top w:val="none" w:color="000000" w:sz="0" w:space="0"/>
          <w:left w:val="none" w:color="000000" w:sz="0" w:space="0"/>
          <w:bottom w:val="none" w:color="000000" w:sz="0" w:space="0"/>
          <w:right w:val="none" w:color="000000" w:sz="0" w:space="0"/>
        </w:pBdr>
        <w:spacing w:after="0" w:line="479" w:lineRule="atLeast"/>
        <w:ind w:firstLine="480" w:firstLineChars="200"/>
        <w:jc w:val="both"/>
        <w:rPr>
          <w:rFonts w:hint="eastAsia" w:ascii="仿宋" w:hAnsi="仿宋" w:eastAsia="仿宋" w:cs="仿宋"/>
          <w:color w:val="auto"/>
          <w:sz w:val="24"/>
          <w:highlight w:val="none"/>
          <w:lang w:eastAsia="zh-CN"/>
        </w:rPr>
      </w:pPr>
      <w:r>
        <w:rPr>
          <w:rFonts w:ascii="仿宋" w:hAnsi="仿宋" w:eastAsia="仿宋" w:cs="仿宋"/>
          <w:color w:val="auto"/>
          <w:sz w:val="24"/>
          <w:highlight w:val="none"/>
          <w:lang w:eastAsia="zh-CN"/>
        </w:rPr>
        <w:t>（</w:t>
      </w:r>
      <w:r>
        <w:rPr>
          <w:rFonts w:hint="eastAsia" w:ascii="仿宋" w:hAnsi="仿宋" w:eastAsia="仿宋" w:cs="仿宋"/>
          <w:color w:val="auto"/>
          <w:sz w:val="24"/>
          <w:highlight w:val="none"/>
          <w:lang w:eastAsia="zh-CN"/>
        </w:rPr>
        <w:t>5</w:t>
      </w:r>
      <w:r>
        <w:rPr>
          <w:rFonts w:ascii="仿宋" w:hAnsi="仿宋" w:eastAsia="仿宋" w:cs="仿宋"/>
          <w:color w:val="auto"/>
          <w:sz w:val="24"/>
          <w:highlight w:val="none"/>
          <w:lang w:eastAsia="zh-CN"/>
        </w:rPr>
        <w:t>）</w:t>
      </w:r>
      <w:r>
        <w:rPr>
          <w:rFonts w:hint="eastAsia" w:ascii="仿宋" w:hAnsi="仿宋" w:eastAsia="仿宋" w:cs="仿宋"/>
          <w:color w:val="auto"/>
          <w:sz w:val="24"/>
          <w:highlight w:val="none"/>
          <w:lang w:eastAsia="zh-CN"/>
        </w:rPr>
        <w:t>价格文件内需提供的其他材料</w:t>
      </w:r>
    </w:p>
    <w:p w14:paraId="0EACC11F">
      <w:pPr>
        <w:pBdr>
          <w:top w:val="none" w:color="000000" w:sz="0" w:space="0"/>
          <w:left w:val="none" w:color="000000" w:sz="0" w:space="0"/>
          <w:bottom w:val="none" w:color="000000" w:sz="0" w:space="0"/>
          <w:right w:val="none" w:color="000000" w:sz="0" w:space="0"/>
        </w:pBdr>
        <w:spacing w:after="0" w:line="479" w:lineRule="atLeast"/>
        <w:ind w:firstLine="482"/>
        <w:jc w:val="both"/>
        <w:rPr>
          <w:color w:val="auto"/>
          <w:highlight w:val="none"/>
          <w:lang w:eastAsia="zh-CN"/>
        </w:rPr>
      </w:pPr>
      <w:r>
        <w:rPr>
          <w:rFonts w:ascii="仿宋" w:hAnsi="仿宋" w:eastAsia="仿宋" w:cs="仿宋"/>
          <w:b/>
          <w:color w:val="auto"/>
          <w:sz w:val="24"/>
          <w:highlight w:val="none"/>
          <w:lang w:eastAsia="zh-CN"/>
        </w:rPr>
        <w:t>注明：供应商响应文件报价表（最终），此表投标报价请空着，在开标现场填写，需提前加盖公章。</w:t>
      </w:r>
    </w:p>
    <w:p w14:paraId="55DE440E">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2、磋商报价</w:t>
      </w:r>
    </w:p>
    <w:p w14:paraId="520DF051">
      <w:pPr>
        <w:pBdr>
          <w:top w:val="none" w:color="000000" w:sz="0" w:space="0"/>
          <w:left w:val="none" w:color="000000" w:sz="0" w:space="0"/>
          <w:bottom w:val="none" w:color="000000" w:sz="0" w:space="0"/>
          <w:right w:val="none" w:color="000000" w:sz="0" w:space="0"/>
        </w:pBdr>
        <w:spacing w:after="0" w:line="479" w:lineRule="atLeast"/>
        <w:ind w:firstLine="480"/>
        <w:jc w:val="both"/>
        <w:rPr>
          <w:rFonts w:hint="eastAsia" w:ascii="仿宋" w:hAnsi="仿宋" w:eastAsia="仿宋" w:cs="仿宋"/>
          <w:color w:val="auto"/>
          <w:sz w:val="24"/>
          <w:highlight w:val="none"/>
          <w:lang w:eastAsia="zh-CN"/>
        </w:rPr>
      </w:pPr>
      <w:r>
        <w:rPr>
          <w:rFonts w:ascii="仿宋" w:hAnsi="仿宋" w:eastAsia="仿宋" w:cs="仿宋"/>
          <w:color w:val="auto"/>
          <w:sz w:val="24"/>
          <w:highlight w:val="none"/>
          <w:lang w:eastAsia="zh-CN"/>
        </w:rPr>
        <w:t>2.1参加磋商的供应商应按照磋商文件规定格式填报供应商响应文件报价表，在表内响应单位的报价应包括完成本次招标范围内全部工作内容所需所有费用，即招标物服务周期结束前的所有费用且包含响应磋商文件采购要求的所有费用。</w:t>
      </w:r>
    </w:p>
    <w:p w14:paraId="2CAC9890">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2.2标的物</w:t>
      </w:r>
    </w:p>
    <w:p w14:paraId="64167798">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详见项目工作内容和技术要求。</w:t>
      </w:r>
    </w:p>
    <w:p w14:paraId="3D712047">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2.3有关费用处理</w:t>
      </w:r>
    </w:p>
    <w:p w14:paraId="47DE30C9">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本次采购磋商供应商的总报价应包括完成本次招标范围内全部工作内容所需的所有费用。</w:t>
      </w:r>
    </w:p>
    <w:p w14:paraId="25B8A21D">
      <w:pPr>
        <w:pBdr>
          <w:top w:val="none" w:color="000000" w:sz="0" w:space="0"/>
          <w:left w:val="none" w:color="000000" w:sz="0" w:space="0"/>
          <w:bottom w:val="none" w:color="000000" w:sz="0" w:space="0"/>
          <w:right w:val="none" w:color="000000" w:sz="0" w:space="0"/>
        </w:pBdr>
        <w:spacing w:after="0" w:line="479" w:lineRule="atLeast"/>
        <w:ind w:firstLine="480" w:firstLineChars="200"/>
        <w:rPr>
          <w:color w:val="auto"/>
          <w:highlight w:val="none"/>
          <w:lang w:eastAsia="zh-CN"/>
        </w:rPr>
      </w:pPr>
      <w:r>
        <w:rPr>
          <w:rFonts w:hint="eastAsia" w:ascii="仿宋" w:hAnsi="仿宋" w:eastAsia="仿宋" w:cs="仿宋"/>
          <w:color w:val="auto"/>
          <w:sz w:val="24"/>
          <w:highlight w:val="none"/>
          <w:lang w:eastAsia="zh-CN"/>
        </w:rPr>
        <w:t>1)</w:t>
      </w:r>
      <w:r>
        <w:rPr>
          <w:rFonts w:ascii="仿宋" w:hAnsi="仿宋" w:eastAsia="仿宋" w:cs="仿宋"/>
          <w:color w:val="auto"/>
          <w:sz w:val="24"/>
          <w:highlight w:val="none"/>
          <w:lang w:eastAsia="zh-CN"/>
        </w:rPr>
        <w:t>磋商最终报价应是固定不变的，不得以任何理由予以变更。任何可变的或者附有条件的响应报价，采购人均将予以拒绝。</w:t>
      </w:r>
    </w:p>
    <w:p w14:paraId="0C00A9A2">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2）最低响应报价不能作为本次招标采购的成交保证。</w:t>
      </w:r>
    </w:p>
    <w:p w14:paraId="1496DC1A">
      <w:pPr>
        <w:pBdr>
          <w:top w:val="none" w:color="000000" w:sz="0" w:space="0"/>
          <w:left w:val="none" w:color="000000" w:sz="0" w:space="0"/>
          <w:bottom w:val="none" w:color="000000" w:sz="0" w:space="0"/>
          <w:right w:val="none" w:color="000000" w:sz="0" w:space="0"/>
        </w:pBdr>
        <w:spacing w:after="0" w:line="479" w:lineRule="atLeast"/>
        <w:ind w:firstLine="360"/>
        <w:rPr>
          <w:color w:val="auto"/>
          <w:highlight w:val="none"/>
          <w:lang w:eastAsia="zh-CN"/>
        </w:rPr>
      </w:pPr>
      <w:r>
        <w:rPr>
          <w:rFonts w:ascii="仿宋" w:hAnsi="仿宋" w:eastAsia="仿宋" w:cs="仿宋"/>
          <w:color w:val="auto"/>
          <w:sz w:val="24"/>
          <w:highlight w:val="none"/>
          <w:lang w:eastAsia="zh-CN"/>
        </w:rPr>
        <w:t>2.4其它费用处理</w:t>
      </w:r>
    </w:p>
    <w:p w14:paraId="721A2B70">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磋商文件未列明，而磋商供应商认为必须的费用也须列入报价。</w:t>
      </w:r>
    </w:p>
    <w:p w14:paraId="5C044944">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2.5报价采用的货币</w:t>
      </w:r>
    </w:p>
    <w:p w14:paraId="0E57D9F0">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响应文件中的单价和总价，无特殊规定的采用人民币报价，以元为单位标注。磋商文件中另有规定的按规定执行。</w:t>
      </w:r>
    </w:p>
    <w:p w14:paraId="33CC8F43">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2.6 供应商响应文件报价表上的价格应按磋商文件规定填写。</w:t>
      </w:r>
    </w:p>
    <w:p w14:paraId="4FF96220">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3、项目工作内容和技术要求响应方案</w:t>
      </w:r>
    </w:p>
    <w:p w14:paraId="18AD3B1D">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3.1提供为完成本项目的总体实施方案。</w:t>
      </w:r>
    </w:p>
    <w:p w14:paraId="62D21C53">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3.2对磋商文件中项目工作内容和技术要求的技术与商务条款要求逐项作出应答，并提供依据或说明。</w:t>
      </w:r>
    </w:p>
    <w:p w14:paraId="0F9FC142">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3.3磋商供应商认为需要的其他技术文件或说明。</w:t>
      </w:r>
    </w:p>
    <w:p w14:paraId="726B2680">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4、磋商保证金：</w:t>
      </w:r>
      <w:r>
        <w:rPr>
          <w:rFonts w:ascii="仿宋" w:hAnsi="仿宋" w:eastAsia="仿宋" w:cs="仿宋"/>
          <w:b/>
          <w:color w:val="auto"/>
          <w:sz w:val="24"/>
          <w:highlight w:val="none"/>
          <w:lang w:eastAsia="zh-CN"/>
        </w:rPr>
        <w:t>本项目免收磋商保证金</w:t>
      </w:r>
    </w:p>
    <w:p w14:paraId="1EEA4F86">
      <w:pPr>
        <w:pBdr>
          <w:top w:val="none" w:color="000000" w:sz="0" w:space="0"/>
          <w:left w:val="none" w:color="000000" w:sz="0" w:space="0"/>
          <w:bottom w:val="none" w:color="000000" w:sz="0" w:space="0"/>
          <w:right w:val="none" w:color="000000" w:sz="0" w:space="0"/>
        </w:pBdr>
        <w:spacing w:after="0" w:line="479" w:lineRule="atLeast"/>
        <w:ind w:firstLine="482"/>
        <w:rPr>
          <w:color w:val="auto"/>
          <w:highlight w:val="none"/>
          <w:lang w:eastAsia="zh-CN"/>
        </w:rPr>
      </w:pPr>
      <w:r>
        <w:rPr>
          <w:rFonts w:ascii="仿宋" w:hAnsi="仿宋" w:eastAsia="仿宋" w:cs="仿宋"/>
          <w:b/>
          <w:color w:val="auto"/>
          <w:sz w:val="24"/>
          <w:highlight w:val="none"/>
          <w:lang w:eastAsia="zh-CN"/>
        </w:rPr>
        <w:t>三、纸质磋商供应商响应文件的递交</w:t>
      </w:r>
    </w:p>
    <w:p w14:paraId="0A6778D0">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1、响应文件的密封和标记</w:t>
      </w:r>
    </w:p>
    <w:p w14:paraId="14945B43">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1.1磋商供应商应严格按照磋商文件要求的份数准备响应文件，每份响应文件须清楚地标明“正本”或“副本”字样。磋商供应商应将“资格审查资料包”、“商务技术标包”、“报价标包”内的所有材料及复印件，须加盖本项目响应单位的公章并装订成册，各一份“正本”，二份“副本”，以便在评审时，供评委检查及提供留存。</w:t>
      </w:r>
    </w:p>
    <w:p w14:paraId="442BE765">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1.2密封的响应文件应：</w:t>
      </w:r>
    </w:p>
    <w:p w14:paraId="08BB8C1E">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（1）按采购邀请中注明的地址送达规定地点；</w:t>
      </w:r>
    </w:p>
    <w:p w14:paraId="35AFE875">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（2）注明参加磋商项目名称、磋商文件编号及参加的分包号；</w:t>
      </w:r>
    </w:p>
    <w:p w14:paraId="2EA374D0">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（3）密封包装上应写明磋商供应商名称；</w:t>
      </w:r>
    </w:p>
    <w:p w14:paraId="2C26DA64">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（4）密封包装袋上均需加盖响应单位公章。</w:t>
      </w:r>
    </w:p>
    <w:p w14:paraId="615B58DB">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1.3如果密封包装未按要求密封和加写标记，代理机构对误投或过早启封概不负责。对由此造成提前开封的响应文件，代理机构将予以拒绝，作无效响应处理。</w:t>
      </w:r>
    </w:p>
    <w:p w14:paraId="0EE70FA6">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2、响应文件开启时间</w:t>
      </w:r>
    </w:p>
    <w:p w14:paraId="2E177379">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2.1代理机构收到响应文件的时间不得迟于本磋商文件规定的响应文件接收截止时间。</w:t>
      </w:r>
    </w:p>
    <w:p w14:paraId="49929F78">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2.2代理机构有权通过修改磋商文件推迟响应文件接收截止时间，在此情况下，磋商供应商的所有权利和义务以及受制的响应文件接收截止时间均应以延长后新的响应文件接收截止时间为准。</w:t>
      </w:r>
    </w:p>
    <w:p w14:paraId="3D165FF1">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3、迟交的响应文件</w:t>
      </w:r>
    </w:p>
    <w:p w14:paraId="1888D7CC">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3.1代理机构将拒绝在规定的响应文件接收截止时间后接收任何响应文件。</w:t>
      </w:r>
    </w:p>
    <w:p w14:paraId="43A1B647">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4、响应文件的修改和撤回</w:t>
      </w:r>
    </w:p>
    <w:p w14:paraId="74FC87A3">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4.1磋商供应商在递交响应文件后，可以修改或撤回其磋商响应文件，但这种修改和撤回，必须在规定的响应文件接收截止时间前，以书面形式送达指定地点。</w:t>
      </w:r>
    </w:p>
    <w:p w14:paraId="110A7BBE">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4.2磋商供应商的修改或撤回通知书，应按本文件规定进行编制、密封、标记和发送，并应在封套上加注“修改”和“撤回”字样。</w:t>
      </w:r>
    </w:p>
    <w:p w14:paraId="7ACF5E37">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4.3 磋商供应商在提交最后报价之前，可以根据磋商情况退出磋商。</w:t>
      </w:r>
    </w:p>
    <w:p w14:paraId="1C8270CF">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5、磋商响应有效期</w:t>
      </w:r>
    </w:p>
    <w:p w14:paraId="6DD84C16">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5.1 磋商响应有效期为代理机构规定的响应文件接收截止时间后六十（60）天。磋商响应有效期比规定短的将被视为非实质性响应性而予以拒绝。</w:t>
      </w:r>
    </w:p>
    <w:p w14:paraId="367C38B3">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5.2 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同意延长磋商响应有效期的磋商供应商既不能要求也不允许修改其响应文件，同时受磋商响应有效期约束的所有权利与义务均延长至新的有效期。</w:t>
      </w:r>
    </w:p>
    <w:p w14:paraId="52ADEBF3">
      <w:pPr>
        <w:pBdr>
          <w:top w:val="none" w:color="000000" w:sz="0" w:space="0"/>
          <w:left w:val="none" w:color="000000" w:sz="0" w:space="0"/>
          <w:bottom w:val="none" w:color="000000" w:sz="0" w:space="0"/>
          <w:right w:val="none" w:color="000000" w:sz="0" w:space="0"/>
        </w:pBdr>
        <w:spacing w:after="0" w:line="479" w:lineRule="atLeast"/>
        <w:ind w:firstLine="482"/>
        <w:rPr>
          <w:color w:val="auto"/>
          <w:highlight w:val="none"/>
          <w:lang w:eastAsia="zh-CN"/>
        </w:rPr>
      </w:pPr>
      <w:r>
        <w:rPr>
          <w:rFonts w:ascii="仿宋" w:hAnsi="仿宋" w:eastAsia="仿宋" w:cs="仿宋"/>
          <w:b/>
          <w:color w:val="auto"/>
          <w:sz w:val="24"/>
          <w:highlight w:val="none"/>
          <w:lang w:eastAsia="zh-CN"/>
        </w:rPr>
        <w:t>四、磋商与评审</w:t>
      </w:r>
    </w:p>
    <w:p w14:paraId="46F741F5">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1、磋商仪式</w:t>
      </w:r>
    </w:p>
    <w:p w14:paraId="5C293131">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1.1代理机构将在采购邀请中规定的时间和地点组织磋商开始仪式，仪式由代理机构主持，磋商供应商应委派携带有效证件的代表准时参加，参加仪式的代表需签名以证明其出席。</w:t>
      </w:r>
    </w:p>
    <w:p w14:paraId="29A62D43">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2、磋商小组</w:t>
      </w:r>
    </w:p>
    <w:p w14:paraId="07DB2F10">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2.1 磋商开始仪式结束后，代理机构将立即组织磋商小组进行评审。</w:t>
      </w:r>
    </w:p>
    <w:p w14:paraId="53653119">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2.2 磋商小组由政府采购评审专家、采购人代表组成，且人员构成符合政府采购有关规定。</w:t>
      </w:r>
    </w:p>
    <w:p w14:paraId="5A2663FA">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3、磋商评审过程的保密与公正</w:t>
      </w:r>
    </w:p>
    <w:p w14:paraId="692DCDC8">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3.1磋商小组、采购人和代理机构工作人员、相关监督人员等与评审工作有关的人员，对评审情况以及在评审过程中获悉的国家秘密、商业秘密负有保密责任。</w:t>
      </w:r>
    </w:p>
    <w:p w14:paraId="5B83C47B">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3.2在磋商评审过程中，磋商供应商不得以任何行为影响磋商评审过程，否则其响应文件将被作为无效响应文件。</w:t>
      </w:r>
    </w:p>
    <w:p w14:paraId="4D31F821">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5CF4F9E">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4、评审过程的澄清、说明和更正</w:t>
      </w:r>
    </w:p>
    <w:p w14:paraId="37EFF4FD">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A00D3E4">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0C402565">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4.3 接到磋商小组澄清要求的供应商如未按规定做出澄清，其风险由供应商自行承担。</w:t>
      </w:r>
    </w:p>
    <w:p w14:paraId="7E76870A">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5、对响应文件的初审</w:t>
      </w:r>
    </w:p>
    <w:p w14:paraId="63D649F9">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5.1响应文件初审分为资格性检查和符合性检查。</w:t>
      </w:r>
    </w:p>
    <w:p w14:paraId="6E859938">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资格性检查：依据法律法规和磋商文件的规定，对响应文件中的资格证明文件、磋商保证金等进行审查，以确定供应商是否具备参加磋商的资格。</w:t>
      </w:r>
    </w:p>
    <w:p w14:paraId="66BD527A">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符合性检查：依据磋商文件的规定，从响应文件的有效性、完整性和对磋商文件的响应程度进行审查，以确定是否对磋商文件的实质性要求作出响应。</w:t>
      </w:r>
    </w:p>
    <w:p w14:paraId="57544505">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5.2在正式磋商之前，磋商小组将首先审查每份响应文件是否实质性响应了磋商文件的要求。实质性响应的响应文件应该是与磋商文件要求的条款、条件和规格相符，没有重大偏离或保留。</w:t>
      </w:r>
    </w:p>
    <w:p w14:paraId="52ACBE5D">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14:paraId="648F34A8">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5.3 被认定为未实质性响应磋商文件的响应文件的情形</w:t>
      </w:r>
    </w:p>
    <w:p w14:paraId="1F98A51F">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（1）未按照磋商文件规定要求密封、签署、盖章的；</w:t>
      </w:r>
    </w:p>
    <w:p w14:paraId="07AA8669">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（2）供应商不具备磋商文件规定的资格要求的；</w:t>
      </w:r>
    </w:p>
    <w:p w14:paraId="199EBE10">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（3）报价超过磋商文件中规定的预算金额或最高限价的；</w:t>
      </w:r>
    </w:p>
    <w:p w14:paraId="1EAF9272">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（4）次轮报价超过上轮报价的；</w:t>
      </w:r>
    </w:p>
    <w:p w14:paraId="76ACB185">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（5）同一供应商在同一报价阶段提交两个（含两个）以上不同的响应报价的；</w:t>
      </w:r>
    </w:p>
    <w:p w14:paraId="2AD58B9B">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（6）响应文件含有采购人不能接受的附加条件的；</w:t>
      </w:r>
    </w:p>
    <w:p w14:paraId="3663BE6C">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（7）不符合法律、法规和磋商文件中规定的其他实质性要求和条件的；</w:t>
      </w:r>
    </w:p>
    <w:p w14:paraId="00E8A9AB">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（8）出现影响采购公正的违法违纪行为的；</w:t>
      </w:r>
    </w:p>
    <w:p w14:paraId="504AE67E">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（9）其他法律、法规及本磋商文件规定的属未实质性响应的响应文件的情形。</w:t>
      </w:r>
    </w:p>
    <w:p w14:paraId="61C73BE7">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5.4 未实质性响应磋商文件的响应文件按无效响应处理，磋商小组将予以拒绝，供应商不得通过修改或撤销不合要求的偏离或保留而使其响应文件成为实质性响应的文件。</w:t>
      </w:r>
    </w:p>
    <w:p w14:paraId="5DDFA24B">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6、磋商程序及评审方法和标准</w:t>
      </w:r>
    </w:p>
    <w:p w14:paraId="3F6568CE">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6.1磋商程序</w:t>
      </w:r>
    </w:p>
    <w:p w14:paraId="1BAC0088">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6.1.1.开标后，采购委托磋商小组根据竞争性磋商文件的规定和要求，对磋商响应供应商提供的资格证明材料是否齐全、是否符合竞争性磋商文件规定的资格要求进行审查，合格的进入评标磋商评审。</w:t>
      </w:r>
    </w:p>
    <w:p w14:paraId="15F79EAB">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6.1.2.磋商小组对符合资格条件的磋商响应供应商提交的磋商响应文件进行审查。重点审查磋商响应文件的有效性、完整性和实质性响应程度等。</w:t>
      </w:r>
    </w:p>
    <w:p w14:paraId="3D0C712F">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6.1.3.磋商小组如遇磋商响应文件中含义不明确、同类问题表述不一致或者有明显文字和计算错误的内容，可向磋商响应供应商质询。磋商响应供应商的澄清、说明或者补正，应当采用书面形式由磋商响应供应商代表签字，但不得超出竞争性磋商文件的范围或者改变其实质性内容。</w:t>
      </w:r>
    </w:p>
    <w:p w14:paraId="1998C00E">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6.1.4.磋商过程中的任何一方不得透露与评标有关的其他磋商响应供应商技术资料、报价和有关信息。竞争性磋商文件有实质性变动的，磋商小组应以书面形式通知所有磋商响应供应商。</w:t>
      </w:r>
    </w:p>
    <w:p w14:paraId="722722CB">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6.1.5.磋商小组按竞争性磋商文件规定的评标方法和标准，对合格的磋商响应供应商的技术标响应文件进行评审评估，确定其是否进入磋商环节。</w:t>
      </w:r>
    </w:p>
    <w:p w14:paraId="1B4A7E06">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6.1.6.磋商小组对进入磋商环节的磋商响应供应商提供的技术标文件，综合比较与评价后，磋商小组评委成员集体与磋商响应供应商进行磋商。</w:t>
      </w:r>
    </w:p>
    <w:p w14:paraId="7CCCEC49">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6.1.7.经磋商确定最终采购需求和进入最终评审的磋商响应供应商。</w:t>
      </w:r>
    </w:p>
    <w:p w14:paraId="14E55815">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6.1.8.磋商小组评委成员独立对每个入围最终评审的磋商响应供应商提供的磋商响应文件，按竞争性磋商文件载明的方法进行评审打分，确定其技术标得分。</w:t>
      </w:r>
    </w:p>
    <w:p w14:paraId="2184E90F">
      <w:pPr>
        <w:pBdr>
          <w:top w:val="none" w:color="000000" w:sz="0" w:space="0"/>
          <w:left w:val="none" w:color="000000" w:sz="0" w:space="0"/>
          <w:bottom w:val="none" w:color="000000" w:sz="0" w:space="0"/>
          <w:right w:val="none" w:color="000000" w:sz="0" w:space="0"/>
        </w:pBdr>
        <w:spacing w:after="0" w:line="479" w:lineRule="atLeast"/>
        <w:ind w:firstLine="482"/>
        <w:rPr>
          <w:color w:val="auto"/>
          <w:highlight w:val="none"/>
          <w:lang w:eastAsia="zh-CN"/>
        </w:rPr>
      </w:pPr>
      <w:r>
        <w:rPr>
          <w:rFonts w:ascii="仿宋" w:hAnsi="仿宋" w:eastAsia="仿宋" w:cs="仿宋"/>
          <w:b/>
          <w:color w:val="auto"/>
          <w:sz w:val="24"/>
          <w:highlight w:val="none"/>
          <w:u w:val="single"/>
          <w:lang w:eastAsia="zh-CN"/>
        </w:rPr>
        <w:t>6.1.9本次磋商项目评审，磋商响应供应商的技术标和响应报价综合得分由高到低按序排列，排名第一的为成交候选单位，并将结果通知所有磋商响应供应商。</w:t>
      </w:r>
    </w:p>
    <w:p w14:paraId="24295C70">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6.2 评审方法和标准</w:t>
      </w:r>
    </w:p>
    <w:p w14:paraId="2D86A7E8">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6.2.1评审方法。经磋商确定最终采购需求，由磋商小组采用综合评分法对提交的供应商的响应文件进行综合评分。</w:t>
      </w:r>
    </w:p>
    <w:p w14:paraId="175E9103">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77D99754">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6.2.2评审标准</w:t>
      </w:r>
    </w:p>
    <w:p w14:paraId="0756D382">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见本磋商文件第六章规定。</w:t>
      </w:r>
    </w:p>
    <w:p w14:paraId="387E9088">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6.3采购活动终止的情况</w:t>
      </w:r>
    </w:p>
    <w:p w14:paraId="279AF648">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出现下列情形之一的，本次竞争性磋商采购活动将被终止：</w:t>
      </w:r>
    </w:p>
    <w:p w14:paraId="7B8EB2C6">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（1）因情况变化，不再符合规定的竞争性磋商采购方式适用情形的；</w:t>
      </w:r>
    </w:p>
    <w:p w14:paraId="42F7C001">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（2）出现影响采购公正的违法、违规行为的；</w:t>
      </w:r>
    </w:p>
    <w:p w14:paraId="0D50230B">
      <w:pPr>
        <w:pBdr>
          <w:top w:val="none" w:color="000000" w:sz="0" w:space="0"/>
          <w:left w:val="none" w:color="000000" w:sz="0" w:space="0"/>
          <w:bottom w:val="none" w:color="000000" w:sz="0" w:space="0"/>
          <w:right w:val="none" w:color="000000" w:sz="0" w:space="0"/>
        </w:pBdr>
        <w:spacing w:after="0" w:line="479" w:lineRule="atLeast"/>
        <w:ind w:firstLine="482"/>
        <w:rPr>
          <w:color w:val="auto"/>
          <w:highlight w:val="none"/>
          <w:lang w:eastAsia="zh-CN"/>
        </w:rPr>
      </w:pPr>
      <w:r>
        <w:rPr>
          <w:rFonts w:ascii="仿宋" w:hAnsi="仿宋" w:eastAsia="仿宋" w:cs="仿宋"/>
          <w:b/>
          <w:color w:val="auto"/>
          <w:sz w:val="24"/>
          <w:highlight w:val="none"/>
          <w:lang w:eastAsia="zh-CN"/>
        </w:rPr>
        <w:t>五、成交</w:t>
      </w:r>
    </w:p>
    <w:p w14:paraId="024BFD48">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1、确定成交单位</w:t>
      </w:r>
    </w:p>
    <w:p w14:paraId="410EDB1C">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1.1采购人根据磋商小组推荐的成交候选人确定成交供应商。采购人确定成交供应商后，代理机构将在江苏政府采购网发布成交结果公告，公告期限为1个工作日。</w:t>
      </w:r>
    </w:p>
    <w:p w14:paraId="64E7B09C">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1.2若有充分证据证明，成交供应商出现下列情况之一的，一经查实，将被取消成交资格：</w:t>
      </w:r>
    </w:p>
    <w:p w14:paraId="1E35B1F4">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（1）提供虚假材料谋取成交的；</w:t>
      </w:r>
    </w:p>
    <w:p w14:paraId="5239B12B">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（2）与评审专家、采购人、其他供应商或者代理机构工作人员恶意串通的；</w:t>
      </w:r>
    </w:p>
    <w:p w14:paraId="528EEB76">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（3）向评审专家、采购人或代理机构工作人员行贿或者提供其他不正当利益的；</w:t>
      </w:r>
    </w:p>
    <w:p w14:paraId="226A1E4F">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（4）恶意竞争，最终总报价明显低于其自身合理成本且又无法提供证明的；</w:t>
      </w:r>
    </w:p>
    <w:p w14:paraId="1FEC016E">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（5）不满足本磋商文件规定的实质性要求，但在评审过程中又未被磋商小组发现的；</w:t>
      </w:r>
    </w:p>
    <w:p w14:paraId="7BA62618">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（6）成交后无正当理由拒不与采购人签订国企采购合同或者未按照磋商文件确定的事项签订国企采购合同；</w:t>
      </w:r>
    </w:p>
    <w:p w14:paraId="24CF640E">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（7）将政府采购合同转包；</w:t>
      </w:r>
    </w:p>
    <w:p w14:paraId="3E08D781">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（8）法律、法规、规章规定的属于成交无效的其他情形。</w:t>
      </w:r>
    </w:p>
    <w:p w14:paraId="68516F65">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2、质疑处理</w:t>
      </w:r>
    </w:p>
    <w:p w14:paraId="077732AF">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2.1磋商供应商认为磋商文件、采购过程和采购结果使自己的权益受到损害的，可以在知道或应知其权益受到损害之日起七个工作日内，以书面形式向代理机构或采购人提出质疑。上述应知其权益受到损害之日，是指：</w:t>
      </w:r>
    </w:p>
    <w:p w14:paraId="26C52A24">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（1）对可以质疑的磋商文件提出质疑的，为收到磋商文件之日或者磋商文件公告期限届满之日；</w:t>
      </w:r>
    </w:p>
    <w:p w14:paraId="09109AB1">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（2）对采购过程提出质疑的，为各采购程序环节结束之日；</w:t>
      </w:r>
    </w:p>
    <w:p w14:paraId="2A6C07F5">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（3）对成交结果提出质疑的，为成交结果公告期限届满之日。</w:t>
      </w:r>
    </w:p>
    <w:p w14:paraId="19BBE420">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2.2质疑必须由磋商供应商法定代表人或授权代表（响应文件中所确定的）以原件送达的方式提交，未按上述要求提交的质疑函（含传真、电子邮件等）代理机构有权不予受理。</w:t>
      </w:r>
    </w:p>
    <w:p w14:paraId="515BBEB3">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2.3未参加磋商采购活动的供应商或在磋商采购活动中自身权益未受到损害的供应商所提出的质疑不予受理。</w:t>
      </w:r>
    </w:p>
    <w:p w14:paraId="393FF450">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2.4质疑函应当包括下列内容：</w:t>
      </w:r>
    </w:p>
    <w:p w14:paraId="10F6D6E6">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（1）质疑供应商的名称、地址、邮编、联系人、联系电话；</w:t>
      </w:r>
    </w:p>
    <w:p w14:paraId="16C49241">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（2）具体的质疑事项及明确的请求；</w:t>
      </w:r>
    </w:p>
    <w:p w14:paraId="1EAECCA2">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（3）认为自己合法权益受到损害或可能受到损害的相关证据材料；</w:t>
      </w:r>
    </w:p>
    <w:p w14:paraId="6D78BC7F">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（4）提起质疑的日期；</w:t>
      </w:r>
    </w:p>
    <w:p w14:paraId="57FD3A31">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14:paraId="740D6398">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2.5代理机构收到质疑函后，将对质疑的形式和内容进行审查，如质疑函内容、格式不符合规定，代理机构将告知质疑人进行补正。</w:t>
      </w:r>
    </w:p>
    <w:p w14:paraId="2C6C7998">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2.6质疑人应当在法定质疑期限内进行补正并重新提交质疑函，拒不补正或者在法定期限内未重新提交质疑函的，为无效质疑，代理机构有权不予受理。</w:t>
      </w:r>
    </w:p>
    <w:p w14:paraId="2862C624">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2.7对于内容、格式符合规定的质疑函，代理机构将在收到参加磋商供应商的书面质疑后七个工作日内作出答复，并以书面形式通知质疑供应商和其他相关供应商，答复的内容不涉及商业秘密。</w:t>
      </w:r>
    </w:p>
    <w:p w14:paraId="5F00570C">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2.8供应商提出书面质疑必须有理、有据，不得恶意质疑或提交虚假质疑。否则，一经查实，代理机构有权依据政府采购的有关规定，报请政府采购监管部门对该供应商进行相应的行政处罚。</w:t>
      </w:r>
    </w:p>
    <w:p w14:paraId="2F46EB78">
      <w:pPr>
        <w:pBdr>
          <w:top w:val="none" w:color="000000" w:sz="0" w:space="0"/>
          <w:left w:val="none" w:color="000000" w:sz="0" w:space="0"/>
          <w:bottom w:val="none" w:color="000000" w:sz="0" w:space="0"/>
          <w:right w:val="none" w:color="000000" w:sz="0" w:space="0"/>
        </w:pBdr>
        <w:spacing w:after="0" w:line="479" w:lineRule="atLeast"/>
        <w:ind w:firstLine="480"/>
        <w:jc w:val="both"/>
        <w:rPr>
          <w:color w:val="auto"/>
          <w:highlight w:val="none"/>
          <w:lang w:eastAsia="zh-CN"/>
        </w:rPr>
      </w:pPr>
      <w:r>
        <w:rPr>
          <w:rFonts w:ascii="仿宋" w:hAnsi="仿宋" w:eastAsia="仿宋" w:cs="仿宋"/>
          <w:color w:val="auto"/>
          <w:sz w:val="24"/>
          <w:highlight w:val="none"/>
          <w:lang w:eastAsia="zh-CN"/>
        </w:rPr>
        <w:t>注明：本竞争性磋商文件要求所有磋商供应商应在法定质疑期内一次性提出针对同一采购程序环节的质疑。</w:t>
      </w:r>
    </w:p>
    <w:p w14:paraId="2AD1C1F4">
      <w:pPr>
        <w:pBdr>
          <w:top w:val="none" w:color="000000" w:sz="0" w:space="0"/>
          <w:left w:val="none" w:color="000000" w:sz="0" w:space="0"/>
          <w:bottom w:val="none" w:color="000000" w:sz="0" w:space="0"/>
          <w:right w:val="none" w:color="000000" w:sz="0" w:space="0"/>
        </w:pBdr>
        <w:spacing w:after="0" w:line="479" w:lineRule="atLeast"/>
        <w:ind w:firstLine="482"/>
        <w:rPr>
          <w:color w:val="auto"/>
          <w:highlight w:val="none"/>
          <w:lang w:eastAsia="zh-CN"/>
        </w:rPr>
      </w:pPr>
      <w:r>
        <w:rPr>
          <w:rFonts w:ascii="仿宋" w:hAnsi="仿宋" w:eastAsia="仿宋" w:cs="仿宋"/>
          <w:b/>
          <w:color w:val="auto"/>
          <w:sz w:val="24"/>
          <w:highlight w:val="none"/>
          <w:lang w:eastAsia="zh-CN"/>
        </w:rPr>
        <w:t>六、合同签订相关事项</w:t>
      </w:r>
    </w:p>
    <w:p w14:paraId="01C51065">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1、签订合同</w:t>
      </w:r>
    </w:p>
    <w:p w14:paraId="7433BC5B">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1.l成交供应商确定后，代理机构将向成交供应商发出成交通知书。成交供应商应按成交通知书规定的时间、地点,按照磋商文件确定的事项与采购人签订政府采购合同，且不得迟于成交通知书发出之日起</w:t>
      </w:r>
      <w:r>
        <w:rPr>
          <w:rFonts w:hint="eastAsia" w:ascii="仿宋" w:hAnsi="仿宋" w:eastAsia="仿宋" w:cs="仿宋"/>
          <w:color w:val="auto"/>
          <w:sz w:val="24"/>
          <w:highlight w:val="none"/>
          <w:lang w:val="en-US" w:eastAsia="zh-CN"/>
        </w:rPr>
        <w:t>三十</w:t>
      </w:r>
      <w:r>
        <w:rPr>
          <w:rFonts w:ascii="仿宋" w:hAnsi="仿宋" w:eastAsia="仿宋" w:cs="仿宋"/>
          <w:color w:val="auto"/>
          <w:sz w:val="24"/>
          <w:highlight w:val="none"/>
          <w:lang w:eastAsia="zh-CN"/>
        </w:rPr>
        <w:t>日内，否则磋商保证金将不予退还，由此给采购人造成损失的，成交供应商还应承担赔偿责任。</w:t>
      </w:r>
    </w:p>
    <w:p w14:paraId="303501CE">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1.2 磋商文件、成交供应商的响应文件及磋商采购过程中有关澄清、承诺文件均应作为合同附件。</w:t>
      </w:r>
    </w:p>
    <w:p w14:paraId="084396C9">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DA436A9">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2、履约保证金：本项目免收履约保证金。</w:t>
      </w:r>
    </w:p>
    <w:p w14:paraId="506981E2">
      <w:pPr>
        <w:pBdr>
          <w:top w:val="none" w:color="000000" w:sz="0" w:space="0"/>
          <w:left w:val="none" w:color="000000" w:sz="0" w:space="0"/>
          <w:bottom w:val="none" w:color="000000" w:sz="0" w:space="0"/>
          <w:right w:val="none" w:color="000000" w:sz="0" w:space="0"/>
        </w:pBdr>
        <w:spacing w:after="0" w:line="479" w:lineRule="atLeast"/>
        <w:ind w:firstLine="482"/>
        <w:jc w:val="both"/>
        <w:rPr>
          <w:color w:val="auto"/>
          <w:highlight w:val="none"/>
          <w:lang w:eastAsia="zh-CN"/>
        </w:rPr>
      </w:pPr>
      <w:r>
        <w:rPr>
          <w:rFonts w:ascii="仿宋" w:hAnsi="仿宋" w:eastAsia="仿宋" w:cs="仿宋"/>
          <w:b/>
          <w:color w:val="auto"/>
          <w:sz w:val="24"/>
          <w:highlight w:val="none"/>
          <w:lang w:eastAsia="zh-CN"/>
        </w:rPr>
        <w:t>七、采购代理服务费</w:t>
      </w:r>
    </w:p>
    <w:p w14:paraId="701D781D">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1、本项目招标代理服务费由成交供应商承担，代理服务费为</w:t>
      </w:r>
      <w:r>
        <w:rPr>
          <w:rFonts w:hint="eastAsia" w:ascii="仿宋" w:hAnsi="仿宋" w:eastAsia="仿宋" w:cs="仿宋"/>
          <w:color w:val="auto"/>
          <w:sz w:val="24"/>
          <w:highlight w:val="none"/>
          <w:lang w:eastAsia="zh-CN"/>
        </w:rPr>
        <w:t>5</w:t>
      </w:r>
      <w:r>
        <w:rPr>
          <w:rFonts w:ascii="仿宋" w:hAnsi="仿宋" w:eastAsia="仿宋" w:cs="仿宋"/>
          <w:color w:val="auto"/>
          <w:sz w:val="24"/>
          <w:highlight w:val="none"/>
          <w:lang w:eastAsia="zh-CN"/>
        </w:rPr>
        <w:t>000.00元，请成交供应商在领取成交通知书前缴纳至招标代理机构。</w:t>
      </w:r>
    </w:p>
    <w:p w14:paraId="07C11CC5">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2、无论招标过程和结果如何，参加投标的磋商供应商自行承担与本次项目招标有关的全部费用。</w:t>
      </w:r>
    </w:p>
    <w:p w14:paraId="1A330226">
      <w:pPr>
        <w:pBdr>
          <w:top w:val="none" w:color="000000" w:sz="0" w:space="0"/>
          <w:left w:val="none" w:color="000000" w:sz="0" w:space="0"/>
          <w:bottom w:val="none" w:color="000000" w:sz="0" w:space="0"/>
          <w:right w:val="none" w:color="000000" w:sz="0" w:space="0"/>
        </w:pBdr>
        <w:spacing w:after="0" w:line="479" w:lineRule="atLeast"/>
        <w:ind w:firstLine="482"/>
        <w:jc w:val="both"/>
        <w:rPr>
          <w:color w:val="auto"/>
          <w:highlight w:val="none"/>
          <w:lang w:eastAsia="zh-CN"/>
        </w:rPr>
      </w:pPr>
      <w:r>
        <w:rPr>
          <w:rFonts w:ascii="仿宋" w:hAnsi="仿宋" w:eastAsia="仿宋" w:cs="仿宋"/>
          <w:b/>
          <w:color w:val="auto"/>
          <w:sz w:val="24"/>
          <w:highlight w:val="none"/>
          <w:lang w:eastAsia="zh-CN"/>
        </w:rPr>
        <w:t>八、监督管理</w:t>
      </w:r>
    </w:p>
    <w:p w14:paraId="0305050F">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本级财政部门对全区政府采购公共资源交易活动进行监督管理。</w:t>
      </w:r>
    </w:p>
    <w:p w14:paraId="79F77391">
      <w:pPr>
        <w:pBdr>
          <w:top w:val="none" w:color="000000" w:sz="0" w:space="0"/>
          <w:left w:val="none" w:color="000000" w:sz="0" w:space="0"/>
          <w:bottom w:val="none" w:color="000000" w:sz="0" w:space="0"/>
          <w:right w:val="none" w:color="000000" w:sz="0" w:space="0"/>
        </w:pBdr>
        <w:spacing w:after="0" w:line="479" w:lineRule="atLeast"/>
        <w:ind w:firstLine="482"/>
        <w:jc w:val="both"/>
        <w:rPr>
          <w:color w:val="auto"/>
          <w:highlight w:val="none"/>
          <w:lang w:eastAsia="zh-CN"/>
        </w:rPr>
      </w:pPr>
      <w:r>
        <w:rPr>
          <w:rFonts w:ascii="仿宋" w:hAnsi="仿宋" w:eastAsia="仿宋" w:cs="仿宋"/>
          <w:b/>
          <w:color w:val="auto"/>
          <w:sz w:val="24"/>
          <w:highlight w:val="none"/>
          <w:lang w:eastAsia="zh-CN"/>
        </w:rPr>
        <w:t>九、其他：</w:t>
      </w:r>
    </w:p>
    <w:p w14:paraId="52E34114">
      <w:pPr>
        <w:pBdr>
          <w:top w:val="none" w:color="000000" w:sz="0" w:space="0"/>
          <w:left w:val="none" w:color="000000" w:sz="0" w:space="0"/>
          <w:bottom w:val="none" w:color="000000" w:sz="0" w:space="0"/>
          <w:right w:val="none" w:color="000000" w:sz="0" w:space="0"/>
        </w:pBdr>
        <w:spacing w:after="0" w:line="479" w:lineRule="atLeast"/>
        <w:ind w:firstLine="480"/>
        <w:rPr>
          <w:color w:val="auto"/>
          <w:highlight w:val="none"/>
          <w:lang w:eastAsia="zh-CN"/>
        </w:rPr>
      </w:pPr>
      <w:r>
        <w:rPr>
          <w:rFonts w:ascii="仿宋" w:hAnsi="仿宋" w:eastAsia="仿宋" w:cs="仿宋"/>
          <w:color w:val="auto"/>
          <w:sz w:val="24"/>
          <w:highlight w:val="none"/>
          <w:lang w:eastAsia="zh-CN"/>
        </w:rPr>
        <w:t>未尽事宜按有关的法律法规的规定执行。</w:t>
      </w:r>
    </w:p>
    <w:p w14:paraId="2203EA14">
      <w:pPr>
        <w:pBdr>
          <w:top w:val="none" w:color="000000" w:sz="0" w:space="0"/>
          <w:left w:val="none" w:color="000000" w:sz="0" w:space="0"/>
          <w:bottom w:val="none" w:color="000000" w:sz="0" w:space="0"/>
          <w:right w:val="none" w:color="000000" w:sz="0" w:space="0"/>
        </w:pBdr>
        <w:spacing w:after="0"/>
        <w:rPr>
          <w:color w:val="auto"/>
          <w:highlight w:val="none"/>
          <w:lang w:eastAsia="zh-CN"/>
        </w:rPr>
      </w:pPr>
      <w:r>
        <w:rPr>
          <w:color w:val="auto"/>
          <w:highlight w:val="none"/>
          <w:lang w:eastAsia="zh-CN"/>
        </w:rPr>
        <w:br w:type="page" w:clear="all"/>
      </w:r>
    </w:p>
    <w:p w14:paraId="0FED5CFA">
      <w:pPr>
        <w:pBdr>
          <w:top w:val="none" w:color="000000" w:sz="0" w:space="0"/>
          <w:left w:val="none" w:color="000000" w:sz="0" w:space="0"/>
          <w:bottom w:val="none" w:color="000000" w:sz="0" w:space="0"/>
          <w:right w:val="none" w:color="000000" w:sz="0" w:space="0"/>
        </w:pBdr>
        <w:spacing w:after="0"/>
        <w:rPr>
          <w:color w:val="auto"/>
          <w:highlight w:val="none"/>
          <w:lang w:eastAsia="zh-CN"/>
        </w:rPr>
      </w:pPr>
      <w:r>
        <w:rPr>
          <w:rFonts w:ascii="宋体" w:hAnsi="宋体" w:eastAsia="宋体" w:cs="宋体"/>
          <w:b/>
          <w:color w:val="auto"/>
          <w:sz w:val="24"/>
          <w:highlight w:val="none"/>
          <w:lang w:eastAsia="zh-CN"/>
        </w:rPr>
        <w:t xml:space="preserve"> </w:t>
      </w:r>
    </w:p>
    <w:p w14:paraId="2D140696">
      <w:pPr>
        <w:pBdr>
          <w:top w:val="none" w:color="000000" w:sz="0" w:space="0"/>
          <w:left w:val="none" w:color="000000" w:sz="0" w:space="0"/>
          <w:bottom w:val="none" w:color="000000" w:sz="0" w:space="0"/>
          <w:right w:val="none" w:color="000000" w:sz="0" w:space="0"/>
        </w:pBdr>
        <w:spacing w:after="0"/>
        <w:ind w:firstLine="2891" w:firstLineChars="800"/>
        <w:jc w:val="both"/>
        <w:rPr>
          <w:color w:val="auto"/>
          <w:highlight w:val="none"/>
          <w:lang w:eastAsia="zh-CN"/>
        </w:rPr>
      </w:pPr>
      <w:r>
        <w:rPr>
          <w:rFonts w:ascii="宋体" w:hAnsi="宋体" w:eastAsia="宋体" w:cs="宋体"/>
          <w:b/>
          <w:color w:val="auto"/>
          <w:sz w:val="36"/>
          <w:highlight w:val="none"/>
          <w:lang w:eastAsia="zh-CN"/>
        </w:rPr>
        <w:t>第三章  项目需求</w:t>
      </w:r>
    </w:p>
    <w:p w14:paraId="4349F113">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一、项目概况</w:t>
      </w:r>
    </w:p>
    <w:p w14:paraId="29901713">
      <w:pPr>
        <w:keepNext w:val="0"/>
        <w:keepLines w:val="0"/>
        <w:pageBreakBefore w:val="0"/>
        <w:kinsoku/>
        <w:wordWrap/>
        <w:overflowPunct/>
        <w:topLinePunct w:val="0"/>
        <w:autoSpaceDE/>
        <w:autoSpaceDN/>
        <w:bidi w:val="0"/>
        <w:adjustRightInd/>
        <w:snapToGrid/>
        <w:spacing w:line="360" w:lineRule="auto"/>
        <w:ind w:left="0" w:firstLine="48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、服务对象</w:t>
      </w:r>
    </w:p>
    <w:p w14:paraId="28544ABD">
      <w:pPr>
        <w:keepNext w:val="0"/>
        <w:keepLines w:val="0"/>
        <w:pageBreakBefore w:val="0"/>
        <w:kinsoku/>
        <w:wordWrap/>
        <w:overflowPunct/>
        <w:topLinePunct w:val="0"/>
        <w:autoSpaceDE/>
        <w:autoSpaceDN/>
        <w:bidi w:val="0"/>
        <w:adjustRightInd/>
        <w:snapToGrid/>
        <w:spacing w:line="360" w:lineRule="auto"/>
        <w:ind w:left="502" w:leftChars="228" w:firstLine="0" w:firstLineChars="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年满</w:t>
      </w:r>
      <w:r>
        <w:rPr>
          <w:rFonts w:hint="eastAsia" w:ascii="仿宋_GB2312" w:hAnsi="仿宋_GB2312" w:eastAsia="仿宋_GB2312" w:cs="仿宋_GB2312"/>
          <w:color w:val="auto"/>
          <w:spacing w:val="12"/>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60</w:t>
      </w:r>
      <w:r>
        <w:rPr>
          <w:rFonts w:hint="eastAsia" w:ascii="仿宋_GB2312" w:hAnsi="仿宋_GB2312" w:eastAsia="仿宋_GB2312" w:cs="仿宋_GB2312"/>
          <w:color w:val="auto"/>
          <w:spacing w:val="-48"/>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周岁、户籍在</w:t>
      </w:r>
      <w:r>
        <w:rPr>
          <w:rFonts w:hint="eastAsia" w:ascii="仿宋_GB2312" w:hAnsi="仿宋_GB2312" w:eastAsia="仿宋_GB2312" w:cs="仿宋_GB2312"/>
          <w:color w:val="auto"/>
          <w:sz w:val="24"/>
          <w:szCs w:val="24"/>
          <w:highlight w:val="none"/>
          <w:lang w:val="en-US" w:eastAsia="zh-CN" w:bidi="ar-SA"/>
        </w:rPr>
        <w:t>中兴</w:t>
      </w:r>
      <w:r>
        <w:rPr>
          <w:rFonts w:hint="eastAsia" w:ascii="仿宋_GB2312" w:hAnsi="仿宋_GB2312" w:eastAsia="仿宋_GB2312" w:cs="仿宋_GB2312"/>
          <w:color w:val="auto"/>
          <w:sz w:val="24"/>
          <w:szCs w:val="24"/>
          <w:highlight w:val="none"/>
          <w:lang w:val="en-US" w:eastAsia="en-US" w:bidi="ar-SA"/>
        </w:rPr>
        <w:t>街道，经审批符合政府购买服务条件的老年人，包括：</w:t>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pacing w:val="34"/>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1、分散供养的城镇“三无”老人，人数为 0人；</w:t>
      </w:r>
    </w:p>
    <w:p w14:paraId="6E6762FD">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2、分散供养的农村“五保”老人，人数为 0人；</w:t>
      </w:r>
    </w:p>
    <w:p w14:paraId="1B1AEBD2">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3、低保家庭 60周岁以上老人，人数为 1人；</w:t>
      </w:r>
    </w:p>
    <w:p w14:paraId="78EC9BB5">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4、低收入家庭 60周岁以上老人，人数为 1人；</w:t>
      </w:r>
    </w:p>
    <w:p w14:paraId="2248D720">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5、60周岁以上重点优抚对象，人数为28人；</w:t>
      </w:r>
    </w:p>
    <w:p w14:paraId="4C33B242">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6、75 周岁以上无子女家庭的老人，人数为 11 人；</w:t>
      </w:r>
    </w:p>
    <w:p w14:paraId="7932F15B">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7、80 周岁以上重度失能老人，人数为 8人；</w:t>
      </w:r>
    </w:p>
    <w:p w14:paraId="05784BE3">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8、90周岁以上老人，人数为 153人；</w:t>
      </w:r>
    </w:p>
    <w:p w14:paraId="2909AB6E">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9、80-89周岁老人，人数为 812人</w:t>
      </w:r>
    </w:p>
    <w:p w14:paraId="384B5446">
      <w:pPr>
        <w:keepNext w:val="0"/>
        <w:keepLines w:val="0"/>
        <w:pageBreakBefore w:val="0"/>
        <w:kinsoku/>
        <w:wordWrap/>
        <w:overflowPunct/>
        <w:topLinePunct w:val="0"/>
        <w:autoSpaceDE/>
        <w:autoSpaceDN/>
        <w:bidi w:val="0"/>
        <w:adjustRightInd/>
        <w:snapToGrid/>
        <w:spacing w:line="360" w:lineRule="auto"/>
        <w:ind w:left="0" w:firstLine="46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3"/>
          <w:sz w:val="24"/>
          <w:szCs w:val="24"/>
          <w:highlight w:val="none"/>
          <w:lang w:val="en-US" w:eastAsia="en-US" w:bidi="ar-SA"/>
        </w:rPr>
        <w:t>服务对象享受补贴的标准按照《南通经济开发区居家和社区养老政府购买服</w:t>
      </w:r>
      <w:r>
        <w:rPr>
          <w:rFonts w:hint="eastAsia" w:ascii="仿宋_GB2312" w:hAnsi="仿宋_GB2312" w:eastAsia="仿宋_GB2312" w:cs="仿宋_GB2312"/>
          <w:color w:val="auto"/>
          <w:spacing w:val="1"/>
          <w:sz w:val="24"/>
          <w:szCs w:val="24"/>
          <w:highlight w:val="none"/>
          <w:lang w:val="en-US" w:eastAsia="en-US" w:bidi="ar-SA"/>
        </w:rPr>
        <w:t>务补贴办法》（通开发民政</w:t>
      </w:r>
      <w:r>
        <w:rPr>
          <w:rFonts w:hint="eastAsia" w:ascii="仿宋_GB2312" w:hAnsi="仿宋_GB2312" w:eastAsia="仿宋_GB2312" w:cs="仿宋_GB2312"/>
          <w:color w:val="auto"/>
          <w:sz w:val="24"/>
          <w:szCs w:val="24"/>
          <w:highlight w:val="none"/>
          <w:lang w:val="en-US" w:eastAsia="en-US" w:bidi="ar-SA"/>
        </w:rPr>
        <w:t>[2019]18</w:t>
      </w:r>
      <w:r>
        <w:rPr>
          <w:rFonts w:hint="eastAsia" w:ascii="仿宋_GB2312" w:hAnsi="仿宋_GB2312" w:eastAsia="仿宋_GB2312" w:cs="仿宋_GB2312"/>
          <w:color w:val="auto"/>
          <w:spacing w:val="2"/>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号）执行，根据居家养老服务老人实际消</w:t>
      </w:r>
      <w:r>
        <w:rPr>
          <w:rFonts w:hint="eastAsia" w:ascii="仿宋_GB2312" w:hAnsi="仿宋_GB2312" w:eastAsia="仿宋_GB2312" w:cs="仿宋_GB2312"/>
          <w:color w:val="auto"/>
          <w:spacing w:val="-3"/>
          <w:sz w:val="24"/>
          <w:szCs w:val="24"/>
          <w:highlight w:val="none"/>
          <w:lang w:val="en-US" w:eastAsia="en-US" w:bidi="ar-SA"/>
        </w:rPr>
        <w:t>费额度进行兑付。养老服务额度仅限用于老人兑换养老服务，限定当季使用，当</w:t>
      </w:r>
      <w:r>
        <w:rPr>
          <w:rFonts w:hint="eastAsia" w:ascii="仿宋_GB2312" w:hAnsi="仿宋_GB2312" w:eastAsia="仿宋_GB2312" w:cs="仿宋_GB2312"/>
          <w:color w:val="auto"/>
          <w:sz w:val="24"/>
          <w:szCs w:val="24"/>
          <w:highlight w:val="none"/>
          <w:lang w:val="en-US" w:eastAsia="en-US" w:bidi="ar-SA"/>
        </w:rPr>
        <w:t>季结清，不得跨季使用。</w:t>
      </w:r>
      <w:r>
        <w:rPr>
          <w:rFonts w:hint="eastAsia" w:ascii="仿宋_GB2312" w:hAnsi="仿宋_GB2312" w:eastAsia="仿宋_GB2312" w:cs="仿宋_GB2312"/>
          <w:color w:val="auto"/>
          <w:spacing w:val="-3"/>
          <w:sz w:val="24"/>
          <w:szCs w:val="24"/>
          <w:highlight w:val="none"/>
          <w:lang w:val="en-US" w:eastAsia="en-US" w:bidi="ar-SA"/>
        </w:rPr>
        <w:t>服务项目的收费标准不得超过《南通市居家和社区养老服务项目清单》（通</w:t>
      </w:r>
      <w:r>
        <w:rPr>
          <w:rFonts w:hint="eastAsia" w:ascii="仿宋_GB2312" w:hAnsi="仿宋_GB2312" w:eastAsia="仿宋_GB2312" w:cs="仿宋_GB2312"/>
          <w:color w:val="auto"/>
          <w:sz w:val="24"/>
          <w:szCs w:val="24"/>
          <w:highlight w:val="none"/>
          <w:lang w:val="en-US" w:eastAsia="en-US" w:bidi="ar-SA"/>
        </w:rPr>
        <w:t>民发[2018]94号）的标准。</w:t>
      </w:r>
    </w:p>
    <w:p w14:paraId="168DD072">
      <w:pPr>
        <w:keepNext w:val="0"/>
        <w:keepLines w:val="0"/>
        <w:pageBreakBefore w:val="0"/>
        <w:numPr>
          <w:ilvl w:val="0"/>
          <w:numId w:val="2"/>
        </w:numPr>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服务场所</w:t>
      </w:r>
    </w:p>
    <w:tbl>
      <w:tblPr>
        <w:tblStyle w:val="36"/>
        <w:tblW w:w="884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36"/>
        <w:gridCol w:w="3001"/>
        <w:gridCol w:w="2326"/>
      </w:tblGrid>
      <w:tr w14:paraId="188FC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16" w:type="dxa"/>
            <w:tcBorders>
              <w:top w:val="single" w:color="000000" w:sz="4" w:space="0"/>
              <w:left w:val="single" w:color="000000" w:sz="4" w:space="0"/>
              <w:bottom w:val="single" w:color="000000" w:sz="4" w:space="0"/>
              <w:right w:val="single" w:color="000000" w:sz="4" w:space="0"/>
            </w:tcBorders>
            <w:noWrap/>
            <w:vAlign w:val="center"/>
          </w:tcPr>
          <w:p w14:paraId="20126E12">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名称</w:t>
            </w:r>
          </w:p>
        </w:tc>
        <w:tc>
          <w:tcPr>
            <w:tcW w:w="3001" w:type="dxa"/>
            <w:tcBorders>
              <w:top w:val="single" w:color="000000" w:sz="4" w:space="0"/>
              <w:left w:val="single" w:color="000000" w:sz="4" w:space="0"/>
              <w:bottom w:val="single" w:color="000000" w:sz="4" w:space="0"/>
              <w:right w:val="single" w:color="000000" w:sz="4" w:space="0"/>
            </w:tcBorders>
            <w:noWrap/>
            <w:vAlign w:val="center"/>
          </w:tcPr>
          <w:p w14:paraId="7CEA6086">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地址</w:t>
            </w:r>
          </w:p>
        </w:tc>
        <w:tc>
          <w:tcPr>
            <w:tcW w:w="2326" w:type="dxa"/>
            <w:tcBorders>
              <w:top w:val="single" w:color="000000" w:sz="4" w:space="0"/>
              <w:left w:val="single" w:color="000000" w:sz="4" w:space="0"/>
              <w:bottom w:val="single" w:color="000000" w:sz="4" w:space="0"/>
              <w:right w:val="single" w:color="000000" w:sz="4" w:space="0"/>
            </w:tcBorders>
            <w:noWrap/>
            <w:vAlign w:val="center"/>
          </w:tcPr>
          <w:p w14:paraId="5941E8ED">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面积（㎡）</w:t>
            </w:r>
          </w:p>
        </w:tc>
      </w:tr>
      <w:tr w14:paraId="0F2CD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5436EF">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富民社区居家养老服务站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0267DB">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富民港路28号</w:t>
            </w:r>
          </w:p>
        </w:tc>
        <w:tc>
          <w:tcPr>
            <w:tcW w:w="2326" w:type="dxa"/>
            <w:tcBorders>
              <w:top w:val="single" w:color="000000" w:sz="4" w:space="0"/>
              <w:left w:val="single" w:color="000000" w:sz="4" w:space="0"/>
              <w:bottom w:val="single" w:color="000000" w:sz="4" w:space="0"/>
              <w:right w:val="single" w:color="000000" w:sz="4" w:space="0"/>
            </w:tcBorders>
            <w:noWrap/>
            <w:vAlign w:val="center"/>
          </w:tcPr>
          <w:p w14:paraId="7CF28962">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1800</w:t>
            </w:r>
          </w:p>
        </w:tc>
      </w:tr>
      <w:tr w14:paraId="6E48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6900F5">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富新社区居家养老服务站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F21925">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富新园</w:t>
            </w:r>
          </w:p>
        </w:tc>
        <w:tc>
          <w:tcPr>
            <w:tcW w:w="2326" w:type="dxa"/>
            <w:tcBorders>
              <w:top w:val="single" w:color="000000" w:sz="4" w:space="0"/>
              <w:left w:val="single" w:color="000000" w:sz="4" w:space="0"/>
              <w:bottom w:val="single" w:color="000000" w:sz="4" w:space="0"/>
              <w:right w:val="single" w:color="000000" w:sz="4" w:space="0"/>
            </w:tcBorders>
            <w:noWrap/>
            <w:vAlign w:val="center"/>
          </w:tcPr>
          <w:p w14:paraId="563872DB">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r>
      <w:tr w14:paraId="76AD7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9098C4">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民主港社区居家养老服务站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8410D0">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星通花园18栋</w:t>
            </w:r>
          </w:p>
        </w:tc>
        <w:tc>
          <w:tcPr>
            <w:tcW w:w="2326" w:type="dxa"/>
            <w:tcBorders>
              <w:top w:val="single" w:color="000000" w:sz="4" w:space="0"/>
              <w:left w:val="single" w:color="000000" w:sz="4" w:space="0"/>
              <w:bottom w:val="single" w:color="000000" w:sz="4" w:space="0"/>
              <w:right w:val="single" w:color="000000" w:sz="4" w:space="0"/>
            </w:tcBorders>
            <w:noWrap/>
            <w:vAlign w:val="center"/>
          </w:tcPr>
          <w:p w14:paraId="7779F94E">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r>
      <w:tr w14:paraId="15C6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5D6419">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东篱社区居家养老服务站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BF0E52">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常青路10号</w:t>
            </w:r>
          </w:p>
        </w:tc>
        <w:tc>
          <w:tcPr>
            <w:tcW w:w="2326" w:type="dxa"/>
            <w:tcBorders>
              <w:top w:val="single" w:color="000000" w:sz="4" w:space="0"/>
              <w:left w:val="single" w:color="000000" w:sz="4" w:space="0"/>
              <w:bottom w:val="single" w:color="000000" w:sz="4" w:space="0"/>
              <w:right w:val="single" w:color="000000" w:sz="4" w:space="0"/>
            </w:tcBorders>
            <w:noWrap/>
            <w:vAlign w:val="center"/>
          </w:tcPr>
          <w:p w14:paraId="3A20CAD0">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r>
      <w:tr w14:paraId="56A1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CBCED82">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望江社区居家养老服务站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CDB3E8">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顺发御园63栋</w:t>
            </w:r>
          </w:p>
        </w:tc>
        <w:tc>
          <w:tcPr>
            <w:tcW w:w="2326" w:type="dxa"/>
            <w:tcBorders>
              <w:top w:val="single" w:color="000000" w:sz="4" w:space="0"/>
              <w:left w:val="single" w:color="000000" w:sz="4" w:space="0"/>
              <w:bottom w:val="single" w:color="000000" w:sz="4" w:space="0"/>
              <w:right w:val="single" w:color="000000" w:sz="4" w:space="0"/>
            </w:tcBorders>
            <w:noWrap/>
            <w:vAlign w:val="center"/>
          </w:tcPr>
          <w:p w14:paraId="7596A7C6">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r>
      <w:tr w14:paraId="38CB6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0F234C">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星湖社区居家养老服务站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16919F">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星湖花园90栋</w:t>
            </w:r>
          </w:p>
        </w:tc>
        <w:tc>
          <w:tcPr>
            <w:tcW w:w="2326" w:type="dxa"/>
            <w:tcBorders>
              <w:top w:val="single" w:color="000000" w:sz="4" w:space="0"/>
              <w:left w:val="single" w:color="000000" w:sz="4" w:space="0"/>
              <w:bottom w:val="single" w:color="000000" w:sz="4" w:space="0"/>
              <w:right w:val="single" w:color="000000" w:sz="4" w:space="0"/>
            </w:tcBorders>
            <w:noWrap/>
            <w:vAlign w:val="center"/>
          </w:tcPr>
          <w:p w14:paraId="1E0E4E2C">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r>
      <w:tr w14:paraId="165FE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E353D0">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永兴社区居家养老服务站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BDF7E6">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人和家园上海路33号</w:t>
            </w:r>
          </w:p>
        </w:tc>
        <w:tc>
          <w:tcPr>
            <w:tcW w:w="2326" w:type="dxa"/>
            <w:tcBorders>
              <w:top w:val="single" w:color="000000" w:sz="4" w:space="0"/>
              <w:left w:val="single" w:color="000000" w:sz="4" w:space="0"/>
              <w:bottom w:val="single" w:color="000000" w:sz="4" w:space="0"/>
              <w:right w:val="single" w:color="000000" w:sz="4" w:space="0"/>
            </w:tcBorders>
            <w:noWrap/>
            <w:vAlign w:val="center"/>
          </w:tcPr>
          <w:p w14:paraId="5131AED3">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r>
    </w:tbl>
    <w:p w14:paraId="615E95F4">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二、服务内容</w:t>
      </w:r>
    </w:p>
    <w:p w14:paraId="1C2D3985">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（一）基本服务：</w:t>
      </w:r>
    </w:p>
    <w:p w14:paraId="6D2E77FB">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1、生活照料</w:t>
      </w:r>
    </w:p>
    <w:p w14:paraId="0C92C811">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w:t>
      </w:r>
      <w:r>
        <w:rPr>
          <w:rFonts w:hint="eastAsia" w:ascii="仿宋_GB2312" w:hAnsi="仿宋_GB2312" w:eastAsia="仿宋_GB2312" w:cs="仿宋_GB2312"/>
          <w:color w:val="auto"/>
          <w:spacing w:val="-7"/>
          <w:sz w:val="24"/>
          <w:szCs w:val="24"/>
          <w:highlight w:val="none"/>
          <w:lang w:val="en-US" w:eastAsia="en-US" w:bidi="ar-SA"/>
        </w:rPr>
        <w:t>）助餐服务：分定点助餐和上门送餐两类。提供一大荤、一小荤、一素、</w:t>
      </w:r>
      <w:r>
        <w:rPr>
          <w:rFonts w:hint="eastAsia" w:ascii="仿宋_GB2312" w:hAnsi="仿宋_GB2312" w:eastAsia="仿宋_GB2312" w:cs="仿宋_GB2312"/>
          <w:color w:val="auto"/>
          <w:sz w:val="24"/>
          <w:szCs w:val="24"/>
          <w:highlight w:val="none"/>
          <w:lang w:val="en-US" w:eastAsia="en-US" w:bidi="ar-SA"/>
        </w:rPr>
        <w:t>一汤、主食一份，第一年价格不超过</w:t>
      </w:r>
      <w:r>
        <w:rPr>
          <w:rFonts w:hint="eastAsia" w:ascii="仿宋_GB2312" w:hAnsi="仿宋_GB2312" w:eastAsia="仿宋_GB2312" w:cs="仿宋_GB2312"/>
          <w:color w:val="auto"/>
          <w:spacing w:val="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10元/餐/人（含上门送餐服务费）。每周</w:t>
      </w:r>
      <w:r>
        <w:rPr>
          <w:rFonts w:hint="eastAsia" w:ascii="仿宋_GB2312" w:hAnsi="仿宋_GB2312" w:eastAsia="仿宋_GB2312" w:cs="仿宋_GB2312"/>
          <w:color w:val="auto"/>
          <w:spacing w:val="-3"/>
          <w:sz w:val="24"/>
          <w:szCs w:val="24"/>
          <w:highlight w:val="none"/>
          <w:lang w:val="en-US" w:eastAsia="en-US" w:bidi="ar-SA"/>
        </w:rPr>
        <w:t>订制食谱并在助餐点公示。助餐工具保持清洁卫生，餐具做到每餐消毒。送餐上门及时，并有必要的保温，保鲜设备。洗、煮饭菜应卫生，无夹生、焦糊；尊重</w:t>
      </w:r>
      <w:r>
        <w:rPr>
          <w:rFonts w:hint="eastAsia" w:ascii="仿宋_GB2312" w:hAnsi="仿宋_GB2312" w:eastAsia="仿宋_GB2312" w:cs="仿宋_GB2312"/>
          <w:color w:val="auto"/>
          <w:sz w:val="24"/>
          <w:szCs w:val="24"/>
          <w:highlight w:val="none"/>
          <w:lang w:val="en-US" w:eastAsia="en-US" w:bidi="ar-SA"/>
        </w:rPr>
        <w:t>老年人的饮食习惯；注意营养均衡，合理配餐。</w:t>
      </w:r>
    </w:p>
    <w:p w14:paraId="14E6854B">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（2）起居服务：协助穿、脱衣服和入厨方法得当，老年人无不适现象；衣物整理放置有序；定时为卧床老年人翻身，无褥疮。</w:t>
      </w:r>
    </w:p>
    <w:p w14:paraId="0B07346B">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（3）助浴服务：助浴前应进行安全提示，助浴过程应有家属在场；上门助</w:t>
      </w:r>
      <w:r>
        <w:rPr>
          <w:rFonts w:hint="eastAsia" w:ascii="仿宋_GB2312" w:hAnsi="仿宋_GB2312" w:eastAsia="仿宋_GB2312" w:cs="仿宋_GB2312"/>
          <w:color w:val="auto"/>
          <w:spacing w:val="-3"/>
          <w:sz w:val="24"/>
          <w:szCs w:val="24"/>
          <w:highlight w:val="none"/>
          <w:lang w:val="en-US" w:eastAsia="en-US" w:bidi="ar-SA"/>
        </w:rPr>
        <w:t>浴是应根据天气情况和老年人居住条件，注意防寒保暖、防暑降温，保持通风透</w:t>
      </w:r>
      <w:r>
        <w:rPr>
          <w:rFonts w:hint="eastAsia" w:ascii="仿宋_GB2312" w:hAnsi="仿宋_GB2312" w:eastAsia="仿宋_GB2312" w:cs="仿宋_GB2312"/>
          <w:color w:val="auto"/>
          <w:sz w:val="24"/>
          <w:szCs w:val="24"/>
          <w:highlight w:val="none"/>
          <w:lang w:val="en-US" w:eastAsia="en-US" w:bidi="ar-SA"/>
        </w:rPr>
        <w:t>气。</w:t>
      </w:r>
    </w:p>
    <w:p w14:paraId="26D24199">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（4）卫生清理服务：协助刷牙、洗脸、洗脚、按摩等，动作适当，老年人</w:t>
      </w:r>
      <w:r>
        <w:rPr>
          <w:rFonts w:hint="eastAsia" w:ascii="仿宋_GB2312" w:hAnsi="仿宋_GB2312" w:eastAsia="仿宋_GB2312" w:cs="仿宋_GB2312"/>
          <w:color w:val="auto"/>
          <w:spacing w:val="-3"/>
          <w:sz w:val="24"/>
          <w:szCs w:val="24"/>
          <w:highlight w:val="none"/>
          <w:lang w:val="en-US" w:eastAsia="en-US" w:bidi="ar-SA"/>
        </w:rPr>
        <w:t>无不适现象，做到衣着舒适、指（趾）甲整洁、无异味；定期清洗、更换床单和</w:t>
      </w:r>
      <w:r>
        <w:rPr>
          <w:rFonts w:hint="eastAsia" w:ascii="仿宋_GB2312" w:hAnsi="仿宋_GB2312" w:eastAsia="仿宋_GB2312" w:cs="仿宋_GB2312"/>
          <w:color w:val="auto"/>
          <w:sz w:val="24"/>
          <w:szCs w:val="24"/>
          <w:highlight w:val="none"/>
          <w:lang w:val="en-US" w:eastAsia="en-US" w:bidi="ar-SA"/>
        </w:rPr>
        <w:t>衣物；定时打扫室内外卫生，保持清洁干净。</w:t>
      </w:r>
    </w:p>
    <w:p w14:paraId="7A081C86">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（5）代办服务：代换煤气、代办各种手续、代缴各种费用等，应按照老人的要求及时办理。</w:t>
      </w:r>
    </w:p>
    <w:p w14:paraId="31DC759E">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2、医疗保健</w:t>
      </w:r>
    </w:p>
    <w:p w14:paraId="25CFA1FE">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（1）预防保健服务：根据老年人需求定制有针对性的预防方案，预防方案应简明扼要、通俗易懂，便于老年人掌握。</w:t>
      </w:r>
    </w:p>
    <w:p w14:paraId="379355D9">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（2）医疗协助服务：遵照医嘱及时提醒和监督老年人按时服药，或陪同就医；协助开展医疗辅助性工作，能正确测量血压、体温等。</w:t>
      </w:r>
    </w:p>
    <w:p w14:paraId="0966DBA6">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w:t>
      </w:r>
      <w:r>
        <w:rPr>
          <w:rFonts w:hint="eastAsia" w:ascii="仿宋_GB2312" w:hAnsi="仿宋_GB2312" w:eastAsia="仿宋_GB2312" w:cs="仿宋_GB2312"/>
          <w:color w:val="auto"/>
          <w:spacing w:val="-7"/>
          <w:sz w:val="24"/>
          <w:szCs w:val="24"/>
          <w:highlight w:val="none"/>
          <w:lang w:val="en-US" w:eastAsia="en-US" w:bidi="ar-SA"/>
        </w:rPr>
        <w:t>）康复护理服务：指导老年人正确执行医嘱，协助老年人正确使用康复、</w:t>
      </w:r>
      <w:r>
        <w:rPr>
          <w:rFonts w:hint="eastAsia" w:ascii="仿宋_GB2312" w:hAnsi="仿宋_GB2312" w:eastAsia="仿宋_GB2312" w:cs="仿宋_GB2312"/>
          <w:color w:val="auto"/>
          <w:sz w:val="24"/>
          <w:szCs w:val="24"/>
          <w:highlight w:val="none"/>
          <w:lang w:val="en-US" w:eastAsia="en-US" w:bidi="ar-SA"/>
        </w:rPr>
        <w:t>保健器材。</w:t>
      </w:r>
    </w:p>
    <w:p w14:paraId="3932FAFC">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（4）健康咨询服务：通过热线电话、网络平台、专题讲座等方式，为老年人普及预防保健、康复护理、心理健康等方面的知识。</w:t>
      </w:r>
    </w:p>
    <w:p w14:paraId="511398B2">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3、家政服务</w:t>
      </w:r>
    </w:p>
    <w:p w14:paraId="2FB92E3A">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（1）安装维修：家具、家电等安装维修，按相关规程操作，并符合老年人意图，无安全隐患，方便使用。</w:t>
      </w:r>
    </w:p>
    <w:p w14:paraId="3C4A6C31">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（2）清洗服务：清洗换气扇、油烟机、燃气灶具等做到安全操作，清洗干净，符合老年人要求。</w:t>
      </w:r>
    </w:p>
    <w:p w14:paraId="1FB3A5F0">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（3）疏通服务：水池、鱼缸、座便器、蹲坑、地漏疏通等按照老年人要求进行，疏通后能正常使用。</w:t>
      </w:r>
    </w:p>
    <w:p w14:paraId="7F3F4D73">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（4）其他家政类服务。</w:t>
      </w:r>
    </w:p>
    <w:p w14:paraId="23B6C7F2">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4、紧急救助</w:t>
      </w:r>
    </w:p>
    <w:p w14:paraId="7BBD4EE0">
      <w:pPr>
        <w:keepNext w:val="0"/>
        <w:keepLines w:val="0"/>
        <w:pageBreakBefore w:val="0"/>
        <w:kinsoku/>
        <w:wordWrap/>
        <w:overflowPunct/>
        <w:topLinePunct w:val="0"/>
        <w:autoSpaceDE/>
        <w:autoSpaceDN/>
        <w:bidi w:val="0"/>
        <w:adjustRightInd/>
        <w:snapToGrid/>
        <w:spacing w:line="360" w:lineRule="auto"/>
        <w:ind w:left="0" w:firstLine="46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3"/>
          <w:sz w:val="24"/>
          <w:szCs w:val="24"/>
          <w:highlight w:val="none"/>
          <w:lang w:val="en-US" w:eastAsia="en-US" w:bidi="ar-SA"/>
        </w:rPr>
        <w:t>呼叫器、求助门铃、远红外感应器等安全防护器材符合国家规定，其功能符</w:t>
      </w:r>
      <w:r>
        <w:rPr>
          <w:rFonts w:hint="eastAsia" w:ascii="仿宋_GB2312" w:hAnsi="仿宋_GB2312" w:eastAsia="仿宋_GB2312" w:cs="仿宋_GB2312"/>
          <w:color w:val="auto"/>
          <w:sz w:val="24"/>
          <w:szCs w:val="24"/>
          <w:highlight w:val="none"/>
          <w:lang w:val="en-US" w:eastAsia="en-US" w:bidi="ar-SA"/>
        </w:rPr>
        <w:t>合老年人的特点和需求。</w:t>
      </w:r>
    </w:p>
    <w:p w14:paraId="03FBE057">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5、精神慰藉</w:t>
      </w:r>
    </w:p>
    <w:p w14:paraId="365F7998">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（1）精神关爱服务：耐心倾听，能与老年人进行谈心交流。</w:t>
      </w:r>
    </w:p>
    <w:p w14:paraId="3F8ECD04">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（2）心理疏导服务：掌握老年人心理特点和基本沟通技巧，善于福安差老年人的情绪爱变化，并通过心理干预手段调整老年人心理状态。</w:t>
      </w:r>
    </w:p>
    <w:p w14:paraId="659C1DA1">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（3）尊重并保护老年人隐私。</w:t>
      </w:r>
    </w:p>
    <w:p w14:paraId="6D77C8EA">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6、其他</w:t>
      </w:r>
    </w:p>
    <w:p w14:paraId="5F171394">
      <w:pPr>
        <w:keepNext w:val="0"/>
        <w:keepLines w:val="0"/>
        <w:pageBreakBefore w:val="0"/>
        <w:kinsoku/>
        <w:wordWrap/>
        <w:overflowPunct/>
        <w:topLinePunct w:val="0"/>
        <w:autoSpaceDE/>
        <w:autoSpaceDN/>
        <w:bidi w:val="0"/>
        <w:adjustRightInd/>
        <w:snapToGrid/>
        <w:spacing w:line="360" w:lineRule="auto"/>
        <w:ind w:left="0" w:firstLine="46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3"/>
          <w:sz w:val="24"/>
          <w:szCs w:val="24"/>
          <w:highlight w:val="none"/>
          <w:lang w:val="en-US" w:eastAsia="en-US" w:bidi="ar-SA"/>
        </w:rPr>
        <w:t>以上服务内容为基本服务项目。服务机构需根据老人需求，制定老人确认的</w:t>
      </w:r>
      <w:r>
        <w:rPr>
          <w:rFonts w:hint="eastAsia" w:ascii="仿宋_GB2312" w:hAnsi="仿宋_GB2312" w:eastAsia="仿宋_GB2312" w:cs="仿宋_GB2312"/>
          <w:color w:val="auto"/>
          <w:sz w:val="24"/>
          <w:szCs w:val="24"/>
          <w:highlight w:val="none"/>
          <w:lang w:val="en-US" w:eastAsia="en-US" w:bidi="ar-SA"/>
        </w:rPr>
        <w:t>个性化服务清单，并提供相关服务。</w:t>
      </w:r>
    </w:p>
    <w:p w14:paraId="5D3F95EB">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（二）中心（助餐点）服务：</w:t>
      </w:r>
    </w:p>
    <w:p w14:paraId="3DF40197">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w:t>
      </w:r>
      <w:r>
        <w:rPr>
          <w:rFonts w:hint="eastAsia" w:ascii="仿宋_GB2312" w:hAnsi="仿宋_GB2312" w:eastAsia="仿宋_GB2312" w:cs="仿宋_GB2312"/>
          <w:color w:val="auto"/>
          <w:spacing w:val="-6"/>
          <w:sz w:val="24"/>
          <w:szCs w:val="24"/>
          <w:highlight w:val="none"/>
          <w:lang w:val="en-US" w:eastAsia="en-US" w:bidi="ar-SA"/>
        </w:rPr>
        <w:t>、服务机构依托中心（助餐点）为服务对象提供以上日间照料、助餐服务、</w:t>
      </w:r>
      <w:r>
        <w:rPr>
          <w:rFonts w:hint="eastAsia" w:ascii="仿宋_GB2312" w:hAnsi="仿宋_GB2312" w:eastAsia="仿宋_GB2312" w:cs="仿宋_GB2312"/>
          <w:color w:val="auto"/>
          <w:spacing w:val="-3"/>
          <w:sz w:val="24"/>
          <w:szCs w:val="24"/>
          <w:highlight w:val="none"/>
          <w:lang w:val="en-US" w:eastAsia="en-US" w:bidi="ar-SA"/>
        </w:rPr>
        <w:t>助浴服务、家政服务、健身康复、医疗护理、文化娱乐、精神关爱和社区治理参</w:t>
      </w:r>
      <w:r>
        <w:rPr>
          <w:rFonts w:hint="eastAsia" w:ascii="仿宋_GB2312" w:hAnsi="仿宋_GB2312" w:eastAsia="仿宋_GB2312" w:cs="仿宋_GB2312"/>
          <w:color w:val="auto"/>
          <w:sz w:val="24"/>
          <w:szCs w:val="24"/>
          <w:highlight w:val="none"/>
          <w:lang w:val="en-US" w:eastAsia="en-US" w:bidi="ar-SA"/>
        </w:rPr>
        <w:t>与等基本服务项目。</w:t>
      </w:r>
    </w:p>
    <w:p w14:paraId="1AFCDD0F">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2、服务机构依托中心（助餐点）定期开展老年文体活动、书法绘画、养生</w:t>
      </w:r>
      <w:r>
        <w:rPr>
          <w:rFonts w:hint="eastAsia" w:ascii="仿宋_GB2312" w:hAnsi="仿宋_GB2312" w:eastAsia="仿宋_GB2312" w:cs="仿宋_GB2312"/>
          <w:color w:val="auto"/>
          <w:spacing w:val="1"/>
          <w:sz w:val="24"/>
          <w:szCs w:val="24"/>
          <w:highlight w:val="none"/>
          <w:lang w:val="en-US" w:eastAsia="en-US" w:bidi="ar-SA"/>
        </w:rPr>
        <w:t>讲座、法律咨询、手工制作、读书交流、棋牌切磋等活动，丰富老年文化生活，</w:t>
      </w:r>
      <w:r>
        <w:rPr>
          <w:rFonts w:hint="eastAsia" w:ascii="仿宋_GB2312" w:hAnsi="仿宋_GB2312" w:eastAsia="仿宋_GB2312" w:cs="仿宋_GB2312"/>
          <w:color w:val="auto"/>
          <w:spacing w:val="-3"/>
          <w:sz w:val="24"/>
          <w:szCs w:val="24"/>
          <w:highlight w:val="none"/>
          <w:lang w:val="en-US" w:eastAsia="en-US" w:bidi="ar-SA"/>
        </w:rPr>
        <w:t>展示老年风采，营造文明和谐的养老、乐老氛围。要求：每周都有活动安排，每</w:t>
      </w:r>
      <w:r>
        <w:rPr>
          <w:rFonts w:hint="eastAsia" w:ascii="仿宋_GB2312" w:hAnsi="仿宋_GB2312" w:eastAsia="仿宋_GB2312" w:cs="仿宋_GB2312"/>
          <w:color w:val="auto"/>
          <w:sz w:val="24"/>
          <w:szCs w:val="24"/>
          <w:highlight w:val="none"/>
          <w:lang w:val="en-US" w:eastAsia="en-US" w:bidi="ar-SA"/>
        </w:rPr>
        <w:t>月一次小型主题活动，参与人数不少于</w:t>
      </w:r>
      <w:r>
        <w:rPr>
          <w:rFonts w:hint="eastAsia" w:ascii="仿宋_GB2312" w:hAnsi="仿宋_GB2312" w:eastAsia="仿宋_GB2312" w:cs="仿宋_GB2312"/>
          <w:color w:val="auto"/>
          <w:spacing w:val="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50人；每季活动参与总人数不少于</w:t>
      </w:r>
      <w:r>
        <w:rPr>
          <w:rFonts w:hint="eastAsia" w:ascii="仿宋_GB2312" w:hAnsi="仿宋_GB2312" w:eastAsia="仿宋_GB2312" w:cs="仿宋_GB2312"/>
          <w:color w:val="auto"/>
          <w:sz w:val="24"/>
          <w:szCs w:val="24"/>
          <w:highlight w:val="none"/>
          <w:lang w:val="en-US" w:eastAsia="zh-CN" w:bidi="ar-SA"/>
        </w:rPr>
        <w:t>服务对象人数</w:t>
      </w:r>
      <w:r>
        <w:rPr>
          <w:rFonts w:hint="eastAsia" w:ascii="仿宋_GB2312" w:hAnsi="仿宋_GB2312" w:eastAsia="仿宋_GB2312" w:cs="仿宋_GB2312"/>
          <w:color w:val="auto"/>
          <w:sz w:val="24"/>
          <w:szCs w:val="24"/>
          <w:highlight w:val="none"/>
          <w:lang w:val="en-US" w:eastAsia="en-US" w:bidi="ar-SA"/>
        </w:rPr>
        <w:t>10%。通过活动的开展，让老人在参与中获得快乐、健康。</w:t>
      </w:r>
    </w:p>
    <w:p w14:paraId="4F82127B">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w:t>
      </w:r>
      <w:r>
        <w:rPr>
          <w:rFonts w:hint="eastAsia" w:ascii="仿宋_GB2312" w:hAnsi="仿宋_GB2312" w:eastAsia="仿宋_GB2312" w:cs="仿宋_GB2312"/>
          <w:color w:val="auto"/>
          <w:spacing w:val="-5"/>
          <w:sz w:val="24"/>
          <w:szCs w:val="24"/>
          <w:highlight w:val="none"/>
          <w:lang w:val="en-US" w:eastAsia="en-US" w:bidi="ar-SA"/>
        </w:rPr>
        <w:t>、服务机构依托中心（助餐点）对</w:t>
      </w:r>
      <w:r>
        <w:rPr>
          <w:rFonts w:hint="eastAsia" w:ascii="仿宋_GB2312" w:hAnsi="仿宋_GB2312" w:eastAsia="仿宋_GB2312" w:cs="仿宋_GB2312"/>
          <w:color w:val="auto"/>
          <w:spacing w:val="6"/>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60</w:t>
      </w:r>
      <w:r>
        <w:rPr>
          <w:rFonts w:hint="eastAsia" w:ascii="仿宋_GB2312" w:hAnsi="仿宋_GB2312" w:eastAsia="仿宋_GB2312" w:cs="仿宋_GB2312"/>
          <w:color w:val="auto"/>
          <w:spacing w:val="-2"/>
          <w:sz w:val="24"/>
          <w:szCs w:val="24"/>
          <w:highlight w:val="none"/>
          <w:lang w:val="en-US" w:eastAsia="en-US" w:bidi="ar-SA"/>
        </w:rPr>
        <w:t>岁以上重点空巢独居老人，须每周电</w:t>
      </w:r>
      <w:r>
        <w:rPr>
          <w:rFonts w:hint="eastAsia" w:ascii="仿宋_GB2312" w:hAnsi="仿宋_GB2312" w:eastAsia="仿宋_GB2312" w:cs="仿宋_GB2312"/>
          <w:color w:val="auto"/>
          <w:spacing w:val="-9"/>
          <w:sz w:val="24"/>
          <w:szCs w:val="24"/>
          <w:highlight w:val="none"/>
          <w:lang w:val="en-US" w:eastAsia="en-US" w:bidi="ar-SA"/>
        </w:rPr>
        <w:t>话联系一次，确保第一时间掌握老人生活状况，第一时间协调解决老人的需、急、难、险等问题，电话联系不上须上门看望，有记录可查。（具体名单由街道提供）</w:t>
      </w:r>
    </w:p>
    <w:p w14:paraId="10FFB4AA">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（三）残疾人之家服务</w:t>
      </w:r>
    </w:p>
    <w:p w14:paraId="6889569A">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服务机构须承担残疾人之家管理和服务的工作从事残疾人之家的日常管理，</w:t>
      </w:r>
      <w:r>
        <w:rPr>
          <w:rFonts w:hint="eastAsia" w:ascii="仿宋_GB2312" w:hAnsi="仿宋_GB2312" w:eastAsia="仿宋_GB2312" w:cs="仿宋_GB2312"/>
          <w:color w:val="auto"/>
          <w:sz w:val="24"/>
          <w:szCs w:val="24"/>
          <w:highlight w:val="none"/>
          <w:lang w:val="en-US" w:eastAsia="en-US" w:bidi="ar-SA"/>
        </w:rPr>
        <w:t>为残疾人提供服务，保证残疾人之家的正常开放运行。</w:t>
      </w:r>
    </w:p>
    <w:p w14:paraId="2F3FD775">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1、有与“残疾人之家”功能匹配的管理和服务人员，并应具有相应的工作经验和能力，身体健康，健康证持有率达</w:t>
      </w:r>
      <w:r>
        <w:rPr>
          <w:rFonts w:hint="eastAsia" w:ascii="仿宋_GB2312" w:hAnsi="仿宋_GB2312" w:eastAsia="仿宋_GB2312" w:cs="仿宋_GB2312"/>
          <w:color w:val="auto"/>
          <w:spacing w:val="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100%。</w:t>
      </w:r>
    </w:p>
    <w:p w14:paraId="0922D6C4">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2、做好对残疾人之家的残疾人员（以下简称残疾人）的业务指导和管理工作，并排好每月工作计划，做好相应活动台账记录。</w:t>
      </w:r>
    </w:p>
    <w:p w14:paraId="327BE604">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3、做好残疾人之家每天的运行工作，开展好日间照料和辅助性就业工作。</w:t>
      </w:r>
      <w:r>
        <w:rPr>
          <w:rFonts w:hint="eastAsia" w:ascii="仿宋_GB2312" w:hAnsi="仿宋_GB2312" w:eastAsia="仿宋_GB2312" w:cs="仿宋_GB2312"/>
          <w:color w:val="auto"/>
          <w:spacing w:val="-3"/>
          <w:sz w:val="24"/>
          <w:szCs w:val="24"/>
          <w:highlight w:val="none"/>
          <w:lang w:val="en-US" w:eastAsia="en-US" w:bidi="ar-SA"/>
        </w:rPr>
        <w:t>做好与合作单位的业务对接工作，负责庇护性劳动原材料及产品等运输，负责对</w:t>
      </w:r>
      <w:r>
        <w:rPr>
          <w:rFonts w:hint="eastAsia" w:ascii="仿宋_GB2312" w:hAnsi="仿宋_GB2312" w:eastAsia="仿宋_GB2312" w:cs="仿宋_GB2312"/>
          <w:color w:val="auto"/>
          <w:sz w:val="24"/>
          <w:szCs w:val="24"/>
          <w:highlight w:val="none"/>
          <w:lang w:val="en-US" w:eastAsia="en-US" w:bidi="ar-SA"/>
        </w:rPr>
        <w:t>残疾人手工劳动工作量的计件清点工作。</w:t>
      </w:r>
    </w:p>
    <w:p w14:paraId="1A0F73BE">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4、组织残疾人开展适合其身心特点的手工劳动、文体活动、学习培训及康</w:t>
      </w:r>
      <w:r>
        <w:rPr>
          <w:rFonts w:hint="eastAsia" w:ascii="仿宋_GB2312" w:hAnsi="仿宋_GB2312" w:eastAsia="仿宋_GB2312" w:cs="仿宋_GB2312"/>
          <w:color w:val="auto"/>
          <w:spacing w:val="-3"/>
          <w:sz w:val="24"/>
          <w:szCs w:val="24"/>
          <w:highlight w:val="none"/>
          <w:lang w:val="en-US" w:eastAsia="en-US" w:bidi="ar-SA"/>
        </w:rPr>
        <w:t>复训练活动，丰富残疾人的精神文化生活。</w:t>
      </w:r>
      <w:r>
        <w:rPr>
          <w:rFonts w:hint="eastAsia" w:ascii="仿宋_GB2312" w:hAnsi="仿宋_GB2312" w:eastAsia="仿宋_GB2312" w:cs="仿宋_GB2312"/>
          <w:color w:val="auto"/>
          <w:spacing w:val="-3"/>
          <w:sz w:val="24"/>
          <w:szCs w:val="24"/>
          <w:highlight w:val="none"/>
          <w:lang w:val="en-US" w:eastAsia="zh-CN" w:bidi="ar-SA"/>
        </w:rPr>
        <w:t>按需要为其开</w:t>
      </w:r>
      <w:r>
        <w:rPr>
          <w:rFonts w:hint="eastAsia" w:ascii="仿宋_GB2312" w:hAnsi="仿宋_GB2312" w:eastAsia="仿宋_GB2312" w:cs="仿宋_GB2312"/>
          <w:color w:val="auto"/>
          <w:spacing w:val="-3"/>
          <w:sz w:val="24"/>
          <w:szCs w:val="24"/>
          <w:highlight w:val="none"/>
          <w:lang w:val="en-US" w:eastAsia="en-US" w:bidi="ar-SA"/>
        </w:rPr>
        <w:t>展文体活动、学习培</w:t>
      </w:r>
      <w:r>
        <w:rPr>
          <w:rFonts w:hint="eastAsia" w:ascii="仿宋_GB2312" w:hAnsi="仿宋_GB2312" w:eastAsia="仿宋_GB2312" w:cs="仿宋_GB2312"/>
          <w:color w:val="auto"/>
          <w:sz w:val="24"/>
          <w:szCs w:val="24"/>
          <w:highlight w:val="none"/>
          <w:lang w:val="en-US" w:eastAsia="en-US" w:bidi="ar-SA"/>
        </w:rPr>
        <w:t>训或康复训练活动。</w:t>
      </w:r>
    </w:p>
    <w:p w14:paraId="55A27B48">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5、正确使用残疾人之家的设施、设备，做好设施、设备的日常清洁、维护工作，确保其完好性和正常功能。</w:t>
      </w:r>
    </w:p>
    <w:p w14:paraId="2704C698">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（四）医养结合服务</w:t>
      </w:r>
    </w:p>
    <w:p w14:paraId="43D54079">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由成交供应商与辖区医疗机构签订医养结合服务协议或依托自有医疗资源，</w:t>
      </w:r>
      <w:r>
        <w:rPr>
          <w:rFonts w:hint="eastAsia" w:ascii="仿宋_GB2312" w:hAnsi="仿宋_GB2312" w:eastAsia="仿宋_GB2312" w:cs="仿宋_GB2312"/>
          <w:color w:val="auto"/>
          <w:spacing w:val="-3"/>
          <w:sz w:val="24"/>
          <w:szCs w:val="24"/>
          <w:highlight w:val="none"/>
          <w:lang w:val="en-US" w:eastAsia="en-US" w:bidi="ar-SA"/>
        </w:rPr>
        <w:t>向社区范围内的长期卧床患者、老年人、残疾人、临终患者和其他需要护理服务对象提供基础护理、专科护理、临终护理、消毒隔离、营养指导、健康宣教和康复指导等社区居家护理服务。医养结合的服务不与居家养老服务券混合使用，由成交供应商以有偿和无偿相结合的方式进行服务。另外，上级如有奖补政策，按</w:t>
      </w:r>
      <w:r>
        <w:rPr>
          <w:rFonts w:hint="eastAsia" w:ascii="仿宋_GB2312" w:hAnsi="仿宋_GB2312" w:eastAsia="仿宋_GB2312" w:cs="仿宋_GB2312"/>
          <w:color w:val="auto"/>
          <w:sz w:val="24"/>
          <w:szCs w:val="24"/>
          <w:highlight w:val="none"/>
          <w:lang w:val="en-US" w:eastAsia="en-US" w:bidi="ar-SA"/>
        </w:rPr>
        <w:t>上级考核验收结果，由成交供应商享受。</w:t>
      </w:r>
      <w:r>
        <w:rPr>
          <w:rFonts w:hint="eastAsia" w:ascii="仿宋_GB2312" w:hAnsi="仿宋_GB2312" w:eastAsia="仿宋_GB2312" w:cs="仿宋_GB2312"/>
          <w:color w:val="auto"/>
          <w:spacing w:val="1"/>
          <w:sz w:val="24"/>
          <w:szCs w:val="24"/>
          <w:highlight w:val="none"/>
          <w:lang w:val="en-US" w:eastAsia="en-US" w:bidi="ar-SA"/>
        </w:rPr>
        <w:t>以上服务内容需要各投标方在投标文件中体现，并在投标陈述中着重介绍。</w:t>
      </w:r>
    </w:p>
    <w:p w14:paraId="0EF9E823">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pacing w:val="1"/>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三、项目概算</w:t>
      </w:r>
    </w:p>
    <w:p w14:paraId="60B96087">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（一）政府购买服务补贴额度</w:t>
      </w:r>
      <w:r>
        <w:rPr>
          <w:rFonts w:hint="eastAsia" w:ascii="仿宋_GB2312" w:hAnsi="仿宋_GB2312" w:eastAsia="仿宋_GB2312" w:cs="仿宋_GB2312"/>
          <w:color w:val="auto"/>
          <w:spacing w:val="1"/>
          <w:sz w:val="24"/>
          <w:szCs w:val="24"/>
          <w:highlight w:val="none"/>
          <w:lang w:val="en-US" w:eastAsia="zh-CN" w:bidi="ar-SA"/>
        </w:rPr>
        <w:t>8</w:t>
      </w:r>
      <w:r>
        <w:rPr>
          <w:rFonts w:hint="eastAsia" w:ascii="仿宋_GB2312" w:hAnsi="仿宋_GB2312" w:eastAsia="仿宋_GB2312" w:cs="仿宋_GB2312"/>
          <w:color w:val="auto"/>
          <w:spacing w:val="3"/>
          <w:sz w:val="24"/>
          <w:szCs w:val="24"/>
          <w:highlight w:val="none"/>
          <w:lang w:val="en-US" w:eastAsia="zh-CN" w:bidi="ar-SA"/>
        </w:rPr>
        <w:t>0</w:t>
      </w:r>
      <w:r>
        <w:rPr>
          <w:rFonts w:hint="eastAsia" w:ascii="仿宋_GB2312" w:hAnsi="仿宋_GB2312" w:eastAsia="仿宋_GB2312" w:cs="仿宋_GB2312"/>
          <w:color w:val="auto"/>
          <w:sz w:val="24"/>
          <w:szCs w:val="24"/>
          <w:highlight w:val="none"/>
          <w:lang w:val="en-US" w:eastAsia="en-US" w:bidi="ar-SA"/>
        </w:rPr>
        <w:t>万元，以实际发生为准，残疾人之家</w:t>
      </w:r>
      <w:r>
        <w:rPr>
          <w:rFonts w:hint="eastAsia" w:ascii="仿宋_GB2312" w:hAnsi="仿宋_GB2312" w:eastAsia="仿宋_GB2312" w:cs="仿宋_GB2312"/>
          <w:color w:val="auto"/>
          <w:spacing w:val="4"/>
          <w:sz w:val="24"/>
          <w:szCs w:val="24"/>
          <w:highlight w:val="none"/>
          <w:lang w:val="en-US" w:eastAsia="en-US" w:bidi="ar-SA"/>
        </w:rPr>
        <w:t xml:space="preserve"> </w:t>
      </w:r>
      <w:r>
        <w:rPr>
          <w:rFonts w:hint="eastAsia" w:ascii="仿宋_GB2312" w:hAnsi="仿宋_GB2312" w:eastAsia="仿宋_GB2312" w:cs="仿宋_GB2312"/>
          <w:color w:val="auto"/>
          <w:spacing w:val="60"/>
          <w:sz w:val="24"/>
          <w:szCs w:val="24"/>
          <w:highlight w:val="none"/>
          <w:lang w:val="en-US" w:eastAsia="en-US" w:bidi="ar-SA"/>
        </w:rPr>
        <w:t>7</w:t>
      </w:r>
      <w:r>
        <w:rPr>
          <w:rFonts w:hint="eastAsia" w:ascii="仿宋_GB2312" w:hAnsi="仿宋_GB2312" w:eastAsia="仿宋_GB2312" w:cs="仿宋_GB2312"/>
          <w:color w:val="auto"/>
          <w:sz w:val="24"/>
          <w:szCs w:val="24"/>
          <w:highlight w:val="none"/>
          <w:lang w:val="en-US" w:eastAsia="en-US" w:bidi="ar-SA"/>
        </w:rPr>
        <w:t>万</w:t>
      </w:r>
      <w:r>
        <w:rPr>
          <w:rFonts w:hint="eastAsia" w:ascii="仿宋_GB2312" w:hAnsi="仿宋_GB2312" w:eastAsia="仿宋_GB2312" w:cs="仿宋_GB2312"/>
          <w:color w:val="auto"/>
          <w:spacing w:val="1"/>
          <w:sz w:val="24"/>
          <w:szCs w:val="24"/>
          <w:highlight w:val="none"/>
          <w:lang w:val="en-US" w:eastAsia="en-US" w:bidi="ar-SA"/>
        </w:rPr>
        <w:t>元按上级部门考核结果拨付。</w:t>
      </w:r>
    </w:p>
    <w:p w14:paraId="4988FA5E">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（二）相关事项说明</w:t>
      </w:r>
    </w:p>
    <w:p w14:paraId="5A6F7284">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en-US" w:bidi="ar-SA"/>
        </w:rPr>
        <w:t>（1）</w:t>
      </w:r>
      <w:r>
        <w:rPr>
          <w:rFonts w:hint="eastAsia" w:ascii="仿宋_GB2312" w:hAnsi="仿宋_GB2312" w:eastAsia="仿宋_GB2312" w:cs="仿宋_GB2312"/>
          <w:color w:val="auto"/>
          <w:sz w:val="24"/>
          <w:szCs w:val="24"/>
          <w:highlight w:val="none"/>
          <w:lang w:val="en-US" w:eastAsia="zh-CN" w:bidi="ar-SA"/>
        </w:rPr>
        <w:t>助餐服务</w:t>
      </w:r>
      <w:r>
        <w:rPr>
          <w:rFonts w:hint="eastAsia" w:ascii="仿宋_GB2312" w:hAnsi="仿宋_GB2312" w:eastAsia="仿宋_GB2312" w:cs="仿宋_GB2312"/>
          <w:color w:val="auto"/>
          <w:sz w:val="24"/>
          <w:szCs w:val="24"/>
          <w:highlight w:val="none"/>
          <w:lang w:val="en-US" w:eastAsia="en-US" w:bidi="ar-SA"/>
        </w:rPr>
        <w:t>由</w:t>
      </w:r>
      <w:r>
        <w:rPr>
          <w:rFonts w:hint="eastAsia" w:ascii="仿宋_GB2312" w:hAnsi="仿宋_GB2312" w:eastAsia="仿宋_GB2312" w:cs="仿宋_GB2312"/>
          <w:color w:val="auto"/>
          <w:sz w:val="24"/>
          <w:szCs w:val="24"/>
          <w:highlight w:val="none"/>
          <w:lang w:val="en-US" w:eastAsia="zh-CN" w:bidi="ar-SA"/>
        </w:rPr>
        <w:t>成交供应商</w:t>
      </w:r>
      <w:r>
        <w:rPr>
          <w:rFonts w:hint="eastAsia" w:ascii="仿宋_GB2312" w:hAnsi="仿宋_GB2312" w:eastAsia="仿宋_GB2312" w:cs="仿宋_GB2312"/>
          <w:color w:val="auto"/>
          <w:sz w:val="24"/>
          <w:szCs w:val="24"/>
          <w:highlight w:val="none"/>
          <w:lang w:val="en-US" w:eastAsia="en-US" w:bidi="ar-SA"/>
        </w:rPr>
        <w:t>通过</w:t>
      </w:r>
      <w:r>
        <w:rPr>
          <w:rFonts w:hint="eastAsia" w:ascii="仿宋_GB2312" w:hAnsi="仿宋_GB2312" w:eastAsia="仿宋_GB2312" w:cs="仿宋_GB2312"/>
          <w:color w:val="auto"/>
          <w:sz w:val="24"/>
          <w:szCs w:val="24"/>
          <w:highlight w:val="none"/>
          <w:lang w:val="en-US" w:eastAsia="zh-CN" w:bidi="ar-SA"/>
        </w:rPr>
        <w:t>中央厨房</w:t>
      </w:r>
      <w:r>
        <w:rPr>
          <w:rFonts w:hint="eastAsia" w:ascii="仿宋_GB2312" w:hAnsi="仿宋_GB2312" w:eastAsia="仿宋_GB2312" w:cs="仿宋_GB2312"/>
          <w:color w:val="auto"/>
          <w:sz w:val="24"/>
          <w:szCs w:val="24"/>
          <w:highlight w:val="none"/>
          <w:lang w:val="en-US" w:eastAsia="en-US" w:bidi="ar-SA"/>
        </w:rPr>
        <w:t>提供，</w:t>
      </w:r>
      <w:r>
        <w:rPr>
          <w:rFonts w:hint="eastAsia" w:ascii="仿宋_GB2312" w:hAnsi="仿宋_GB2312" w:eastAsia="仿宋_GB2312" w:cs="仿宋_GB2312"/>
          <w:color w:val="auto"/>
          <w:sz w:val="24"/>
          <w:szCs w:val="24"/>
          <w:highlight w:val="none"/>
          <w:lang w:val="en-US" w:eastAsia="zh-CN" w:bidi="ar-SA"/>
        </w:rPr>
        <w:t>每月底根据长者需求及老年人用餐的特点提前出具下个月的菜单并公示，便于服务对象订餐。成交供应商中央厨房管理必须符合市场监督的相关要求（即采购索证索票，食材可溯源；工作人员严格按照要求进行操作等）。</w:t>
      </w:r>
    </w:p>
    <w:p w14:paraId="19E45E8F">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w:t>
      </w:r>
      <w:r>
        <w:rPr>
          <w:rFonts w:hint="eastAsia" w:ascii="仿宋_GB2312" w:hAnsi="仿宋_GB2312" w:eastAsia="仿宋_GB2312" w:cs="仿宋_GB2312"/>
          <w:color w:val="auto"/>
          <w:sz w:val="24"/>
          <w:szCs w:val="24"/>
          <w:highlight w:val="none"/>
          <w:lang w:val="en-US" w:eastAsia="zh-CN" w:bidi="ar-SA"/>
        </w:rPr>
        <w:t>2</w:t>
      </w:r>
      <w:r>
        <w:rPr>
          <w:rFonts w:hint="eastAsia" w:ascii="仿宋_GB2312" w:hAnsi="仿宋_GB2312" w:eastAsia="仿宋_GB2312" w:cs="仿宋_GB2312"/>
          <w:color w:val="auto"/>
          <w:spacing w:val="-3"/>
          <w:sz w:val="24"/>
          <w:szCs w:val="24"/>
          <w:highlight w:val="none"/>
          <w:lang w:val="en-US" w:eastAsia="en-US" w:bidi="ar-SA"/>
        </w:rPr>
        <w:t>）街道日间照料中心及其他社区居家养老服务站的水电费由</w:t>
      </w:r>
      <w:r>
        <w:rPr>
          <w:rFonts w:hint="eastAsia" w:ascii="仿宋_GB2312" w:hAnsi="仿宋_GB2312" w:eastAsia="仿宋_GB2312" w:cs="仿宋_GB2312"/>
          <w:color w:val="auto"/>
          <w:spacing w:val="-3"/>
          <w:sz w:val="24"/>
          <w:szCs w:val="24"/>
          <w:highlight w:val="none"/>
          <w:lang w:val="en-US" w:eastAsia="zh-CN" w:bidi="ar-SA"/>
        </w:rPr>
        <w:t>成交供应商</w:t>
      </w:r>
      <w:r>
        <w:rPr>
          <w:rFonts w:hint="eastAsia" w:ascii="仿宋_GB2312" w:hAnsi="仿宋_GB2312" w:eastAsia="仿宋_GB2312" w:cs="仿宋_GB2312"/>
          <w:color w:val="auto"/>
          <w:spacing w:val="-3"/>
          <w:sz w:val="24"/>
          <w:szCs w:val="24"/>
          <w:highlight w:val="none"/>
          <w:lang w:val="en-US" w:eastAsia="en-US" w:bidi="ar-SA"/>
        </w:rPr>
        <w:t>负责，日常管理由所在社区和成交供应商共同管理。街道残疾人之家</w:t>
      </w:r>
      <w:r>
        <w:rPr>
          <w:rFonts w:hint="eastAsia" w:ascii="仿宋_GB2312" w:hAnsi="仿宋_GB2312" w:eastAsia="仿宋_GB2312" w:cs="仿宋_GB2312"/>
          <w:color w:val="auto"/>
          <w:spacing w:val="-3"/>
          <w:sz w:val="24"/>
          <w:szCs w:val="24"/>
          <w:highlight w:val="none"/>
          <w:lang w:val="en-US" w:eastAsia="zh-CN" w:bidi="ar-SA"/>
        </w:rPr>
        <w:t>设置在中兴长者驿家内，</w:t>
      </w:r>
      <w:r>
        <w:rPr>
          <w:rFonts w:hint="eastAsia" w:ascii="仿宋_GB2312" w:hAnsi="仿宋_GB2312" w:eastAsia="仿宋_GB2312" w:cs="仿宋_GB2312"/>
          <w:color w:val="auto"/>
          <w:spacing w:val="-3"/>
          <w:sz w:val="24"/>
          <w:szCs w:val="24"/>
          <w:highlight w:val="none"/>
          <w:lang w:val="en-US" w:eastAsia="en-US" w:bidi="ar-SA"/>
        </w:rPr>
        <w:t>由成交供应商管理，水电费由</w:t>
      </w:r>
      <w:r>
        <w:rPr>
          <w:rFonts w:hint="eastAsia" w:ascii="仿宋_GB2312" w:hAnsi="仿宋_GB2312" w:eastAsia="仿宋_GB2312" w:cs="仿宋_GB2312"/>
          <w:color w:val="auto"/>
          <w:spacing w:val="-3"/>
          <w:sz w:val="24"/>
          <w:szCs w:val="24"/>
          <w:highlight w:val="none"/>
          <w:lang w:val="en-US" w:eastAsia="zh-CN" w:bidi="ar-SA"/>
        </w:rPr>
        <w:t>成交供应商</w:t>
      </w:r>
      <w:r>
        <w:rPr>
          <w:rFonts w:hint="eastAsia" w:ascii="仿宋_GB2312" w:hAnsi="仿宋_GB2312" w:eastAsia="仿宋_GB2312" w:cs="仿宋_GB2312"/>
          <w:color w:val="auto"/>
          <w:spacing w:val="-3"/>
          <w:sz w:val="24"/>
          <w:szCs w:val="24"/>
          <w:highlight w:val="none"/>
          <w:lang w:val="en-US" w:eastAsia="en-US" w:bidi="ar-SA"/>
        </w:rPr>
        <w:t>负责。</w:t>
      </w:r>
      <w:r>
        <w:rPr>
          <w:rFonts w:hint="eastAsia" w:ascii="仿宋_GB2312" w:hAnsi="仿宋_GB2312" w:eastAsia="仿宋_GB2312" w:cs="仿宋_GB2312"/>
          <w:color w:val="auto"/>
          <w:sz w:val="24"/>
          <w:szCs w:val="24"/>
          <w:highlight w:val="none"/>
          <w:lang w:val="en-US" w:eastAsia="en-US" w:bidi="ar-SA"/>
        </w:rPr>
        <w:t>街道日间照料中心及居家养老服务站运营经费</w:t>
      </w:r>
      <w:r>
        <w:rPr>
          <w:rFonts w:hint="eastAsia" w:ascii="仿宋_GB2312" w:hAnsi="仿宋_GB2312" w:eastAsia="仿宋_GB2312" w:cs="仿宋_GB2312"/>
          <w:color w:val="auto"/>
          <w:sz w:val="24"/>
          <w:szCs w:val="24"/>
          <w:highlight w:val="none"/>
          <w:lang w:val="en-US" w:eastAsia="zh-CN" w:bidi="ar-SA"/>
        </w:rPr>
        <w:t>在年度考核合格后按照考核结果及相关政府要求拨付给采购供应商</w:t>
      </w:r>
      <w:r>
        <w:rPr>
          <w:rFonts w:hint="eastAsia" w:ascii="仿宋_GB2312" w:hAnsi="仿宋_GB2312" w:eastAsia="仿宋_GB2312" w:cs="仿宋_GB2312"/>
          <w:color w:val="auto"/>
          <w:sz w:val="24"/>
          <w:szCs w:val="24"/>
          <w:highlight w:val="none"/>
          <w:lang w:val="en-US" w:eastAsia="en-US" w:bidi="ar-SA"/>
        </w:rPr>
        <w:t>。</w:t>
      </w:r>
    </w:p>
    <w:p w14:paraId="55F8153F">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四、服务期限</w:t>
      </w:r>
    </w:p>
    <w:p w14:paraId="61C933A5">
      <w:pPr>
        <w:keepNext w:val="0"/>
        <w:keepLines w:val="0"/>
        <w:pageBreakBefore w:val="0"/>
        <w:kinsoku/>
        <w:wordWrap/>
        <w:overflowPunct/>
        <w:topLinePunct w:val="0"/>
        <w:autoSpaceDE/>
        <w:autoSpaceDN/>
        <w:bidi w:val="0"/>
        <w:adjustRightInd/>
        <w:snapToGrid/>
        <w:spacing w:line="360" w:lineRule="auto"/>
        <w:ind w:left="0" w:firstLine="46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3"/>
          <w:sz w:val="24"/>
          <w:szCs w:val="24"/>
          <w:highlight w:val="none"/>
          <w:lang w:val="en-US" w:eastAsia="en-US" w:bidi="ar-SA"/>
        </w:rPr>
        <w:t>合同签订之日起一年（合同一年</w:t>
      </w:r>
      <w:r>
        <w:rPr>
          <w:rFonts w:hint="eastAsia" w:ascii="仿宋_GB2312" w:hAnsi="仿宋_GB2312" w:eastAsia="仿宋_GB2312" w:cs="仿宋_GB2312"/>
          <w:color w:val="auto"/>
          <w:spacing w:val="-3"/>
          <w:sz w:val="24"/>
          <w:szCs w:val="24"/>
          <w:highlight w:val="none"/>
          <w:lang w:val="en-US" w:eastAsia="zh-CN" w:bidi="ar-SA"/>
        </w:rPr>
        <w:t>一签</w:t>
      </w:r>
      <w:r>
        <w:rPr>
          <w:rFonts w:hint="eastAsia" w:ascii="仿宋_GB2312" w:hAnsi="仿宋_GB2312" w:eastAsia="仿宋_GB2312" w:cs="仿宋_GB2312"/>
          <w:color w:val="auto"/>
          <w:spacing w:val="-3"/>
          <w:sz w:val="24"/>
          <w:szCs w:val="24"/>
          <w:highlight w:val="none"/>
          <w:lang w:val="en-US" w:eastAsia="en-US" w:bidi="ar-SA"/>
        </w:rPr>
        <w:t>，如在预算保障的前提下，对于购买内容相对固定、连续性强、经费来源稳定、价格变化幅度小，中标单位服务质量高，业主满意程度高，可以续签合同，续签</w:t>
      </w:r>
      <w:r>
        <w:rPr>
          <w:rFonts w:hint="eastAsia" w:ascii="仿宋_GB2312" w:hAnsi="仿宋_GB2312" w:eastAsia="仿宋_GB2312" w:cs="仿宋_GB2312"/>
          <w:color w:val="auto"/>
          <w:spacing w:val="-3"/>
          <w:sz w:val="24"/>
          <w:szCs w:val="24"/>
          <w:highlight w:val="none"/>
          <w:lang w:val="en-US" w:eastAsia="zh-CN" w:bidi="ar-SA"/>
        </w:rPr>
        <w:t>次数不超过3次</w:t>
      </w:r>
      <w:r>
        <w:rPr>
          <w:rFonts w:hint="eastAsia" w:ascii="仿宋_GB2312" w:hAnsi="仿宋_GB2312" w:eastAsia="仿宋_GB2312" w:cs="仿宋_GB2312"/>
          <w:color w:val="auto"/>
          <w:sz w:val="24"/>
          <w:szCs w:val="24"/>
          <w:highlight w:val="none"/>
          <w:lang w:val="en-US" w:eastAsia="en-US" w:bidi="ar-SA"/>
        </w:rPr>
        <w:t>）。</w:t>
      </w:r>
    </w:p>
    <w:p w14:paraId="07555DB0">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五、项目运行</w:t>
      </w:r>
    </w:p>
    <w:p w14:paraId="2EBB5100">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（一）站点管理模式</w:t>
      </w:r>
    </w:p>
    <w:p w14:paraId="4342A377">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1、成交供应商依托站点为服务对象提供以上服务内容及基本项目。</w:t>
      </w:r>
    </w:p>
    <w:p w14:paraId="164E003B">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2、成交供应商依托站点除开展以上基本服务项目以外，可根据站点实际增</w:t>
      </w:r>
      <w:r>
        <w:rPr>
          <w:rFonts w:hint="eastAsia" w:ascii="仿宋_GB2312" w:hAnsi="仿宋_GB2312" w:eastAsia="仿宋_GB2312" w:cs="仿宋_GB2312"/>
          <w:color w:val="auto"/>
          <w:spacing w:val="-3"/>
          <w:sz w:val="24"/>
          <w:szCs w:val="24"/>
          <w:highlight w:val="none"/>
          <w:lang w:val="en-US" w:eastAsia="en-US" w:bidi="ar-SA"/>
        </w:rPr>
        <w:t>加服务功能，但新增服务功能及服务方案、定价方案必须书面征得招标人同意后</w:t>
      </w:r>
      <w:r>
        <w:rPr>
          <w:rFonts w:hint="eastAsia" w:ascii="仿宋_GB2312" w:hAnsi="仿宋_GB2312" w:eastAsia="仿宋_GB2312" w:cs="仿宋_GB2312"/>
          <w:color w:val="auto"/>
          <w:sz w:val="24"/>
          <w:szCs w:val="24"/>
          <w:highlight w:val="none"/>
          <w:lang w:val="en-US" w:eastAsia="en-US" w:bidi="ar-SA"/>
        </w:rPr>
        <w:t>方可对外开放和实施。</w:t>
      </w:r>
    </w:p>
    <w:p w14:paraId="27C10558">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（二）统筹融合、发挥平台优势</w:t>
      </w:r>
    </w:p>
    <w:p w14:paraId="20DD8C4A">
      <w:pPr>
        <w:keepNext w:val="0"/>
        <w:keepLines w:val="0"/>
        <w:pageBreakBefore w:val="0"/>
        <w:kinsoku/>
        <w:wordWrap/>
        <w:overflowPunct/>
        <w:topLinePunct w:val="0"/>
        <w:autoSpaceDE/>
        <w:autoSpaceDN/>
        <w:bidi w:val="0"/>
        <w:adjustRightInd/>
        <w:snapToGrid/>
        <w:spacing w:line="360" w:lineRule="auto"/>
        <w:ind w:left="0" w:firstLine="46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3"/>
          <w:sz w:val="24"/>
          <w:szCs w:val="24"/>
          <w:highlight w:val="none"/>
          <w:lang w:val="en-US" w:eastAsia="en-US" w:bidi="ar-SA"/>
        </w:rPr>
        <w:t>成交供应商要建立</w:t>
      </w:r>
      <w:r>
        <w:rPr>
          <w:rFonts w:hint="eastAsia" w:ascii="仿宋_GB2312" w:hAnsi="仿宋_GB2312" w:eastAsia="仿宋_GB2312" w:cs="仿宋_GB2312"/>
          <w:color w:val="auto"/>
          <w:spacing w:val="-3"/>
          <w:sz w:val="24"/>
          <w:szCs w:val="24"/>
          <w:highlight w:val="none"/>
          <w:lang w:val="en-US" w:eastAsia="zh-CN" w:bidi="ar-SA"/>
        </w:rPr>
        <w:t>中兴</w:t>
      </w:r>
      <w:r>
        <w:rPr>
          <w:rFonts w:hint="eastAsia" w:ascii="仿宋_GB2312" w:hAnsi="仿宋_GB2312" w:eastAsia="仿宋_GB2312" w:cs="仿宋_GB2312"/>
          <w:color w:val="auto"/>
          <w:spacing w:val="-3"/>
          <w:sz w:val="24"/>
          <w:szCs w:val="24"/>
          <w:highlight w:val="none"/>
          <w:lang w:val="en-US" w:eastAsia="en-US" w:bidi="ar-SA"/>
        </w:rPr>
        <w:t>街道居家养老服务平台和网络服务体系，实现服务的信息化、智能化，满足服务工单的派送、流转、监管、统计、结算等功能，信息平台端口可接入市区平台，使居家和社区养</w:t>
      </w:r>
      <w:r>
        <w:rPr>
          <w:rFonts w:hint="eastAsia" w:ascii="仿宋_GB2312" w:hAnsi="仿宋_GB2312" w:eastAsia="仿宋_GB2312" w:cs="仿宋_GB2312"/>
          <w:color w:val="auto"/>
          <w:sz w:val="24"/>
          <w:szCs w:val="24"/>
          <w:highlight w:val="none"/>
          <w:lang w:val="en-US" w:eastAsia="en-US" w:bidi="ar-SA"/>
        </w:rPr>
        <w:t>老服务全程可监控、全程透明化。</w:t>
      </w:r>
    </w:p>
    <w:p w14:paraId="3349CF5F">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（三）管理团队及专职服务员条件、行为规范要求1</w:t>
      </w:r>
      <w:r>
        <w:rPr>
          <w:rFonts w:hint="eastAsia" w:ascii="仿宋_GB2312" w:hAnsi="仿宋_GB2312" w:eastAsia="仿宋_GB2312" w:cs="仿宋_GB2312"/>
          <w:color w:val="auto"/>
          <w:spacing w:val="-9"/>
          <w:sz w:val="24"/>
          <w:szCs w:val="24"/>
          <w:highlight w:val="none"/>
          <w:lang w:val="en-US" w:eastAsia="en-US" w:bidi="ar-SA"/>
        </w:rPr>
        <w:t>、管理团队要求：项目经理</w:t>
      </w:r>
      <w:r>
        <w:rPr>
          <w:rFonts w:hint="eastAsia" w:ascii="仿宋_GB2312" w:hAnsi="仿宋_GB2312" w:eastAsia="仿宋_GB2312" w:cs="仿宋_GB2312"/>
          <w:color w:val="auto"/>
          <w:spacing w:val="10"/>
          <w:sz w:val="24"/>
          <w:szCs w:val="24"/>
          <w:highlight w:val="none"/>
          <w:lang w:val="en-US" w:eastAsia="en-US" w:bidi="ar-SA"/>
        </w:rPr>
        <w:t xml:space="preserve"> </w:t>
      </w:r>
      <w:r>
        <w:rPr>
          <w:rFonts w:hint="eastAsia" w:ascii="仿宋_GB2312" w:hAnsi="仿宋_GB2312" w:eastAsia="仿宋_GB2312" w:cs="仿宋_GB2312"/>
          <w:color w:val="auto"/>
          <w:spacing w:val="60"/>
          <w:sz w:val="24"/>
          <w:szCs w:val="24"/>
          <w:highlight w:val="none"/>
          <w:lang w:val="en-US" w:eastAsia="en-US" w:bidi="ar-SA"/>
        </w:rPr>
        <w:t>1</w:t>
      </w:r>
      <w:r>
        <w:rPr>
          <w:rFonts w:hint="eastAsia" w:ascii="仿宋_GB2312" w:hAnsi="仿宋_GB2312" w:eastAsia="仿宋_GB2312" w:cs="仿宋_GB2312"/>
          <w:color w:val="auto"/>
          <w:spacing w:val="-5"/>
          <w:sz w:val="24"/>
          <w:szCs w:val="24"/>
          <w:highlight w:val="none"/>
          <w:lang w:val="en-US" w:eastAsia="en-US" w:bidi="ar-SA"/>
        </w:rPr>
        <w:t>人，全职，具有</w:t>
      </w:r>
      <w:r>
        <w:rPr>
          <w:rFonts w:hint="eastAsia" w:ascii="仿宋_GB2312" w:hAnsi="仿宋_GB2312" w:eastAsia="仿宋_GB2312" w:cs="仿宋_GB2312"/>
          <w:color w:val="auto"/>
          <w:spacing w:val="-5"/>
          <w:sz w:val="24"/>
          <w:szCs w:val="24"/>
          <w:highlight w:val="none"/>
          <w:lang w:val="en-US" w:eastAsia="zh-CN" w:bidi="ar-SA"/>
        </w:rPr>
        <w:t>大专</w:t>
      </w:r>
      <w:r>
        <w:rPr>
          <w:rFonts w:hint="eastAsia" w:ascii="仿宋_GB2312" w:hAnsi="仿宋_GB2312" w:eastAsia="仿宋_GB2312" w:cs="仿宋_GB2312"/>
          <w:color w:val="auto"/>
          <w:spacing w:val="-5"/>
          <w:sz w:val="24"/>
          <w:szCs w:val="24"/>
          <w:highlight w:val="none"/>
          <w:lang w:val="en-US" w:eastAsia="en-US" w:bidi="ar-SA"/>
        </w:rPr>
        <w:t>及以上文化水平，</w:t>
      </w:r>
      <w:r>
        <w:rPr>
          <w:rFonts w:hint="eastAsia" w:ascii="仿宋_GB2312" w:hAnsi="仿宋_GB2312" w:eastAsia="仿宋_GB2312" w:cs="仿宋_GB2312"/>
          <w:color w:val="auto"/>
          <w:spacing w:val="-3"/>
          <w:sz w:val="24"/>
          <w:szCs w:val="24"/>
          <w:highlight w:val="none"/>
          <w:lang w:val="en-US" w:eastAsia="en-US" w:bidi="ar-SA"/>
        </w:rPr>
        <w:t>具备合法的劳动从业资格，资深养老服务管理从业人员，负责所有服务内容的管理工作。其余工作人员如康复师、护士、专职服务人员、保洁员、帮厨人员等服务团队由成交供应商根据实际情况安排，必须满足采购方的服务要求及管理考核细则。所有团队人员的待遇保障和个人安全等保障由成交供应商负责。从业人员</w:t>
      </w:r>
      <w:r>
        <w:rPr>
          <w:rFonts w:hint="eastAsia" w:ascii="仿宋_GB2312" w:hAnsi="仿宋_GB2312" w:eastAsia="仿宋_GB2312" w:cs="仿宋_GB2312"/>
          <w:color w:val="auto"/>
          <w:sz w:val="24"/>
          <w:szCs w:val="24"/>
          <w:highlight w:val="none"/>
          <w:lang w:val="en-US" w:eastAsia="en-US" w:bidi="ar-SA"/>
        </w:rPr>
        <w:t>上岗前须持有健康证明，配备的专业人员必须持证上岗。</w:t>
      </w:r>
    </w:p>
    <w:tbl>
      <w:tblPr>
        <w:tblStyle w:val="36"/>
        <w:tblW w:w="841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6"/>
        <w:gridCol w:w="2985"/>
        <w:gridCol w:w="1656"/>
        <w:gridCol w:w="2138"/>
      </w:tblGrid>
      <w:tr w14:paraId="3F47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46" w:type="dxa"/>
            <w:tcBorders>
              <w:top w:val="single" w:color="000000" w:sz="4" w:space="0"/>
              <w:left w:val="single" w:color="000000" w:sz="4" w:space="0"/>
              <w:bottom w:val="single" w:color="000000" w:sz="4" w:space="0"/>
              <w:right w:val="single" w:color="000000" w:sz="4" w:space="0"/>
            </w:tcBorders>
            <w:noWrap/>
            <w:vAlign w:val="center"/>
          </w:tcPr>
          <w:p w14:paraId="21452BF5">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岗位</w:t>
            </w:r>
          </w:p>
        </w:tc>
        <w:tc>
          <w:tcPr>
            <w:tcW w:w="2985" w:type="dxa"/>
            <w:tcBorders>
              <w:top w:val="single" w:color="000000" w:sz="4" w:space="0"/>
              <w:left w:val="single" w:color="000000" w:sz="4" w:space="0"/>
              <w:bottom w:val="single" w:color="000000" w:sz="4" w:space="0"/>
              <w:right w:val="single" w:color="000000" w:sz="4" w:space="0"/>
            </w:tcBorders>
            <w:noWrap/>
            <w:vAlign w:val="center"/>
          </w:tcPr>
          <w:p w14:paraId="4032EFB5">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职责</w:t>
            </w:r>
          </w:p>
        </w:tc>
        <w:tc>
          <w:tcPr>
            <w:tcW w:w="1448" w:type="dxa"/>
            <w:tcBorders>
              <w:top w:val="single" w:color="000000" w:sz="4" w:space="0"/>
              <w:left w:val="single" w:color="000000" w:sz="4" w:space="0"/>
              <w:bottom w:val="single" w:color="000000" w:sz="4" w:space="0"/>
              <w:right w:val="single" w:color="000000" w:sz="4" w:space="0"/>
            </w:tcBorders>
            <w:noWrap/>
            <w:vAlign w:val="center"/>
          </w:tcPr>
          <w:p w14:paraId="62D39568">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人数</w:t>
            </w:r>
          </w:p>
        </w:tc>
        <w:tc>
          <w:tcPr>
            <w:tcW w:w="2138" w:type="dxa"/>
            <w:tcBorders>
              <w:top w:val="single" w:color="000000" w:sz="4" w:space="0"/>
              <w:left w:val="single" w:color="000000" w:sz="4" w:space="0"/>
              <w:bottom w:val="single" w:color="000000" w:sz="4" w:space="0"/>
              <w:right w:val="single" w:color="000000" w:sz="4" w:space="0"/>
            </w:tcBorders>
            <w:noWrap/>
            <w:vAlign w:val="center"/>
          </w:tcPr>
          <w:p w14:paraId="45C451CE">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备注</w:t>
            </w:r>
          </w:p>
        </w:tc>
      </w:tr>
      <w:tr w14:paraId="1C32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8D5A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项目经理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5B12F9">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负责整个项目的管理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EF4DA0">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B5A0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大专以上</w:t>
            </w:r>
          </w:p>
        </w:tc>
      </w:tr>
      <w:tr w14:paraId="11AF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7694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站点管理员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2A9640">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负责站点的管理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7310D7">
            <w:pPr>
              <w:keepNext w:val="0"/>
              <w:keepLines w:val="0"/>
              <w:pageBreakBefore w:val="0"/>
              <w:kinsoku/>
              <w:wordWrap/>
              <w:overflowPunct/>
              <w:topLinePunct w:val="0"/>
              <w:autoSpaceDE/>
              <w:autoSpaceDN/>
              <w:bidi w:val="0"/>
              <w:adjustRightInd/>
              <w:snapToGrid/>
              <w:spacing w:line="360" w:lineRule="auto"/>
              <w:jc w:val="left"/>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不少于4人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FDFBC8">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r>
      <w:tr w14:paraId="5795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C284D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服务团队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514FB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负责居家服务和站点服务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07B44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不少于8人</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14:paraId="0F4C0FD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相应的岗位证书（例护理员证、康复师证等）</w:t>
            </w:r>
          </w:p>
        </w:tc>
      </w:tr>
      <w:tr w14:paraId="26ED4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30DF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残疾人之家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0A2C4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负责残疾人之家运营管理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63C710">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397AAF">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r>
      <w:tr w14:paraId="3733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75505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中央厨房人员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7D62BF">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负责中央厨房运营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41968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符合举办要求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E379A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厨师证、健康证等</w:t>
            </w:r>
          </w:p>
        </w:tc>
      </w:tr>
      <w:tr w14:paraId="63D8B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FD0BD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其他人员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461F0D">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695FC8">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C3A9AD">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r>
    </w:tbl>
    <w:p w14:paraId="373742F1">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2、人员素质基本要求：</w:t>
      </w:r>
    </w:p>
    <w:p w14:paraId="2DD329A9">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（1）具备合法的劳动从业资格。</w:t>
      </w:r>
    </w:p>
    <w:p w14:paraId="31CE05A7">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（2）信守职业道德，遵纪守法，熟悉居家养老服务程序和规范要求。</w:t>
      </w:r>
    </w:p>
    <w:p w14:paraId="14A0C0B2">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（3）具有符合工作岗位要求的文化程度、健康状况证明和基本服务技能。</w:t>
      </w:r>
    </w:p>
    <w:p w14:paraId="50407D9F">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3、管理人员要求</w:t>
      </w:r>
    </w:p>
    <w:p w14:paraId="7A61D2A7">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（1）了解国家和行业主管部门有关居家养老服务的法律、法规和规定。</w:t>
      </w:r>
    </w:p>
    <w:p w14:paraId="32F0654D">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（2）掌握企业管理、经营项目有关专业知识及专业技能。</w:t>
      </w:r>
    </w:p>
    <w:p w14:paraId="28BB830B">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（3）具有高中以上文化程度和管理工作经历。</w:t>
      </w:r>
    </w:p>
    <w:p w14:paraId="46A7A4CC">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（4）每年至少参加</w:t>
      </w:r>
      <w:r>
        <w:rPr>
          <w:rFonts w:hint="eastAsia" w:ascii="仿宋_GB2312" w:hAnsi="仿宋_GB2312" w:eastAsia="仿宋_GB2312" w:cs="仿宋_GB2312"/>
          <w:color w:val="auto"/>
          <w:spacing w:val="1"/>
          <w:sz w:val="24"/>
          <w:szCs w:val="24"/>
          <w:highlight w:val="none"/>
          <w:lang w:val="en-US" w:eastAsia="en-US" w:bidi="ar-SA"/>
        </w:rPr>
        <w:t xml:space="preserve"> </w:t>
      </w:r>
      <w:r>
        <w:rPr>
          <w:rFonts w:hint="eastAsia" w:ascii="仿宋_GB2312" w:hAnsi="仿宋_GB2312" w:eastAsia="仿宋_GB2312" w:cs="仿宋_GB2312"/>
          <w:color w:val="auto"/>
          <w:spacing w:val="60"/>
          <w:sz w:val="24"/>
          <w:szCs w:val="24"/>
          <w:highlight w:val="none"/>
          <w:lang w:val="en-US" w:eastAsia="en-US" w:bidi="ar-SA"/>
        </w:rPr>
        <w:t>1</w:t>
      </w:r>
      <w:r>
        <w:rPr>
          <w:rFonts w:hint="eastAsia" w:ascii="仿宋_GB2312" w:hAnsi="仿宋_GB2312" w:eastAsia="仿宋_GB2312" w:cs="仿宋_GB2312"/>
          <w:color w:val="auto"/>
          <w:sz w:val="24"/>
          <w:szCs w:val="24"/>
          <w:highlight w:val="none"/>
          <w:lang w:val="en-US" w:eastAsia="en-US" w:bidi="ar-SA"/>
        </w:rPr>
        <w:t>次以上相关培训活动。</w:t>
      </w:r>
    </w:p>
    <w:p w14:paraId="18C1F814">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4、居家养老服务人员要求</w:t>
      </w:r>
    </w:p>
    <w:p w14:paraId="38827D0F">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（1）具备与服务内容相适应的岗位技能。</w:t>
      </w:r>
    </w:p>
    <w:p w14:paraId="523A62B5">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（2）年龄在 18周岁以上、65周岁以下，初中以上文化程度。</w:t>
      </w:r>
    </w:p>
    <w:p w14:paraId="113E2636">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（3）无精神病史和各类传染性疾病。</w:t>
      </w:r>
    </w:p>
    <w:p w14:paraId="659F0356">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（4）每年在岗培训不少于</w:t>
      </w:r>
      <w:r>
        <w:rPr>
          <w:rFonts w:hint="eastAsia" w:ascii="仿宋_GB2312" w:hAnsi="仿宋_GB2312" w:eastAsia="仿宋_GB2312" w:cs="仿宋_GB2312"/>
          <w:color w:val="auto"/>
          <w:spacing w:val="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10学时。</w:t>
      </w:r>
    </w:p>
    <w:p w14:paraId="23CD8D0B">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5、行为规范要求</w:t>
      </w:r>
    </w:p>
    <w:p w14:paraId="224B5029">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（1）仪表仪容端庄、大方、整洁。</w:t>
      </w:r>
    </w:p>
    <w:p w14:paraId="4D948BC4">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（2）统一着装、佩戴工号牌。</w:t>
      </w:r>
    </w:p>
    <w:p w14:paraId="69A61893">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（3）语言文明、简洁、清晰。</w:t>
      </w:r>
    </w:p>
    <w:p w14:paraId="4B6828B0">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（4）服务主动热情，符合相应岗位的服务礼仪规范。</w:t>
      </w:r>
    </w:p>
    <w:p w14:paraId="30448F5E">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（5）尊老敬老，对老年人富有爱心。</w:t>
      </w:r>
    </w:p>
    <w:p w14:paraId="47CB0241">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（四）开放服务时间：按站点服务要求开放。</w:t>
      </w:r>
    </w:p>
    <w:p w14:paraId="132FEE1B">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六、项目监管</w:t>
      </w:r>
    </w:p>
    <w:p w14:paraId="4FFFF7AF">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（一）考核评估</w:t>
      </w:r>
    </w:p>
    <w:p w14:paraId="355C763A">
      <w:pPr>
        <w:keepNext w:val="0"/>
        <w:keepLines w:val="0"/>
        <w:pageBreakBefore w:val="0"/>
        <w:kinsoku/>
        <w:wordWrap/>
        <w:overflowPunct/>
        <w:topLinePunct w:val="0"/>
        <w:autoSpaceDE/>
        <w:autoSpaceDN/>
        <w:bidi w:val="0"/>
        <w:adjustRightInd/>
        <w:snapToGrid/>
        <w:spacing w:line="360" w:lineRule="auto"/>
        <w:ind w:left="0" w:firstLine="48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、考核标准，分为上级考核、街道考核两个层次。</w:t>
      </w:r>
    </w:p>
    <w:p w14:paraId="66363C77">
      <w:pPr>
        <w:keepNext w:val="0"/>
        <w:keepLines w:val="0"/>
        <w:pageBreakBefore w:val="0"/>
        <w:kinsoku/>
        <w:wordWrap/>
        <w:overflowPunct/>
        <w:topLinePunct w:val="0"/>
        <w:autoSpaceDE/>
        <w:autoSpaceDN/>
        <w:bidi w:val="0"/>
        <w:adjustRightInd/>
        <w:snapToGrid/>
        <w:spacing w:line="360" w:lineRule="auto"/>
        <w:ind w:left="0" w:firstLine="48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w:t>
      </w:r>
      <w:r>
        <w:rPr>
          <w:rFonts w:hint="eastAsia" w:ascii="仿宋_GB2312" w:hAnsi="仿宋_GB2312" w:eastAsia="仿宋_GB2312" w:cs="仿宋_GB2312"/>
          <w:color w:val="auto"/>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）上级考核，按照市、区专项标准，接受市、区的评估考核；</w:t>
      </w:r>
    </w:p>
    <w:p w14:paraId="408F20D9">
      <w:pPr>
        <w:keepNext w:val="0"/>
        <w:keepLines w:val="0"/>
        <w:pageBreakBefore w:val="0"/>
        <w:kinsoku/>
        <w:wordWrap/>
        <w:overflowPunct/>
        <w:topLinePunct w:val="0"/>
        <w:autoSpaceDE/>
        <w:autoSpaceDN/>
        <w:bidi w:val="0"/>
        <w:adjustRightInd/>
        <w:snapToGrid/>
        <w:spacing w:line="360" w:lineRule="auto"/>
        <w:ind w:left="0" w:firstLine="48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w:t>
      </w:r>
      <w:r>
        <w:rPr>
          <w:rFonts w:hint="eastAsia" w:ascii="仿宋_GB2312" w:hAnsi="仿宋_GB2312" w:eastAsia="仿宋_GB2312" w:cs="仿宋_GB2312"/>
          <w:color w:val="auto"/>
          <w:sz w:val="24"/>
          <w:szCs w:val="24"/>
          <w:highlight w:val="none"/>
          <w:lang w:val="en-US" w:eastAsia="en-US" w:bidi="ar-SA"/>
        </w:rPr>
        <w:t>2</w:t>
      </w:r>
      <w:r>
        <w:rPr>
          <w:rFonts w:hint="eastAsia" w:ascii="仿宋_GB2312" w:hAnsi="仿宋_GB2312" w:eastAsia="仿宋_GB2312" w:cs="仿宋_GB2312"/>
          <w:color w:val="auto"/>
          <w:spacing w:val="1"/>
          <w:sz w:val="24"/>
          <w:szCs w:val="24"/>
          <w:highlight w:val="none"/>
          <w:lang w:val="en-US" w:eastAsia="en-US" w:bidi="ar-SA"/>
        </w:rPr>
        <w:t>）街道考核，按照以下标准进行考核，实行百分考核制。社区每月、街</w:t>
      </w:r>
      <w:r>
        <w:rPr>
          <w:rFonts w:hint="eastAsia" w:ascii="仿宋_GB2312" w:hAnsi="仿宋_GB2312" w:eastAsia="仿宋_GB2312" w:cs="仿宋_GB2312"/>
          <w:color w:val="auto"/>
          <w:sz w:val="24"/>
          <w:szCs w:val="24"/>
          <w:highlight w:val="none"/>
          <w:lang w:val="en-US" w:eastAsia="en-US" w:bidi="ar-SA"/>
        </w:rPr>
        <w:t>道每季度一次对政府购买服务情况进行考核。分值为社区平均分占</w:t>
      </w:r>
      <w:r>
        <w:rPr>
          <w:rFonts w:hint="eastAsia" w:ascii="仿宋_GB2312" w:hAnsi="仿宋_GB2312" w:eastAsia="仿宋_GB2312" w:cs="仿宋_GB2312"/>
          <w:color w:val="auto"/>
          <w:spacing w:val="5"/>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40%</w:t>
      </w:r>
      <w:r>
        <w:rPr>
          <w:rFonts w:hint="eastAsia" w:ascii="仿宋_GB2312" w:hAnsi="仿宋_GB2312" w:eastAsia="仿宋_GB2312" w:cs="仿宋_GB2312"/>
          <w:color w:val="auto"/>
          <w:spacing w:val="-8"/>
          <w:sz w:val="24"/>
          <w:szCs w:val="24"/>
          <w:highlight w:val="none"/>
          <w:lang w:val="en-US" w:eastAsia="en-US" w:bidi="ar-SA"/>
        </w:rPr>
        <w:t>、街道占</w:t>
      </w:r>
      <w:r>
        <w:rPr>
          <w:rFonts w:hint="eastAsia" w:ascii="仿宋_GB2312" w:hAnsi="仿宋_GB2312" w:eastAsia="仿宋_GB2312" w:cs="仿宋_GB2312"/>
          <w:color w:val="auto"/>
          <w:spacing w:val="1"/>
          <w:sz w:val="24"/>
          <w:szCs w:val="24"/>
          <w:highlight w:val="none"/>
          <w:lang w:val="en-US" w:eastAsia="en-US" w:bidi="ar-SA"/>
        </w:rPr>
        <w:t>60%。得分</w:t>
      </w:r>
      <w:r>
        <w:rPr>
          <w:rFonts w:hint="eastAsia" w:ascii="仿宋_GB2312" w:hAnsi="仿宋_GB2312" w:eastAsia="仿宋_GB2312" w:cs="仿宋_GB2312"/>
          <w:color w:val="auto"/>
          <w:spacing w:val="2"/>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95分（含）以上为“优秀”，得分</w:t>
      </w:r>
      <w:r>
        <w:rPr>
          <w:rFonts w:hint="eastAsia" w:ascii="仿宋_GB2312" w:hAnsi="仿宋_GB2312" w:eastAsia="仿宋_GB2312" w:cs="仿宋_GB2312"/>
          <w:color w:val="auto"/>
          <w:spacing w:val="4"/>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90分（含）以上为“合格”，得</w:t>
      </w:r>
      <w:r>
        <w:rPr>
          <w:rFonts w:hint="eastAsia" w:ascii="仿宋_GB2312" w:hAnsi="仿宋_GB2312" w:eastAsia="仿宋_GB2312" w:cs="仿宋_GB2312"/>
          <w:color w:val="auto"/>
          <w:spacing w:val="2"/>
          <w:sz w:val="24"/>
          <w:szCs w:val="24"/>
          <w:highlight w:val="none"/>
          <w:lang w:val="en-US" w:eastAsia="en-US" w:bidi="ar-SA"/>
        </w:rPr>
        <w:t>分在</w:t>
      </w:r>
      <w:r>
        <w:rPr>
          <w:rFonts w:hint="eastAsia" w:ascii="仿宋_GB2312" w:hAnsi="仿宋_GB2312" w:eastAsia="仿宋_GB2312" w:cs="仿宋_GB2312"/>
          <w:color w:val="auto"/>
          <w:spacing w:val="-2"/>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80-89分（含）的为“基本合格”，</w:t>
      </w:r>
      <w:r>
        <w:rPr>
          <w:rFonts w:hint="eastAsia" w:ascii="仿宋_GB2312" w:hAnsi="仿宋_GB2312" w:eastAsia="仿宋_GB2312" w:cs="仿宋_GB2312"/>
          <w:color w:val="auto"/>
          <w:sz w:val="24"/>
          <w:szCs w:val="24"/>
          <w:highlight w:val="none"/>
          <w:lang w:val="en-US" w:eastAsia="en-US" w:bidi="ar-SA"/>
        </w:rPr>
        <w:t>80</w:t>
      </w:r>
      <w:r>
        <w:rPr>
          <w:rFonts w:hint="eastAsia" w:ascii="仿宋_GB2312" w:hAnsi="仿宋_GB2312" w:eastAsia="仿宋_GB2312" w:cs="仿宋_GB2312"/>
          <w:color w:val="auto"/>
          <w:spacing w:val="1"/>
          <w:sz w:val="24"/>
          <w:szCs w:val="24"/>
          <w:highlight w:val="none"/>
          <w:lang w:val="en-US" w:eastAsia="en-US" w:bidi="ar-SA"/>
        </w:rPr>
        <w:t>分以下的为“不合格”。</w:t>
      </w:r>
    </w:p>
    <w:p w14:paraId="774D2614">
      <w:pPr>
        <w:keepNext w:val="0"/>
        <w:keepLines w:val="0"/>
        <w:pageBreakBefore w:val="0"/>
        <w:kinsoku/>
        <w:wordWrap/>
        <w:overflowPunct/>
        <w:topLinePunct w:val="0"/>
        <w:autoSpaceDE/>
        <w:autoSpaceDN/>
        <w:bidi w:val="0"/>
        <w:adjustRightInd/>
        <w:snapToGrid/>
        <w:spacing w:line="360" w:lineRule="auto"/>
        <w:ind w:left="0" w:firstLine="48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w:t>
      </w:r>
      <w:r>
        <w:rPr>
          <w:rFonts w:hint="eastAsia" w:ascii="仿宋_GB2312" w:hAnsi="仿宋_GB2312" w:eastAsia="仿宋_GB2312" w:cs="仿宋_GB2312"/>
          <w:color w:val="auto"/>
          <w:sz w:val="24"/>
          <w:szCs w:val="24"/>
          <w:highlight w:val="none"/>
          <w:lang w:val="en-US" w:eastAsia="en-US" w:bidi="ar-SA"/>
        </w:rPr>
        <w:t>3</w:t>
      </w:r>
      <w:r>
        <w:rPr>
          <w:rFonts w:hint="eastAsia" w:ascii="仿宋_GB2312" w:hAnsi="仿宋_GB2312" w:eastAsia="仿宋_GB2312" w:cs="仿宋_GB2312"/>
          <w:color w:val="auto"/>
          <w:spacing w:val="1"/>
          <w:sz w:val="24"/>
          <w:szCs w:val="24"/>
          <w:highlight w:val="none"/>
          <w:lang w:val="en-US" w:eastAsia="en-US" w:bidi="ar-SA"/>
        </w:rPr>
        <w:t>）考核办法根据上级居家和社区养老服务工作要求另行制定。</w:t>
      </w:r>
    </w:p>
    <w:p w14:paraId="334AC01D">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（二）奖惩机制</w:t>
      </w:r>
    </w:p>
    <w:p w14:paraId="7477C642">
      <w:pPr>
        <w:keepNext w:val="0"/>
        <w:keepLines w:val="0"/>
        <w:pageBreakBefore w:val="0"/>
        <w:kinsoku/>
        <w:wordWrap/>
        <w:overflowPunct/>
        <w:topLinePunct w:val="0"/>
        <w:autoSpaceDE/>
        <w:autoSpaceDN/>
        <w:bidi w:val="0"/>
        <w:adjustRightInd/>
        <w:snapToGrid/>
        <w:spacing w:line="360" w:lineRule="auto"/>
        <w:ind w:left="0" w:firstLine="48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、按上级部门相关文件进行考核。</w:t>
      </w:r>
    </w:p>
    <w:p w14:paraId="354AB8E5">
      <w:pPr>
        <w:keepNext w:val="0"/>
        <w:keepLines w:val="0"/>
        <w:pageBreakBefore w:val="0"/>
        <w:kinsoku/>
        <w:wordWrap/>
        <w:overflowPunct/>
        <w:topLinePunct w:val="0"/>
        <w:autoSpaceDE/>
        <w:autoSpaceDN/>
        <w:bidi w:val="0"/>
        <w:adjustRightInd/>
        <w:snapToGrid/>
        <w:spacing w:line="360" w:lineRule="auto"/>
        <w:ind w:left="0" w:firstLine="48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2</w:t>
      </w:r>
      <w:r>
        <w:rPr>
          <w:rFonts w:hint="eastAsia" w:ascii="仿宋_GB2312" w:hAnsi="仿宋_GB2312" w:eastAsia="仿宋_GB2312" w:cs="仿宋_GB2312"/>
          <w:color w:val="auto"/>
          <w:spacing w:val="-6"/>
          <w:sz w:val="24"/>
          <w:szCs w:val="24"/>
          <w:highlight w:val="none"/>
          <w:lang w:val="en-US" w:eastAsia="en-US" w:bidi="ar-SA"/>
        </w:rPr>
        <w:t>、街道每年根据上级的考核要求，制定居家和社区养老服务、残疾人之家、</w:t>
      </w:r>
      <w:r>
        <w:rPr>
          <w:rFonts w:hint="eastAsia" w:ascii="仿宋_GB2312" w:hAnsi="仿宋_GB2312" w:eastAsia="仿宋_GB2312" w:cs="仿宋_GB2312"/>
          <w:color w:val="auto"/>
          <w:spacing w:val="-3"/>
          <w:sz w:val="24"/>
          <w:szCs w:val="24"/>
          <w:highlight w:val="none"/>
          <w:lang w:val="en-US" w:eastAsia="en-US" w:bidi="ar-SA"/>
        </w:rPr>
        <w:t>医养结合、城市独居老人探访等工作的考核目标，并对以上服务内容进行考核，</w:t>
      </w:r>
      <w:r>
        <w:rPr>
          <w:rFonts w:hint="eastAsia" w:ascii="仿宋_GB2312" w:hAnsi="仿宋_GB2312" w:eastAsia="仿宋_GB2312" w:cs="仿宋_GB2312"/>
          <w:color w:val="auto"/>
          <w:spacing w:val="1"/>
          <w:sz w:val="24"/>
          <w:szCs w:val="24"/>
          <w:highlight w:val="none"/>
          <w:lang w:val="en-US" w:eastAsia="en-US" w:bidi="ar-SA"/>
        </w:rPr>
        <w:t>根据考核结果予以奖励。</w:t>
      </w:r>
    </w:p>
    <w:p w14:paraId="2DE47496">
      <w:pPr>
        <w:keepNext w:val="0"/>
        <w:keepLines w:val="0"/>
        <w:pageBreakBefore w:val="0"/>
        <w:kinsoku/>
        <w:wordWrap/>
        <w:overflowPunct/>
        <w:topLinePunct w:val="0"/>
        <w:autoSpaceDE/>
        <w:autoSpaceDN/>
        <w:bidi w:val="0"/>
        <w:adjustRightInd/>
        <w:snapToGrid/>
        <w:spacing w:line="360" w:lineRule="auto"/>
        <w:ind w:left="0" w:firstLine="48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3</w:t>
      </w:r>
      <w:r>
        <w:rPr>
          <w:rFonts w:hint="eastAsia" w:ascii="仿宋_GB2312" w:hAnsi="仿宋_GB2312" w:eastAsia="仿宋_GB2312" w:cs="仿宋_GB2312"/>
          <w:color w:val="auto"/>
          <w:spacing w:val="-3"/>
          <w:sz w:val="24"/>
          <w:szCs w:val="24"/>
          <w:highlight w:val="none"/>
          <w:lang w:val="en-US" w:eastAsia="en-US" w:bidi="ar-SA"/>
        </w:rPr>
        <w:t>、全年季度考核有</w:t>
      </w:r>
      <w:r>
        <w:rPr>
          <w:rFonts w:hint="eastAsia" w:ascii="仿宋_GB2312" w:hAnsi="仿宋_GB2312" w:eastAsia="仿宋_GB2312" w:cs="仿宋_GB2312"/>
          <w:color w:val="auto"/>
          <w:spacing w:val="4"/>
          <w:sz w:val="24"/>
          <w:szCs w:val="24"/>
          <w:highlight w:val="none"/>
          <w:lang w:val="en-US" w:eastAsia="en-US" w:bidi="ar-SA"/>
        </w:rPr>
        <w:t xml:space="preserve"> </w:t>
      </w:r>
      <w:r>
        <w:rPr>
          <w:rFonts w:hint="eastAsia" w:ascii="仿宋_GB2312" w:hAnsi="仿宋_GB2312" w:eastAsia="仿宋_GB2312" w:cs="仿宋_GB2312"/>
          <w:color w:val="auto"/>
          <w:spacing w:val="60"/>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次及以上</w:t>
      </w:r>
      <w:r>
        <w:rPr>
          <w:rFonts w:hint="eastAsia" w:ascii="仿宋_GB2312" w:hAnsi="仿宋_GB2312" w:eastAsia="仿宋_GB2312" w:cs="仿宋_GB2312"/>
          <w:color w:val="auto"/>
          <w:spacing w:val="35"/>
          <w:sz w:val="24"/>
          <w:szCs w:val="24"/>
          <w:highlight w:val="none"/>
          <w:lang w:val="en-US" w:eastAsia="en-US" w:bidi="ar-SA"/>
        </w:rPr>
        <w:t xml:space="preserve"> </w:t>
      </w:r>
      <w:r>
        <w:rPr>
          <w:rFonts w:hint="eastAsia" w:ascii="仿宋_GB2312" w:hAnsi="仿宋_GB2312" w:eastAsia="仿宋_GB2312" w:cs="仿宋_GB2312"/>
          <w:color w:val="auto"/>
          <w:spacing w:val="-3"/>
          <w:sz w:val="24"/>
          <w:szCs w:val="24"/>
          <w:highlight w:val="none"/>
          <w:lang w:val="en-US" w:eastAsia="en-US" w:bidi="ar-SA"/>
        </w:rPr>
        <w:t>“优秀”、其他季度以及上级年度考核“合</w:t>
      </w:r>
      <w:r>
        <w:rPr>
          <w:rFonts w:hint="eastAsia" w:ascii="仿宋_GB2312" w:hAnsi="仿宋_GB2312" w:eastAsia="仿宋_GB2312" w:cs="仿宋_GB2312"/>
          <w:color w:val="auto"/>
          <w:spacing w:val="1"/>
          <w:sz w:val="24"/>
          <w:szCs w:val="24"/>
          <w:highlight w:val="none"/>
          <w:lang w:val="en-US" w:eastAsia="en-US" w:bidi="ar-SA"/>
        </w:rPr>
        <w:t>格”以上的，续签下一年度合同；当年有</w:t>
      </w:r>
      <w:r>
        <w:rPr>
          <w:rFonts w:hint="eastAsia" w:ascii="仿宋_GB2312" w:hAnsi="仿宋_GB2312" w:eastAsia="仿宋_GB2312" w:cs="仿宋_GB2312"/>
          <w:color w:val="auto"/>
          <w:spacing w:val="2"/>
          <w:sz w:val="24"/>
          <w:szCs w:val="24"/>
          <w:highlight w:val="none"/>
          <w:lang w:val="en-US" w:eastAsia="en-US" w:bidi="ar-SA"/>
        </w:rPr>
        <w:t xml:space="preserve"> </w:t>
      </w:r>
      <w:r>
        <w:rPr>
          <w:rFonts w:hint="eastAsia" w:ascii="仿宋_GB2312" w:hAnsi="仿宋_GB2312" w:eastAsia="仿宋_GB2312" w:cs="仿宋_GB2312"/>
          <w:color w:val="auto"/>
          <w:spacing w:val="60"/>
          <w:sz w:val="24"/>
          <w:szCs w:val="24"/>
          <w:highlight w:val="none"/>
          <w:lang w:val="en-US" w:eastAsia="en-US" w:bidi="ar-SA"/>
        </w:rPr>
        <w:t>2</w:t>
      </w:r>
      <w:r>
        <w:rPr>
          <w:rFonts w:hint="eastAsia" w:ascii="仿宋_GB2312" w:hAnsi="仿宋_GB2312" w:eastAsia="仿宋_GB2312" w:cs="仿宋_GB2312"/>
          <w:color w:val="auto"/>
          <w:spacing w:val="-5"/>
          <w:sz w:val="24"/>
          <w:szCs w:val="24"/>
          <w:highlight w:val="none"/>
          <w:lang w:val="en-US" w:eastAsia="en-US" w:bidi="ar-SA"/>
        </w:rPr>
        <w:t>次（含）以上的街道季度考核</w:t>
      </w:r>
      <w:r>
        <w:rPr>
          <w:rFonts w:hint="eastAsia" w:ascii="仿宋_GB2312" w:hAnsi="仿宋_GB2312" w:eastAsia="仿宋_GB2312" w:cs="仿宋_GB2312"/>
          <w:color w:val="auto"/>
          <w:spacing w:val="29"/>
          <w:sz w:val="24"/>
          <w:szCs w:val="24"/>
          <w:highlight w:val="none"/>
          <w:lang w:val="en-US" w:eastAsia="en-US" w:bidi="ar-SA"/>
        </w:rPr>
        <w:t xml:space="preserve"> </w:t>
      </w:r>
      <w:r>
        <w:rPr>
          <w:rFonts w:hint="eastAsia" w:ascii="仿宋_GB2312" w:hAnsi="仿宋_GB2312" w:eastAsia="仿宋_GB2312" w:cs="仿宋_GB2312"/>
          <w:color w:val="auto"/>
          <w:spacing w:val="-8"/>
          <w:sz w:val="24"/>
          <w:szCs w:val="24"/>
          <w:highlight w:val="none"/>
          <w:lang w:val="en-US" w:eastAsia="en-US" w:bidi="ar-SA"/>
        </w:rPr>
        <w:t>“基本合格”，或有</w:t>
      </w:r>
      <w:r>
        <w:rPr>
          <w:rFonts w:hint="eastAsia" w:ascii="仿宋_GB2312" w:hAnsi="仿宋_GB2312" w:eastAsia="仿宋_GB2312" w:cs="仿宋_GB2312"/>
          <w:color w:val="auto"/>
          <w:spacing w:val="9"/>
          <w:sz w:val="24"/>
          <w:szCs w:val="24"/>
          <w:highlight w:val="none"/>
          <w:lang w:val="en-US" w:eastAsia="en-US" w:bidi="ar-SA"/>
        </w:rPr>
        <w:t xml:space="preserve"> </w:t>
      </w:r>
      <w:r>
        <w:rPr>
          <w:rFonts w:hint="eastAsia" w:ascii="仿宋_GB2312" w:hAnsi="仿宋_GB2312" w:eastAsia="仿宋_GB2312" w:cs="仿宋_GB2312"/>
          <w:color w:val="auto"/>
          <w:spacing w:val="62"/>
          <w:sz w:val="24"/>
          <w:szCs w:val="24"/>
          <w:highlight w:val="none"/>
          <w:lang w:val="en-US" w:eastAsia="en-US" w:bidi="ar-SA"/>
        </w:rPr>
        <w:t>1</w:t>
      </w:r>
      <w:r>
        <w:rPr>
          <w:rFonts w:hint="eastAsia" w:ascii="仿宋_GB2312" w:hAnsi="仿宋_GB2312" w:eastAsia="仿宋_GB2312" w:cs="仿宋_GB2312"/>
          <w:color w:val="auto"/>
          <w:spacing w:val="-6"/>
          <w:sz w:val="24"/>
          <w:szCs w:val="24"/>
          <w:highlight w:val="none"/>
          <w:lang w:val="en-US" w:eastAsia="en-US" w:bidi="ar-SA"/>
        </w:rPr>
        <w:t>次“不合格”</w:t>
      </w:r>
      <w:r>
        <w:rPr>
          <w:rFonts w:hint="eastAsia" w:ascii="仿宋_GB2312" w:hAnsi="仿宋_GB2312" w:eastAsia="仿宋_GB2312" w:cs="仿宋_GB2312"/>
          <w:color w:val="auto"/>
          <w:spacing w:val="4"/>
          <w:sz w:val="24"/>
          <w:szCs w:val="24"/>
          <w:highlight w:val="none"/>
          <w:lang w:val="en-US" w:eastAsia="en-US" w:bidi="ar-SA"/>
        </w:rPr>
        <w:t>的，或者上级考核全市排名靠后、受到通报批评等情形的，不再续签下一年度</w:t>
      </w:r>
      <w:r>
        <w:rPr>
          <w:rFonts w:hint="eastAsia" w:ascii="仿宋_GB2312" w:hAnsi="仿宋_GB2312" w:eastAsia="仿宋_GB2312" w:cs="仿宋_GB2312"/>
          <w:color w:val="auto"/>
          <w:spacing w:val="1"/>
          <w:sz w:val="24"/>
          <w:szCs w:val="24"/>
          <w:highlight w:val="none"/>
          <w:lang w:val="en-US" w:eastAsia="en-US" w:bidi="ar-SA"/>
        </w:rPr>
        <w:t>合同。</w:t>
      </w:r>
    </w:p>
    <w:p w14:paraId="149AAC3A">
      <w:pPr>
        <w:keepNext w:val="0"/>
        <w:keepLines w:val="0"/>
        <w:pageBreakBefore w:val="0"/>
        <w:kinsoku/>
        <w:wordWrap/>
        <w:overflowPunct/>
        <w:topLinePunct w:val="0"/>
        <w:autoSpaceDE/>
        <w:autoSpaceDN/>
        <w:bidi w:val="0"/>
        <w:adjustRightInd/>
        <w:snapToGrid/>
        <w:spacing w:line="360" w:lineRule="auto"/>
        <w:ind w:left="0" w:firstLine="46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3"/>
          <w:sz w:val="24"/>
          <w:szCs w:val="24"/>
          <w:highlight w:val="none"/>
          <w:lang w:val="en-US" w:eastAsia="en-US" w:bidi="ar-SA"/>
        </w:rPr>
        <w:t>（三）汇报总结。建立定期汇报机制，成交供应商须定期向采购人汇报有关</w:t>
      </w:r>
    </w:p>
    <w:p w14:paraId="6E11069A">
      <w:pPr>
        <w:keepNext w:val="0"/>
        <w:keepLines w:val="0"/>
        <w:pageBreakBefore w:val="0"/>
        <w:kinsoku/>
        <w:wordWrap/>
        <w:overflowPunct/>
        <w:topLinePunct w:val="0"/>
        <w:autoSpaceDE/>
        <w:autoSpaceDN/>
        <w:bidi w:val="0"/>
        <w:adjustRightInd/>
        <w:snapToGrid/>
        <w:spacing w:line="360" w:lineRule="auto"/>
        <w:ind w:firstLine="496" w:firstLineChars="200"/>
        <w:jc w:val="left"/>
        <w:rPr>
          <w:rFonts w:hint="eastAsia" w:ascii="仿宋_GB2312" w:hAnsi="仿宋_GB2312" w:eastAsia="仿宋_GB2312" w:cs="仿宋_GB2312"/>
          <w:color w:val="auto"/>
          <w:spacing w:val="1"/>
          <w:sz w:val="24"/>
          <w:szCs w:val="24"/>
          <w:highlight w:val="none"/>
          <w:lang w:val="en-US" w:eastAsia="en-US" w:bidi="ar-SA"/>
        </w:rPr>
      </w:pPr>
      <w:r>
        <w:rPr>
          <w:rFonts w:hint="eastAsia" w:ascii="仿宋_GB2312" w:hAnsi="仿宋_GB2312" w:eastAsia="仿宋_GB2312" w:cs="仿宋_GB2312"/>
          <w:color w:val="auto"/>
          <w:spacing w:val="4"/>
          <w:sz w:val="24"/>
          <w:szCs w:val="24"/>
          <w:highlight w:val="none"/>
          <w:lang w:val="en-US" w:eastAsia="en-US" w:bidi="ar-SA"/>
        </w:rPr>
        <w:t>工作进展，确保采购人全面掌握项目实施情况。如有特殊事宜，成交供应商须</w:t>
      </w:r>
      <w:r>
        <w:rPr>
          <w:rFonts w:hint="eastAsia" w:ascii="仿宋_GB2312" w:hAnsi="仿宋_GB2312" w:eastAsia="仿宋_GB2312" w:cs="仿宋_GB2312"/>
          <w:color w:val="auto"/>
          <w:sz w:val="24"/>
          <w:szCs w:val="24"/>
          <w:highlight w:val="none"/>
        </w:rPr>
        <w:drawing>
          <wp:anchor distT="0" distB="0" distL="114300" distR="114300" simplePos="0" relativeHeight="251659264" behindDoc="1" locked="0" layoutInCell="1" allowOverlap="1">
            <wp:simplePos x="0" y="0"/>
            <wp:positionH relativeFrom="page">
              <wp:posOffset>-12700</wp:posOffset>
            </wp:positionH>
            <wp:positionV relativeFrom="page">
              <wp:posOffset>-12700</wp:posOffset>
            </wp:positionV>
            <wp:extent cx="38100" cy="38100"/>
            <wp:effectExtent l="0" t="0" r="7620" b="762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tretch>
                      <a:fillRect/>
                    </a:stretch>
                  </pic:blipFill>
                  <pic:spPr>
                    <a:xfrm>
                      <a:off x="0" y="0"/>
                      <a:ext cx="38100" cy="38100"/>
                    </a:xfrm>
                    <a:prstGeom prst="rect">
                      <a:avLst/>
                    </a:prstGeom>
                    <a:noFill/>
                    <a:ln>
                      <a:noFill/>
                    </a:ln>
                  </pic:spPr>
                </pic:pic>
              </a:graphicData>
            </a:graphic>
          </wp:anchor>
        </w:drawing>
      </w:r>
      <w:r>
        <w:rPr>
          <w:rFonts w:hint="eastAsia" w:ascii="仿宋_GB2312" w:hAnsi="仿宋_GB2312" w:eastAsia="仿宋_GB2312" w:cs="仿宋_GB2312"/>
          <w:color w:val="auto"/>
          <w:spacing w:val="1"/>
          <w:sz w:val="24"/>
          <w:szCs w:val="24"/>
          <w:highlight w:val="none"/>
          <w:lang w:val="en-US" w:eastAsia="en-US" w:bidi="ar-SA"/>
        </w:rPr>
        <w:t>及时向采购人汇报解决。</w:t>
      </w:r>
    </w:p>
    <w:p w14:paraId="11452419">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七、付款方式</w:t>
      </w:r>
    </w:p>
    <w:p w14:paraId="4457B30E">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（一）政府购买服务费，以当期区核定的购买服务对象人数以及实际发生的服务人次数为依据，按季结算拨付。</w:t>
      </w:r>
    </w:p>
    <w:p w14:paraId="50F598B0">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（二）考核奖补资金，根据</w:t>
      </w:r>
      <w:r>
        <w:rPr>
          <w:rFonts w:hint="eastAsia" w:ascii="仿宋_GB2312" w:hAnsi="仿宋_GB2312" w:eastAsia="仿宋_GB2312" w:cs="仿宋_GB2312"/>
          <w:color w:val="auto"/>
          <w:spacing w:val="1"/>
          <w:sz w:val="24"/>
          <w:szCs w:val="24"/>
          <w:highlight w:val="none"/>
          <w:u w:val="single"/>
          <w:lang w:val="en-US" w:eastAsia="en-US" w:bidi="ar-SA"/>
        </w:rPr>
        <w:t>合同期内</w:t>
      </w:r>
      <w:r>
        <w:rPr>
          <w:rFonts w:hint="eastAsia" w:ascii="仿宋_GB2312" w:hAnsi="仿宋_GB2312" w:eastAsia="仿宋_GB2312" w:cs="仿宋_GB2312"/>
          <w:color w:val="auto"/>
          <w:spacing w:val="1"/>
          <w:sz w:val="24"/>
          <w:szCs w:val="24"/>
          <w:highlight w:val="none"/>
          <w:lang w:val="en-US" w:eastAsia="en-US" w:bidi="ar-SA"/>
        </w:rPr>
        <w:t>每季度考核结果，在当期合同期满后</w:t>
      </w:r>
      <w:r>
        <w:rPr>
          <w:rFonts w:hint="eastAsia" w:ascii="仿宋_GB2312" w:hAnsi="仿宋_GB2312" w:eastAsia="仿宋_GB2312" w:cs="仿宋_GB2312"/>
          <w:color w:val="auto"/>
          <w:spacing w:val="1"/>
          <w:sz w:val="24"/>
          <w:szCs w:val="24"/>
          <w:highlight w:val="none"/>
          <w:u w:val="single"/>
          <w:lang w:val="en-US" w:eastAsia="en-US" w:bidi="ar-SA"/>
        </w:rPr>
        <w:t>予以奖补</w:t>
      </w:r>
      <w:r>
        <w:rPr>
          <w:rFonts w:hint="eastAsia" w:ascii="仿宋_GB2312" w:hAnsi="仿宋_GB2312" w:eastAsia="仿宋_GB2312" w:cs="仿宋_GB2312"/>
          <w:color w:val="auto"/>
          <w:sz w:val="24"/>
          <w:szCs w:val="24"/>
          <w:highlight w:val="none"/>
          <w:lang w:val="en-US" w:eastAsia="en-US" w:bidi="ar-SA"/>
        </w:rPr>
        <w:t>。</w:t>
      </w:r>
    </w:p>
    <w:p w14:paraId="7D705D5F">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上述费用，成交供应商</w:t>
      </w:r>
      <w:r>
        <w:rPr>
          <w:rFonts w:hint="eastAsia" w:ascii="仿宋_GB2312" w:hAnsi="仿宋_GB2312" w:eastAsia="仿宋_GB2312" w:cs="仿宋_GB2312"/>
          <w:color w:val="auto"/>
          <w:sz w:val="24"/>
          <w:szCs w:val="24"/>
          <w:highlight w:val="none"/>
          <w:u w:val="single"/>
          <w:lang w:val="en-US" w:eastAsia="en-US" w:bidi="ar-SA"/>
        </w:rPr>
        <w:t>需向采购方</w:t>
      </w:r>
      <w:r>
        <w:rPr>
          <w:rFonts w:hint="eastAsia" w:ascii="仿宋_GB2312" w:hAnsi="仿宋_GB2312" w:eastAsia="仿宋_GB2312" w:cs="仿宋_GB2312"/>
          <w:color w:val="auto"/>
          <w:sz w:val="24"/>
          <w:szCs w:val="24"/>
          <w:highlight w:val="none"/>
          <w:lang w:val="en-US" w:eastAsia="en-US" w:bidi="ar-SA"/>
        </w:rPr>
        <w:t>开具发票。</w:t>
      </w:r>
    </w:p>
    <w:p w14:paraId="57AF4AAE">
      <w:pPr>
        <w:keepNext w:val="0"/>
        <w:keepLines w:val="0"/>
        <w:pageBreakBefore w:val="0"/>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八、其他要求</w:t>
      </w:r>
    </w:p>
    <w:p w14:paraId="323D63D5">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1、服务期间，如市、区相关政策调整，政府购买服务对象人数、标准发生变化，成交供应商必须无条件接受，并严格按此要求执行。（需提交承诺函）</w:t>
      </w:r>
    </w:p>
    <w:p w14:paraId="5DC59C0C">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2、服务期间，如遇到国家规定的职工最低标准等发生调整，采购人不作任何调整，具体以市有关部门颁发的文件为准。</w:t>
      </w:r>
    </w:p>
    <w:p w14:paraId="7D3409A1">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3、政府购买服务对象的人数以区核定的每季度人数为准。</w:t>
      </w:r>
    </w:p>
    <w:p w14:paraId="5E7B541C">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4、因成交供应商在年度内服务质量评估不合格，采购人有权解除合同并不</w:t>
      </w:r>
      <w:r>
        <w:rPr>
          <w:rFonts w:hint="eastAsia" w:ascii="仿宋_GB2312" w:hAnsi="仿宋_GB2312" w:eastAsia="仿宋_GB2312" w:cs="仿宋_GB2312"/>
          <w:color w:val="auto"/>
          <w:spacing w:val="-3"/>
          <w:sz w:val="24"/>
          <w:szCs w:val="24"/>
          <w:highlight w:val="none"/>
          <w:lang w:val="en-US" w:eastAsia="en-US" w:bidi="ar-SA"/>
        </w:rPr>
        <w:t>向成交供应商做任何赔偿或补偿。本合同解除或终止后，成交供应商应</w:t>
      </w:r>
      <w:r>
        <w:rPr>
          <w:rFonts w:hint="eastAsia" w:ascii="仿宋_GB2312" w:hAnsi="仿宋_GB2312" w:eastAsia="仿宋_GB2312" w:cs="仿宋_GB2312"/>
          <w:color w:val="auto"/>
          <w:sz w:val="24"/>
          <w:szCs w:val="24"/>
          <w:highlight w:val="none"/>
          <w:lang w:val="en-US" w:eastAsia="en-US" w:bidi="ar-SA"/>
        </w:rPr>
        <w:t>当在合同终止后 10天内撤场，将场地、设备、房屋及全套档案资料交付给采购</w:t>
      </w:r>
      <w:r>
        <w:rPr>
          <w:rFonts w:hint="eastAsia" w:ascii="仿宋_GB2312" w:hAnsi="仿宋_GB2312" w:eastAsia="仿宋_GB2312" w:cs="仿宋_GB2312"/>
          <w:color w:val="auto"/>
          <w:spacing w:val="-3"/>
          <w:sz w:val="24"/>
          <w:szCs w:val="24"/>
          <w:highlight w:val="none"/>
          <w:lang w:val="en-US" w:eastAsia="en-US" w:bidi="ar-SA"/>
        </w:rPr>
        <w:t>方或采购方指定的第三方，逾期不能移交及撤场的，则自逾期之日起按照每日叁仟元支付违约金及房屋占用费，甲方有权予以处理。撤场期间应当维持本合同约定的基本服务，否则因成交供应商未能提供服务导致甲方向第三方寻求替代服务</w:t>
      </w:r>
      <w:r>
        <w:rPr>
          <w:rFonts w:hint="eastAsia" w:ascii="仿宋_GB2312" w:hAnsi="仿宋_GB2312" w:eastAsia="仿宋_GB2312" w:cs="仿宋_GB2312"/>
          <w:color w:val="auto"/>
          <w:sz w:val="24"/>
          <w:szCs w:val="24"/>
          <w:highlight w:val="none"/>
          <w:lang w:val="en-US" w:eastAsia="en-US" w:bidi="ar-SA"/>
        </w:rPr>
        <w:t>所产生的费用由成交供应商承担。</w:t>
      </w:r>
    </w:p>
    <w:p w14:paraId="6A55FC63">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5</w:t>
      </w:r>
      <w:r>
        <w:rPr>
          <w:rFonts w:hint="eastAsia" w:ascii="仿宋_GB2312" w:hAnsi="仿宋_GB2312" w:eastAsia="仿宋_GB2312" w:cs="仿宋_GB2312"/>
          <w:color w:val="auto"/>
          <w:spacing w:val="-6"/>
          <w:sz w:val="24"/>
          <w:szCs w:val="24"/>
          <w:highlight w:val="none"/>
          <w:lang w:val="en-US" w:eastAsia="en-US" w:bidi="ar-SA"/>
        </w:rPr>
        <w:t>、成交供应商的所有财务开支，必须符合省、市、区有关规定，并接受市、</w:t>
      </w:r>
      <w:r>
        <w:rPr>
          <w:rFonts w:hint="eastAsia" w:ascii="仿宋_GB2312" w:hAnsi="仿宋_GB2312" w:eastAsia="仿宋_GB2312" w:cs="仿宋_GB2312"/>
          <w:color w:val="auto"/>
          <w:sz w:val="24"/>
          <w:szCs w:val="24"/>
          <w:highlight w:val="none"/>
          <w:lang w:val="en-US" w:eastAsia="en-US" w:bidi="ar-SA"/>
        </w:rPr>
        <w:t>区有关部门的检查、审计。</w:t>
      </w:r>
    </w:p>
    <w:p w14:paraId="6A1638F5">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6、未约定事项，由双方协商。</w:t>
      </w:r>
    </w:p>
    <w:p w14:paraId="35A17FDF">
      <w:pPr>
        <w:pBdr>
          <w:top w:val="none" w:color="000000" w:sz="0" w:space="0"/>
          <w:left w:val="none" w:color="000000" w:sz="0" w:space="0"/>
          <w:bottom w:val="none" w:color="000000" w:sz="0" w:space="0"/>
          <w:right w:val="none" w:color="000000" w:sz="0" w:space="0"/>
        </w:pBdr>
        <w:spacing w:after="0"/>
        <w:rPr>
          <w:rFonts w:hint="eastAsia" w:ascii="仿宋" w:hAnsi="仿宋" w:eastAsia="仿宋" w:cs="仿宋"/>
          <w:color w:val="auto"/>
          <w:sz w:val="24"/>
          <w:highlight w:val="none"/>
          <w:lang w:eastAsia="zh-CN"/>
        </w:rPr>
      </w:pPr>
      <w:r>
        <w:rPr>
          <w:rFonts w:ascii="仿宋" w:hAnsi="仿宋" w:eastAsia="仿宋" w:cs="仿宋"/>
          <w:color w:val="auto"/>
          <w:sz w:val="24"/>
          <w:highlight w:val="none"/>
          <w:lang w:eastAsia="zh-CN"/>
        </w:rPr>
        <w:t xml:space="preserve"> </w:t>
      </w:r>
    </w:p>
    <w:p w14:paraId="698B1D7B">
      <w:pPr>
        <w:pStyle w:val="12"/>
        <w:ind w:left="440"/>
        <w:rPr>
          <w:rFonts w:hint="eastAsia" w:ascii="仿宋" w:hAnsi="仿宋" w:eastAsia="仿宋" w:cs="仿宋"/>
          <w:color w:val="auto"/>
          <w:sz w:val="24"/>
          <w:highlight w:val="none"/>
          <w:lang w:eastAsia="zh-CN"/>
        </w:rPr>
      </w:pPr>
    </w:p>
    <w:p w14:paraId="652FD10F">
      <w:pPr>
        <w:rPr>
          <w:rFonts w:hint="eastAsia" w:ascii="仿宋" w:hAnsi="仿宋" w:eastAsia="仿宋" w:cs="仿宋"/>
          <w:color w:val="auto"/>
          <w:sz w:val="24"/>
          <w:highlight w:val="none"/>
          <w:lang w:eastAsia="zh-CN"/>
        </w:rPr>
      </w:pPr>
    </w:p>
    <w:p w14:paraId="79F7CB23">
      <w:pPr>
        <w:rPr>
          <w:rFonts w:hint="eastAsia" w:ascii="仿宋" w:hAnsi="仿宋" w:eastAsia="仿宋" w:cs="仿宋"/>
          <w:color w:val="auto"/>
          <w:sz w:val="24"/>
          <w:highlight w:val="none"/>
          <w:lang w:eastAsia="zh-CN"/>
        </w:rPr>
      </w:pPr>
    </w:p>
    <w:p w14:paraId="294E2ECD">
      <w:pPr>
        <w:rPr>
          <w:rFonts w:hint="eastAsia" w:ascii="仿宋" w:hAnsi="仿宋" w:eastAsia="仿宋" w:cs="仿宋"/>
          <w:color w:val="auto"/>
          <w:sz w:val="24"/>
          <w:highlight w:val="none"/>
          <w:lang w:eastAsia="zh-CN"/>
        </w:rPr>
      </w:pPr>
    </w:p>
    <w:p w14:paraId="21C172BA">
      <w:pPr>
        <w:rPr>
          <w:rFonts w:hint="eastAsia" w:ascii="仿宋" w:hAnsi="仿宋" w:eastAsia="仿宋" w:cs="仿宋"/>
          <w:color w:val="auto"/>
          <w:sz w:val="24"/>
          <w:highlight w:val="none"/>
          <w:lang w:eastAsia="zh-CN"/>
        </w:rPr>
      </w:pPr>
    </w:p>
    <w:p w14:paraId="64A65A0B">
      <w:pPr>
        <w:rPr>
          <w:rFonts w:hint="eastAsia" w:ascii="仿宋" w:hAnsi="仿宋" w:eastAsia="仿宋" w:cs="仿宋"/>
          <w:color w:val="auto"/>
          <w:sz w:val="24"/>
          <w:highlight w:val="none"/>
          <w:lang w:eastAsia="zh-CN"/>
        </w:rPr>
      </w:pPr>
    </w:p>
    <w:p w14:paraId="6F60B2D3">
      <w:pPr>
        <w:rPr>
          <w:rFonts w:hint="eastAsia" w:ascii="仿宋" w:hAnsi="仿宋" w:eastAsia="仿宋" w:cs="仿宋"/>
          <w:color w:val="auto"/>
          <w:highlight w:val="none"/>
          <w:lang w:eastAsia="zh-CN"/>
        </w:rPr>
      </w:pPr>
    </w:p>
    <w:p w14:paraId="3308A32E">
      <w:pPr>
        <w:pBdr>
          <w:top w:val="none" w:color="000000" w:sz="0" w:space="0"/>
          <w:left w:val="none" w:color="000000" w:sz="0" w:space="0"/>
          <w:bottom w:val="none" w:color="000000" w:sz="0" w:space="0"/>
          <w:right w:val="none" w:color="000000" w:sz="0" w:space="0"/>
        </w:pBdr>
        <w:spacing w:after="0" w:line="479" w:lineRule="atLeast"/>
        <w:jc w:val="center"/>
        <w:rPr>
          <w:rFonts w:hint="eastAsia" w:ascii="仿宋" w:hAnsi="仿宋" w:eastAsia="仿宋" w:cs="仿宋"/>
          <w:color w:val="auto"/>
          <w:highlight w:val="none"/>
        </w:rPr>
      </w:pPr>
      <w:r>
        <w:rPr>
          <w:rFonts w:hint="eastAsia" w:ascii="仿宋" w:hAnsi="仿宋" w:eastAsia="仿宋" w:cs="仿宋"/>
          <w:b/>
          <w:color w:val="auto"/>
          <w:sz w:val="36"/>
          <w:highlight w:val="none"/>
        </w:rPr>
        <w:t>第四章  资格审查</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90"/>
        <w:gridCol w:w="2000"/>
        <w:gridCol w:w="5368"/>
      </w:tblGrid>
      <w:tr w14:paraId="24DA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07" w:type="dxa"/>
            <w:gridSpan w:val="2"/>
            <w:vAlign w:val="center"/>
          </w:tcPr>
          <w:p w14:paraId="4599B0D3">
            <w:pPr>
              <w:spacing w:line="300" w:lineRule="exact"/>
              <w:jc w:val="center"/>
              <w:rPr>
                <w:rFonts w:hint="eastAsia" w:ascii="仿宋" w:hAnsi="仿宋" w:eastAsia="仿宋" w:cs="仿宋"/>
                <w:b/>
                <w:bCs/>
                <w:color w:val="auto"/>
                <w:highlight w:val="none"/>
              </w:rPr>
            </w:pPr>
            <w:bookmarkStart w:id="0" w:name="OLE_LINK9"/>
            <w:r>
              <w:rPr>
                <w:rFonts w:hint="eastAsia" w:ascii="仿宋" w:hAnsi="仿宋" w:eastAsia="仿宋" w:cs="仿宋"/>
                <w:b/>
                <w:bCs/>
                <w:color w:val="auto"/>
                <w:highlight w:val="none"/>
              </w:rPr>
              <w:t>条款号</w:t>
            </w:r>
          </w:p>
        </w:tc>
        <w:tc>
          <w:tcPr>
            <w:tcW w:w="2000" w:type="dxa"/>
            <w:tcBorders>
              <w:left w:val="nil"/>
            </w:tcBorders>
            <w:vAlign w:val="center"/>
          </w:tcPr>
          <w:p w14:paraId="7711E851">
            <w:pPr>
              <w:spacing w:line="30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评审因素</w:t>
            </w:r>
          </w:p>
        </w:tc>
        <w:tc>
          <w:tcPr>
            <w:tcW w:w="5368" w:type="dxa"/>
            <w:tcBorders>
              <w:left w:val="nil"/>
            </w:tcBorders>
            <w:vAlign w:val="center"/>
          </w:tcPr>
          <w:p w14:paraId="74F0B62E">
            <w:pPr>
              <w:spacing w:line="30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评审标准</w:t>
            </w:r>
          </w:p>
        </w:tc>
      </w:tr>
      <w:tr w14:paraId="2B02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17" w:type="dxa"/>
            <w:vMerge w:val="restart"/>
            <w:tcBorders>
              <w:top w:val="nil"/>
            </w:tcBorders>
            <w:vAlign w:val="center"/>
          </w:tcPr>
          <w:p w14:paraId="660A0326">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2.1.1</w:t>
            </w:r>
          </w:p>
        </w:tc>
        <w:tc>
          <w:tcPr>
            <w:tcW w:w="790" w:type="dxa"/>
            <w:vMerge w:val="restart"/>
            <w:tcBorders>
              <w:top w:val="nil"/>
              <w:left w:val="nil"/>
            </w:tcBorders>
            <w:vAlign w:val="center"/>
          </w:tcPr>
          <w:p w14:paraId="7A49BDB2">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形式评审标准</w:t>
            </w:r>
          </w:p>
        </w:tc>
        <w:tc>
          <w:tcPr>
            <w:tcW w:w="2000" w:type="dxa"/>
            <w:tcBorders>
              <w:left w:val="nil"/>
            </w:tcBorders>
            <w:vAlign w:val="center"/>
          </w:tcPr>
          <w:p w14:paraId="624CDCEC">
            <w:pPr>
              <w:spacing w:line="300" w:lineRule="exact"/>
              <w:ind w:firstLine="11" w:firstLineChars="5"/>
              <w:rPr>
                <w:rFonts w:hint="eastAsia" w:ascii="仿宋" w:hAnsi="仿宋" w:eastAsia="仿宋" w:cs="仿宋"/>
                <w:color w:val="auto"/>
                <w:highlight w:val="none"/>
              </w:rPr>
            </w:pPr>
            <w:r>
              <w:rPr>
                <w:rFonts w:hint="eastAsia" w:ascii="仿宋" w:hAnsi="仿宋" w:eastAsia="仿宋" w:cs="仿宋"/>
                <w:color w:val="auto"/>
                <w:highlight w:val="none"/>
              </w:rPr>
              <w:t>磋商供应商名称</w:t>
            </w:r>
          </w:p>
        </w:tc>
        <w:tc>
          <w:tcPr>
            <w:tcW w:w="5368" w:type="dxa"/>
            <w:tcBorders>
              <w:left w:val="nil"/>
            </w:tcBorders>
            <w:vAlign w:val="center"/>
          </w:tcPr>
          <w:p w14:paraId="0F05C415">
            <w:pPr>
              <w:spacing w:line="30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磋商供应商名称与营业执照；不一致的，提供有效证明材料</w:t>
            </w:r>
          </w:p>
        </w:tc>
      </w:tr>
      <w:tr w14:paraId="4796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17" w:type="dxa"/>
            <w:vMerge w:val="continue"/>
            <w:tcBorders>
              <w:top w:val="nil"/>
            </w:tcBorders>
            <w:vAlign w:val="center"/>
          </w:tcPr>
          <w:p w14:paraId="66ED2979">
            <w:pPr>
              <w:rPr>
                <w:rFonts w:hint="eastAsia" w:ascii="仿宋" w:hAnsi="仿宋" w:eastAsia="仿宋" w:cs="仿宋"/>
                <w:color w:val="auto"/>
                <w:highlight w:val="none"/>
                <w:lang w:eastAsia="zh-CN"/>
              </w:rPr>
            </w:pPr>
          </w:p>
        </w:tc>
        <w:tc>
          <w:tcPr>
            <w:tcW w:w="790" w:type="dxa"/>
            <w:vMerge w:val="continue"/>
            <w:tcBorders>
              <w:top w:val="nil"/>
              <w:left w:val="nil"/>
            </w:tcBorders>
            <w:vAlign w:val="center"/>
          </w:tcPr>
          <w:p w14:paraId="504668D1">
            <w:pPr>
              <w:rPr>
                <w:rFonts w:hint="eastAsia" w:ascii="仿宋" w:hAnsi="仿宋" w:eastAsia="仿宋" w:cs="仿宋"/>
                <w:color w:val="auto"/>
                <w:highlight w:val="none"/>
                <w:lang w:eastAsia="zh-CN"/>
              </w:rPr>
            </w:pPr>
          </w:p>
        </w:tc>
        <w:tc>
          <w:tcPr>
            <w:tcW w:w="2000" w:type="dxa"/>
            <w:tcBorders>
              <w:left w:val="nil"/>
            </w:tcBorders>
            <w:vAlign w:val="center"/>
          </w:tcPr>
          <w:p w14:paraId="216C9F22">
            <w:pPr>
              <w:spacing w:line="300" w:lineRule="exact"/>
              <w:ind w:firstLine="11" w:firstLineChars="5"/>
              <w:rPr>
                <w:rFonts w:hint="eastAsia" w:ascii="仿宋" w:hAnsi="仿宋" w:eastAsia="仿宋" w:cs="仿宋"/>
                <w:color w:val="auto"/>
                <w:highlight w:val="none"/>
              </w:rPr>
            </w:pPr>
            <w:r>
              <w:rPr>
                <w:rFonts w:hint="eastAsia" w:ascii="仿宋" w:hAnsi="仿宋" w:eastAsia="仿宋" w:cs="仿宋"/>
                <w:color w:val="auto"/>
                <w:highlight w:val="none"/>
              </w:rPr>
              <w:t>磋商文件签字盖章</w:t>
            </w:r>
          </w:p>
        </w:tc>
        <w:tc>
          <w:tcPr>
            <w:tcW w:w="5368" w:type="dxa"/>
            <w:tcBorders>
              <w:left w:val="nil"/>
            </w:tcBorders>
            <w:vAlign w:val="center"/>
          </w:tcPr>
          <w:p w14:paraId="612B8FC7">
            <w:pPr>
              <w:spacing w:line="30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加盖磋商供应商公章和企业法定代表人（或企业法定代表人委托代理人）印章（或签字）。委托代理人有合法、有效的委托书（原件）</w:t>
            </w:r>
          </w:p>
        </w:tc>
      </w:tr>
      <w:tr w14:paraId="7CF1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7" w:type="dxa"/>
            <w:vMerge w:val="continue"/>
            <w:tcBorders>
              <w:top w:val="nil"/>
            </w:tcBorders>
            <w:vAlign w:val="center"/>
          </w:tcPr>
          <w:p w14:paraId="37DCAE50">
            <w:pPr>
              <w:rPr>
                <w:rFonts w:hint="eastAsia" w:ascii="仿宋" w:hAnsi="仿宋" w:eastAsia="仿宋" w:cs="仿宋"/>
                <w:color w:val="auto"/>
                <w:highlight w:val="none"/>
                <w:lang w:eastAsia="zh-CN"/>
              </w:rPr>
            </w:pPr>
          </w:p>
        </w:tc>
        <w:tc>
          <w:tcPr>
            <w:tcW w:w="790" w:type="dxa"/>
            <w:vMerge w:val="continue"/>
            <w:tcBorders>
              <w:top w:val="nil"/>
              <w:left w:val="nil"/>
            </w:tcBorders>
            <w:vAlign w:val="center"/>
          </w:tcPr>
          <w:p w14:paraId="6743D56F">
            <w:pPr>
              <w:rPr>
                <w:rFonts w:hint="eastAsia" w:ascii="仿宋" w:hAnsi="仿宋" w:eastAsia="仿宋" w:cs="仿宋"/>
                <w:color w:val="auto"/>
                <w:highlight w:val="none"/>
                <w:lang w:eastAsia="zh-CN"/>
              </w:rPr>
            </w:pPr>
          </w:p>
        </w:tc>
        <w:tc>
          <w:tcPr>
            <w:tcW w:w="2000" w:type="dxa"/>
            <w:tcBorders>
              <w:left w:val="nil"/>
            </w:tcBorders>
            <w:vAlign w:val="center"/>
          </w:tcPr>
          <w:p w14:paraId="236A9811">
            <w:pPr>
              <w:adjustRightInd w:val="0"/>
              <w:snapToGrid w:val="0"/>
              <w:spacing w:line="300" w:lineRule="exact"/>
              <w:rPr>
                <w:rFonts w:hint="eastAsia" w:ascii="仿宋" w:hAnsi="仿宋" w:eastAsia="仿宋" w:cs="仿宋"/>
                <w:color w:val="auto"/>
                <w:highlight w:val="none"/>
              </w:rPr>
            </w:pPr>
            <w:r>
              <w:rPr>
                <w:rFonts w:hint="eastAsia" w:ascii="仿宋" w:hAnsi="仿宋" w:eastAsia="仿宋" w:cs="仿宋"/>
                <w:color w:val="auto"/>
                <w:highlight w:val="none"/>
              </w:rPr>
              <w:t>资格审查文件格式</w:t>
            </w:r>
          </w:p>
        </w:tc>
        <w:tc>
          <w:tcPr>
            <w:tcW w:w="5368" w:type="dxa"/>
            <w:tcBorders>
              <w:left w:val="nil"/>
            </w:tcBorders>
            <w:vAlign w:val="center"/>
          </w:tcPr>
          <w:p w14:paraId="49FD8B05">
            <w:pPr>
              <w:adjustRightInd w:val="0"/>
              <w:snapToGrid w:val="0"/>
              <w:spacing w:line="30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符合磋商文件要求并附有所有相应表格</w:t>
            </w:r>
          </w:p>
        </w:tc>
      </w:tr>
      <w:tr w14:paraId="3200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7" w:type="dxa"/>
            <w:vMerge w:val="restart"/>
            <w:tcBorders>
              <w:top w:val="nil"/>
            </w:tcBorders>
            <w:vAlign w:val="center"/>
          </w:tcPr>
          <w:p w14:paraId="2517C6D6">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2.1.2</w:t>
            </w:r>
          </w:p>
        </w:tc>
        <w:tc>
          <w:tcPr>
            <w:tcW w:w="790" w:type="dxa"/>
            <w:vMerge w:val="restart"/>
            <w:tcBorders>
              <w:top w:val="nil"/>
              <w:left w:val="nil"/>
            </w:tcBorders>
            <w:vAlign w:val="center"/>
          </w:tcPr>
          <w:p w14:paraId="7B8AC5B3">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资格评审标准</w:t>
            </w:r>
          </w:p>
        </w:tc>
        <w:tc>
          <w:tcPr>
            <w:tcW w:w="2000" w:type="dxa"/>
            <w:tcBorders>
              <w:left w:val="nil"/>
            </w:tcBorders>
            <w:vAlign w:val="center"/>
          </w:tcPr>
          <w:p w14:paraId="5504E09E">
            <w:pPr>
              <w:spacing w:line="30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响应单位法定代表人开具的对本项目授权委托书及授权代表身份证证明</w:t>
            </w:r>
          </w:p>
        </w:tc>
        <w:tc>
          <w:tcPr>
            <w:tcW w:w="5368" w:type="dxa"/>
            <w:tcBorders>
              <w:left w:val="nil"/>
            </w:tcBorders>
            <w:vAlign w:val="center"/>
          </w:tcPr>
          <w:p w14:paraId="3A61D952">
            <w:pPr>
              <w:spacing w:line="300" w:lineRule="exact"/>
              <w:rPr>
                <w:rFonts w:hint="eastAsia" w:ascii="仿宋" w:hAnsi="仿宋" w:eastAsia="仿宋" w:cs="仿宋"/>
                <w:color w:val="auto"/>
                <w:highlight w:val="none"/>
                <w:lang w:eastAsia="zh-CN"/>
              </w:rPr>
            </w:pPr>
            <w:r>
              <w:rPr>
                <w:rFonts w:hint="eastAsia" w:ascii="仿宋" w:hAnsi="仿宋" w:eastAsia="仿宋" w:cs="仿宋"/>
                <w:bCs/>
                <w:color w:val="auto"/>
                <w:highlight w:val="none"/>
                <w:lang w:eastAsia="zh-CN"/>
              </w:rPr>
              <w:t>法定代表人参加项目磋商的，须提供法定代表人身份证明书原件；非法定代表人参加的，必须提供法定代表人签名或盖章的授权委托书原件、被授权代表身份证复印件（</w:t>
            </w:r>
            <w:r>
              <w:rPr>
                <w:rFonts w:hint="eastAsia" w:ascii="仿宋" w:hAnsi="仿宋" w:eastAsia="仿宋" w:cs="仿宋"/>
                <w:color w:val="auto"/>
                <w:highlight w:val="none"/>
                <w:lang w:eastAsia="zh-CN"/>
              </w:rPr>
              <w:t>须加盖公章</w:t>
            </w:r>
            <w:r>
              <w:rPr>
                <w:rFonts w:hint="eastAsia" w:ascii="仿宋" w:hAnsi="仿宋" w:eastAsia="仿宋" w:cs="仿宋"/>
                <w:bCs/>
                <w:color w:val="auto"/>
                <w:highlight w:val="none"/>
                <w:lang w:eastAsia="zh-CN"/>
              </w:rPr>
              <w:t>）</w:t>
            </w:r>
          </w:p>
        </w:tc>
      </w:tr>
      <w:tr w14:paraId="21D1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7" w:type="dxa"/>
            <w:vMerge w:val="continue"/>
            <w:vAlign w:val="center"/>
          </w:tcPr>
          <w:p w14:paraId="36A118D9">
            <w:pPr>
              <w:spacing w:line="300" w:lineRule="exact"/>
              <w:jc w:val="center"/>
              <w:rPr>
                <w:rFonts w:hint="eastAsia" w:ascii="仿宋" w:hAnsi="仿宋" w:eastAsia="仿宋" w:cs="仿宋"/>
                <w:color w:val="auto"/>
                <w:highlight w:val="none"/>
                <w:lang w:eastAsia="zh-CN"/>
              </w:rPr>
            </w:pPr>
          </w:p>
        </w:tc>
        <w:tc>
          <w:tcPr>
            <w:tcW w:w="790" w:type="dxa"/>
            <w:vMerge w:val="continue"/>
            <w:tcBorders>
              <w:left w:val="nil"/>
            </w:tcBorders>
            <w:vAlign w:val="center"/>
          </w:tcPr>
          <w:p w14:paraId="324DD31E">
            <w:pPr>
              <w:spacing w:line="300" w:lineRule="exact"/>
              <w:jc w:val="center"/>
              <w:rPr>
                <w:rFonts w:hint="eastAsia" w:ascii="仿宋" w:hAnsi="仿宋" w:eastAsia="仿宋" w:cs="仿宋"/>
                <w:color w:val="auto"/>
                <w:highlight w:val="none"/>
                <w:lang w:eastAsia="zh-CN"/>
              </w:rPr>
            </w:pPr>
          </w:p>
        </w:tc>
        <w:tc>
          <w:tcPr>
            <w:tcW w:w="2000" w:type="dxa"/>
            <w:tcBorders>
              <w:left w:val="nil"/>
            </w:tcBorders>
            <w:vAlign w:val="center"/>
          </w:tcPr>
          <w:p w14:paraId="47A1BFED">
            <w:pPr>
              <w:spacing w:line="30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满足《中华人民共和国政府采购法》第二十二条规定声明函</w:t>
            </w:r>
          </w:p>
        </w:tc>
        <w:tc>
          <w:tcPr>
            <w:tcW w:w="5368" w:type="dxa"/>
            <w:tcBorders>
              <w:left w:val="nil"/>
            </w:tcBorders>
            <w:vAlign w:val="center"/>
          </w:tcPr>
          <w:p w14:paraId="59069136">
            <w:pPr>
              <w:spacing w:line="30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满足《中华人民共和国政府采购法》第二十二条规定声明函（按后附格式）</w:t>
            </w:r>
          </w:p>
        </w:tc>
      </w:tr>
      <w:tr w14:paraId="7F85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7" w:type="dxa"/>
            <w:vMerge w:val="continue"/>
            <w:vAlign w:val="center"/>
          </w:tcPr>
          <w:p w14:paraId="7A979CDE">
            <w:pPr>
              <w:spacing w:line="300" w:lineRule="exact"/>
              <w:jc w:val="center"/>
              <w:rPr>
                <w:rFonts w:hint="eastAsia" w:ascii="仿宋" w:hAnsi="仿宋" w:eastAsia="仿宋" w:cs="仿宋"/>
                <w:color w:val="auto"/>
                <w:highlight w:val="none"/>
                <w:lang w:eastAsia="zh-CN"/>
              </w:rPr>
            </w:pPr>
          </w:p>
        </w:tc>
        <w:tc>
          <w:tcPr>
            <w:tcW w:w="790" w:type="dxa"/>
            <w:vMerge w:val="continue"/>
            <w:tcBorders>
              <w:left w:val="nil"/>
            </w:tcBorders>
            <w:vAlign w:val="center"/>
          </w:tcPr>
          <w:p w14:paraId="517F7FED">
            <w:pPr>
              <w:spacing w:line="300" w:lineRule="exact"/>
              <w:jc w:val="center"/>
              <w:rPr>
                <w:rFonts w:hint="eastAsia" w:ascii="仿宋" w:hAnsi="仿宋" w:eastAsia="仿宋" w:cs="仿宋"/>
                <w:color w:val="auto"/>
                <w:highlight w:val="none"/>
                <w:lang w:eastAsia="zh-CN"/>
              </w:rPr>
            </w:pPr>
          </w:p>
        </w:tc>
        <w:tc>
          <w:tcPr>
            <w:tcW w:w="2000" w:type="dxa"/>
            <w:tcBorders>
              <w:left w:val="nil"/>
            </w:tcBorders>
            <w:vAlign w:val="center"/>
          </w:tcPr>
          <w:p w14:paraId="1144CD6A">
            <w:pPr>
              <w:tabs>
                <w:tab w:val="left" w:pos="2521"/>
              </w:tabs>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t>营业执照</w:t>
            </w:r>
          </w:p>
        </w:tc>
        <w:tc>
          <w:tcPr>
            <w:tcW w:w="5368" w:type="dxa"/>
            <w:tcBorders>
              <w:left w:val="nil"/>
            </w:tcBorders>
            <w:vAlign w:val="center"/>
          </w:tcPr>
          <w:p w14:paraId="721C2869">
            <w:pPr>
              <w:tabs>
                <w:tab w:val="left" w:pos="2521"/>
              </w:tabs>
              <w:spacing w:line="360" w:lineRule="auto"/>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eastAsia="zh-CN"/>
              </w:rPr>
              <w:t>提供法人或者其他组织的营业执照等证明文件；提供复印件并加盖公章）</w:t>
            </w:r>
          </w:p>
        </w:tc>
      </w:tr>
      <w:tr w14:paraId="1F02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17" w:type="dxa"/>
            <w:vMerge w:val="continue"/>
            <w:vAlign w:val="center"/>
          </w:tcPr>
          <w:p w14:paraId="3DC021C3">
            <w:pPr>
              <w:rPr>
                <w:rFonts w:hint="eastAsia" w:ascii="仿宋" w:hAnsi="仿宋" w:eastAsia="仿宋" w:cs="仿宋"/>
                <w:color w:val="auto"/>
                <w:highlight w:val="none"/>
                <w:lang w:eastAsia="zh-CN"/>
              </w:rPr>
            </w:pPr>
          </w:p>
        </w:tc>
        <w:tc>
          <w:tcPr>
            <w:tcW w:w="790" w:type="dxa"/>
            <w:vMerge w:val="continue"/>
            <w:tcBorders>
              <w:left w:val="nil"/>
            </w:tcBorders>
            <w:vAlign w:val="center"/>
          </w:tcPr>
          <w:p w14:paraId="1DF994F1">
            <w:pPr>
              <w:rPr>
                <w:rFonts w:hint="eastAsia" w:ascii="仿宋" w:hAnsi="仿宋" w:eastAsia="仿宋" w:cs="仿宋"/>
                <w:color w:val="auto"/>
                <w:highlight w:val="none"/>
                <w:lang w:eastAsia="zh-CN"/>
              </w:rPr>
            </w:pPr>
          </w:p>
        </w:tc>
        <w:tc>
          <w:tcPr>
            <w:tcW w:w="2000" w:type="dxa"/>
            <w:tcBorders>
              <w:left w:val="nil"/>
            </w:tcBorders>
            <w:vAlign w:val="center"/>
          </w:tcPr>
          <w:p w14:paraId="33B78350">
            <w:pPr>
              <w:tabs>
                <w:tab w:val="left" w:pos="2521"/>
              </w:tabs>
              <w:spacing w:line="360" w:lineRule="auto"/>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拟派人员</w:t>
            </w:r>
          </w:p>
        </w:tc>
        <w:tc>
          <w:tcPr>
            <w:tcW w:w="5368" w:type="dxa"/>
            <w:tcBorders>
              <w:left w:val="nil"/>
            </w:tcBorders>
            <w:vAlign w:val="center"/>
          </w:tcPr>
          <w:p w14:paraId="0F976165">
            <w:pPr>
              <w:tabs>
                <w:tab w:val="left" w:pos="2521"/>
              </w:tabs>
              <w:spacing w:line="360" w:lineRule="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提供满足本项目需求的人员一览表，且项目经理具有大专及以上文化水平，提供学历证书</w:t>
            </w:r>
            <w:r>
              <w:rPr>
                <w:rFonts w:hint="eastAsia" w:ascii="仿宋" w:hAnsi="仿宋" w:eastAsia="仿宋" w:cs="仿宋"/>
                <w:color w:val="auto"/>
                <w:sz w:val="24"/>
                <w:highlight w:val="none"/>
                <w:lang w:eastAsia="zh-CN"/>
              </w:rPr>
              <w:t>（以上提供原件复印件加盖公章）</w:t>
            </w:r>
          </w:p>
        </w:tc>
      </w:tr>
      <w:tr w14:paraId="432E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17" w:type="dxa"/>
            <w:vMerge w:val="continue"/>
            <w:vAlign w:val="center"/>
          </w:tcPr>
          <w:p w14:paraId="2939E2C6">
            <w:pPr>
              <w:rPr>
                <w:rFonts w:hint="eastAsia" w:ascii="仿宋" w:hAnsi="仿宋" w:eastAsia="仿宋" w:cs="仿宋"/>
                <w:color w:val="auto"/>
                <w:highlight w:val="none"/>
                <w:lang w:eastAsia="zh-CN"/>
              </w:rPr>
            </w:pPr>
          </w:p>
        </w:tc>
        <w:tc>
          <w:tcPr>
            <w:tcW w:w="790" w:type="dxa"/>
            <w:vMerge w:val="continue"/>
            <w:tcBorders>
              <w:left w:val="nil"/>
            </w:tcBorders>
            <w:vAlign w:val="center"/>
          </w:tcPr>
          <w:p w14:paraId="6B557CC5">
            <w:pPr>
              <w:rPr>
                <w:rFonts w:hint="eastAsia" w:ascii="仿宋" w:hAnsi="仿宋" w:eastAsia="仿宋" w:cs="仿宋"/>
                <w:color w:val="auto"/>
                <w:highlight w:val="none"/>
                <w:lang w:eastAsia="zh-CN"/>
              </w:rPr>
            </w:pPr>
          </w:p>
        </w:tc>
        <w:tc>
          <w:tcPr>
            <w:tcW w:w="2000" w:type="dxa"/>
            <w:tcBorders>
              <w:left w:val="nil"/>
            </w:tcBorders>
            <w:vAlign w:val="center"/>
          </w:tcPr>
          <w:p w14:paraId="382BC2BB">
            <w:pPr>
              <w:tabs>
                <w:tab w:val="left" w:pos="2521"/>
              </w:tabs>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关于资格文件的声明函、供应商响应文件函</w:t>
            </w:r>
          </w:p>
        </w:tc>
        <w:tc>
          <w:tcPr>
            <w:tcW w:w="5368" w:type="dxa"/>
            <w:tcBorders>
              <w:left w:val="nil"/>
            </w:tcBorders>
            <w:vAlign w:val="center"/>
          </w:tcPr>
          <w:p w14:paraId="15706872">
            <w:pPr>
              <w:tabs>
                <w:tab w:val="left" w:pos="2521"/>
              </w:tabs>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关于资格文件的声明函、供应商响应文件函（格式参见第七章）</w:t>
            </w:r>
          </w:p>
        </w:tc>
      </w:tr>
      <w:tr w14:paraId="1824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7" w:type="dxa"/>
            <w:vMerge w:val="continue"/>
            <w:vAlign w:val="center"/>
          </w:tcPr>
          <w:p w14:paraId="6524F666">
            <w:pPr>
              <w:rPr>
                <w:rFonts w:hint="eastAsia" w:ascii="仿宋" w:hAnsi="仿宋" w:eastAsia="仿宋" w:cs="仿宋"/>
                <w:color w:val="auto"/>
                <w:highlight w:val="none"/>
                <w:lang w:eastAsia="zh-CN"/>
              </w:rPr>
            </w:pPr>
          </w:p>
        </w:tc>
        <w:tc>
          <w:tcPr>
            <w:tcW w:w="790" w:type="dxa"/>
            <w:vMerge w:val="continue"/>
            <w:tcBorders>
              <w:left w:val="nil"/>
            </w:tcBorders>
            <w:vAlign w:val="center"/>
          </w:tcPr>
          <w:p w14:paraId="141C80CC">
            <w:pPr>
              <w:rPr>
                <w:rFonts w:hint="eastAsia" w:ascii="仿宋" w:hAnsi="仿宋" w:eastAsia="仿宋" w:cs="仿宋"/>
                <w:color w:val="auto"/>
                <w:highlight w:val="none"/>
                <w:lang w:eastAsia="zh-CN"/>
              </w:rPr>
            </w:pPr>
          </w:p>
        </w:tc>
        <w:tc>
          <w:tcPr>
            <w:tcW w:w="2000" w:type="dxa"/>
            <w:tcBorders>
              <w:left w:val="nil"/>
            </w:tcBorders>
            <w:vAlign w:val="center"/>
          </w:tcPr>
          <w:p w14:paraId="636C5355">
            <w:pPr>
              <w:tabs>
                <w:tab w:val="left" w:pos="2521"/>
              </w:tabs>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企业信用</w:t>
            </w:r>
          </w:p>
        </w:tc>
        <w:tc>
          <w:tcPr>
            <w:tcW w:w="5368" w:type="dxa"/>
            <w:tcBorders>
              <w:left w:val="nil"/>
            </w:tcBorders>
            <w:vAlign w:val="center"/>
          </w:tcPr>
          <w:p w14:paraId="6E76A021">
            <w:pPr>
              <w:tabs>
                <w:tab w:val="left" w:pos="2521"/>
              </w:tabs>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磋商供应商需提供企业信用查询结果（“信用中国”网站、中国政府采购网和国家企业信用信息公示系统进入查询自行打印)，查询结果有效期须在自本项目公告发布之日起至本项目磋商投标截止日内有效。提供以上网页的投标单位企业信用的截图，未提供截图或失信的供应商资格审查均不予通过。</w:t>
            </w:r>
          </w:p>
        </w:tc>
      </w:tr>
      <w:tr w14:paraId="64A8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7" w:type="dxa"/>
            <w:vMerge w:val="continue"/>
            <w:vAlign w:val="center"/>
          </w:tcPr>
          <w:p w14:paraId="396F4A29">
            <w:pPr>
              <w:rPr>
                <w:rFonts w:hint="eastAsia" w:ascii="仿宋" w:hAnsi="仿宋" w:eastAsia="仿宋" w:cs="仿宋"/>
                <w:color w:val="auto"/>
                <w:highlight w:val="none"/>
                <w:lang w:eastAsia="zh-CN"/>
              </w:rPr>
            </w:pPr>
          </w:p>
        </w:tc>
        <w:tc>
          <w:tcPr>
            <w:tcW w:w="790" w:type="dxa"/>
            <w:vMerge w:val="continue"/>
            <w:tcBorders>
              <w:left w:val="nil"/>
            </w:tcBorders>
            <w:vAlign w:val="center"/>
          </w:tcPr>
          <w:p w14:paraId="35641CE8">
            <w:pPr>
              <w:rPr>
                <w:rFonts w:hint="eastAsia" w:ascii="仿宋" w:hAnsi="仿宋" w:eastAsia="仿宋" w:cs="仿宋"/>
                <w:color w:val="auto"/>
                <w:highlight w:val="none"/>
                <w:lang w:eastAsia="zh-CN"/>
              </w:rPr>
            </w:pPr>
          </w:p>
        </w:tc>
        <w:tc>
          <w:tcPr>
            <w:tcW w:w="2000" w:type="dxa"/>
            <w:tcBorders>
              <w:left w:val="nil"/>
            </w:tcBorders>
            <w:vAlign w:val="center"/>
          </w:tcPr>
          <w:p w14:paraId="6DA36188">
            <w:pPr>
              <w:tabs>
                <w:tab w:val="left" w:pos="2521"/>
              </w:tabs>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中小企业声明函</w:t>
            </w:r>
          </w:p>
        </w:tc>
        <w:tc>
          <w:tcPr>
            <w:tcW w:w="5368" w:type="dxa"/>
            <w:tcBorders>
              <w:left w:val="nil"/>
            </w:tcBorders>
            <w:vAlign w:val="center"/>
          </w:tcPr>
          <w:p w14:paraId="7F3E155F">
            <w:pPr>
              <w:tabs>
                <w:tab w:val="left" w:pos="2521"/>
              </w:tabs>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中小企业声明函（（格式参见第七章））</w:t>
            </w:r>
          </w:p>
        </w:tc>
      </w:tr>
      <w:tr w14:paraId="4C3E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975" w:type="dxa"/>
            <w:gridSpan w:val="4"/>
            <w:vAlign w:val="center"/>
          </w:tcPr>
          <w:p w14:paraId="3B285BCB">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上述条款号2.1.2资格评审标准的纸质递交资料需提供复印件并加盖单位公章。注：通过形式评审和资格审查的供应商响应文件供应商方可进入以下评审。</w:t>
            </w:r>
          </w:p>
        </w:tc>
      </w:tr>
      <w:bookmarkEnd w:id="0"/>
    </w:tbl>
    <w:p w14:paraId="63CA652F">
      <w:pPr>
        <w:pBdr>
          <w:top w:val="none" w:color="000000" w:sz="0" w:space="0"/>
          <w:left w:val="none" w:color="000000" w:sz="0" w:space="0"/>
          <w:bottom w:val="none" w:color="000000" w:sz="0" w:space="0"/>
          <w:right w:val="none" w:color="000000" w:sz="0" w:space="0"/>
        </w:pBd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br w:type="page" w:clear="all"/>
      </w:r>
    </w:p>
    <w:p w14:paraId="37A09273">
      <w:pPr>
        <w:pBdr>
          <w:top w:val="none" w:color="000000" w:sz="0" w:space="0"/>
          <w:left w:val="none" w:color="000000" w:sz="0" w:space="0"/>
          <w:bottom w:val="none" w:color="000000" w:sz="0" w:space="0"/>
          <w:right w:val="none" w:color="000000" w:sz="0" w:space="0"/>
        </w:pBdr>
        <w:spacing w:after="0"/>
        <w:rPr>
          <w:rFonts w:hint="eastAsia" w:ascii="仿宋" w:hAnsi="仿宋" w:eastAsia="仿宋" w:cs="仿宋"/>
          <w:color w:val="auto"/>
          <w:highlight w:val="none"/>
          <w:lang w:eastAsia="zh-CN"/>
        </w:rPr>
      </w:pPr>
      <w:r>
        <w:rPr>
          <w:rFonts w:ascii="宋体" w:hAnsi="宋体" w:eastAsia="宋体" w:cs="宋体"/>
          <w:color w:val="auto"/>
          <w:sz w:val="24"/>
          <w:highlight w:val="none"/>
          <w:lang w:eastAsia="zh-CN"/>
        </w:rPr>
        <w:t xml:space="preserve"> </w:t>
      </w:r>
    </w:p>
    <w:p w14:paraId="44F94FF9">
      <w:pPr>
        <w:pBdr>
          <w:top w:val="none" w:color="000000" w:sz="0" w:space="0"/>
          <w:left w:val="none" w:color="000000" w:sz="0" w:space="0"/>
          <w:bottom w:val="none" w:color="000000" w:sz="0" w:space="0"/>
          <w:right w:val="none" w:color="000000" w:sz="0" w:space="0"/>
        </w:pBdr>
        <w:spacing w:after="0"/>
        <w:jc w:val="center"/>
        <w:rPr>
          <w:rFonts w:hint="eastAsia" w:ascii="仿宋" w:hAnsi="仿宋" w:eastAsia="仿宋" w:cs="仿宋"/>
          <w:color w:val="auto"/>
          <w:highlight w:val="none"/>
          <w:lang w:eastAsia="zh-CN"/>
        </w:rPr>
      </w:pPr>
      <w:r>
        <w:rPr>
          <w:rFonts w:hint="eastAsia" w:ascii="仿宋" w:hAnsi="仿宋" w:eastAsia="仿宋" w:cs="仿宋"/>
          <w:b/>
          <w:color w:val="auto"/>
          <w:sz w:val="36"/>
          <w:highlight w:val="none"/>
          <w:lang w:eastAsia="zh-CN"/>
        </w:rPr>
        <w:t>第五章 磋商办法（综合评分法）</w:t>
      </w:r>
    </w:p>
    <w:p w14:paraId="2D26154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一、本项目开标顺序为：</w:t>
      </w:r>
    </w:p>
    <w:p w14:paraId="7AC78D49">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评标流程：资格审查评审—商务技术标评审—报价标评审-确定成交候选人。</w:t>
      </w:r>
    </w:p>
    <w:p w14:paraId="122DF5F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二、本项目</w:t>
      </w:r>
      <w:r>
        <w:rPr>
          <w:rFonts w:hint="eastAsia" w:ascii="仿宋" w:hAnsi="仿宋" w:eastAsia="仿宋" w:cs="仿宋"/>
          <w:color w:val="auto"/>
          <w:sz w:val="24"/>
          <w:szCs w:val="24"/>
          <w:highlight w:val="none"/>
          <w:lang w:val="en-US" w:eastAsia="zh-CN"/>
        </w:rPr>
        <w:t>磋商小组由采购人代表和评审专家共3人及以上单数组成，其中评审专家人数不得少于磋商小组成员总数的2/3。采购人不得以评审专家身份参加本部门或本单位采购项目的评审。采购代理机构不得参加本机构代理的采购项目的评审。</w:t>
      </w:r>
    </w:p>
    <w:p w14:paraId="5FE577B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磋商委员会认为投标人的报价明显低于其他投标人的报价，有可能影响服务质量或者不能诚信履约的，应当要求其在评标现场在规定时限之内提供书面说明，必要时提交相关证明材料；投标人不能证明其投标合理性的，磋商委员会应当将其作为无效投标处理。</w:t>
      </w:r>
    </w:p>
    <w:p w14:paraId="75F30912">
      <w:pPr>
        <w:pStyle w:val="1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四、评标办法：本次评标采用综合评分法，具体评分办法如下：</w:t>
      </w:r>
    </w:p>
    <w:p w14:paraId="5EB94C22">
      <w:pPr>
        <w:pStyle w:val="13"/>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（一）商务技术分（90分）</w:t>
      </w:r>
    </w:p>
    <w:tbl>
      <w:tblPr>
        <w:tblStyle w:val="36"/>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522"/>
        <w:gridCol w:w="1284"/>
        <w:gridCol w:w="5643"/>
      </w:tblGrid>
      <w:tr w14:paraId="2FC4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816" w:type="dxa"/>
            <w:gridSpan w:val="3"/>
            <w:noWrap w:val="0"/>
            <w:vAlign w:val="center"/>
          </w:tcPr>
          <w:p w14:paraId="60B540EE">
            <w:pPr>
              <w:keepNext w:val="0"/>
              <w:keepLines w:val="0"/>
              <w:pageBreakBefore w:val="0"/>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分值构成（100分）</w:t>
            </w:r>
          </w:p>
        </w:tc>
        <w:tc>
          <w:tcPr>
            <w:tcW w:w="5643" w:type="dxa"/>
            <w:tcBorders>
              <w:left w:val="nil"/>
            </w:tcBorders>
            <w:noWrap w:val="0"/>
            <w:vAlign w:val="center"/>
          </w:tcPr>
          <w:p w14:paraId="79EDF5DE">
            <w:pPr>
              <w:keepNext w:val="0"/>
              <w:keepLines w:val="0"/>
              <w:pageBreakBefore w:val="0"/>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商务技术标</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分，报价标</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r>
      <w:tr w14:paraId="2248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10" w:type="dxa"/>
            <w:noWrap w:val="0"/>
            <w:vAlign w:val="center"/>
          </w:tcPr>
          <w:p w14:paraId="40FDAAE0">
            <w:pPr>
              <w:keepNext w:val="0"/>
              <w:keepLines w:val="0"/>
              <w:pageBreakBefore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2" w:type="dxa"/>
            <w:tcBorders>
              <w:left w:val="nil"/>
            </w:tcBorders>
            <w:noWrap w:val="0"/>
            <w:vAlign w:val="center"/>
          </w:tcPr>
          <w:p w14:paraId="6FAC72D4">
            <w:pPr>
              <w:keepNext w:val="0"/>
              <w:keepLines w:val="0"/>
              <w:pageBreakBefore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评分因素</w:t>
            </w:r>
          </w:p>
        </w:tc>
        <w:tc>
          <w:tcPr>
            <w:tcW w:w="6927" w:type="dxa"/>
            <w:gridSpan w:val="2"/>
            <w:tcBorders>
              <w:left w:val="nil"/>
            </w:tcBorders>
            <w:noWrap w:val="0"/>
            <w:vAlign w:val="center"/>
          </w:tcPr>
          <w:p w14:paraId="2036346A">
            <w:pPr>
              <w:keepNext w:val="0"/>
              <w:keepLines w:val="0"/>
              <w:pageBreakBefore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评分标准</w:t>
            </w:r>
          </w:p>
        </w:tc>
      </w:tr>
      <w:tr w14:paraId="3648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10" w:type="dxa"/>
            <w:noWrap w:val="0"/>
            <w:vAlign w:val="center"/>
          </w:tcPr>
          <w:p w14:paraId="244A7475">
            <w:pPr>
              <w:keepNext w:val="0"/>
              <w:keepLines w:val="0"/>
              <w:pageBreakBefore w:val="0"/>
              <w:spacing w:line="32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522" w:type="dxa"/>
            <w:tcBorders>
              <w:left w:val="nil"/>
            </w:tcBorders>
            <w:noWrap w:val="0"/>
            <w:vAlign w:val="center"/>
          </w:tcPr>
          <w:p w14:paraId="13630D83">
            <w:pPr>
              <w:widowControl/>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居家和社区养老服务运作方案（</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6927" w:type="dxa"/>
            <w:gridSpan w:val="2"/>
            <w:tcBorders>
              <w:left w:val="nil"/>
            </w:tcBorders>
            <w:noWrap w:val="0"/>
            <w:vAlign w:val="center"/>
          </w:tcPr>
          <w:p w14:paraId="4CBA1F72">
            <w:pPr>
              <w:keepNext w:val="0"/>
              <w:keepLines w:val="0"/>
              <w:pageBreakBefore w:val="0"/>
              <w:widowControl/>
              <w:numPr>
                <w:ilvl w:val="0"/>
                <w:numId w:val="3"/>
              </w:num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能够根据需要服务的不同类型的老人实际情况合理制定适合的服务方案</w:t>
            </w:r>
            <w:r>
              <w:rPr>
                <w:rFonts w:hint="eastAsia" w:ascii="仿宋" w:hAnsi="仿宋" w:eastAsia="仿宋" w:cs="仿宋"/>
                <w:color w:val="auto"/>
                <w:sz w:val="24"/>
                <w:szCs w:val="24"/>
                <w:highlight w:val="none"/>
                <w:lang w:eastAsia="zh-CN"/>
              </w:rPr>
              <w:t>：</w:t>
            </w:r>
          </w:p>
          <w:p w14:paraId="5AA0A0E7">
            <w:pPr>
              <w:keepNext w:val="0"/>
              <w:keepLines w:val="0"/>
              <w:pageBreakBefore w:val="0"/>
              <w:widowControl/>
              <w:numPr>
                <w:ilvl w:val="0"/>
                <w:numId w:val="0"/>
              </w:num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“政府购买养老服务”的内容齐全，含日间照料和居家养老等服务标准表述明确且有条理，评委分三档按区间评定：1分＜一般≤4分＜良≤7分＜优≤10分。</w:t>
            </w:r>
          </w:p>
          <w:p w14:paraId="67AC6AE4">
            <w:pPr>
              <w:keepNext w:val="0"/>
              <w:keepLines w:val="0"/>
              <w:pageBreakBefore w:val="0"/>
              <w:widowControl/>
              <w:numPr>
                <w:ilvl w:val="0"/>
                <w:numId w:val="3"/>
              </w:numPr>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提供日常行政、业务管理设置的职能部门，并配备相应的服务团队人员</w:t>
            </w:r>
            <w:r>
              <w:rPr>
                <w:rFonts w:hint="eastAsia" w:ascii="仿宋" w:hAnsi="仿宋" w:eastAsia="仿宋" w:cs="仿宋"/>
                <w:color w:val="auto"/>
                <w:sz w:val="24"/>
                <w:szCs w:val="24"/>
                <w:highlight w:val="none"/>
                <w:lang w:eastAsia="zh-CN"/>
              </w:rPr>
              <w:t>：</w:t>
            </w:r>
          </w:p>
          <w:p w14:paraId="3E230F0D">
            <w:pPr>
              <w:keepNext w:val="0"/>
              <w:keepLines w:val="0"/>
              <w:pageBreakBefore w:val="0"/>
              <w:widowControl/>
              <w:numPr>
                <w:ilvl w:val="0"/>
                <w:numId w:val="0"/>
              </w:numPr>
              <w:spacing w:line="240" w:lineRule="auto"/>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按需设置本项目涉及的各职能部门、运营服务拟派人员数量、资质等，评委就供应商的团队建设，按区间评定：1分＜一般≤4分＜良≤7分＜优≤10分。</w:t>
            </w:r>
          </w:p>
          <w:p w14:paraId="5C57CD74">
            <w:pPr>
              <w:keepNext w:val="0"/>
              <w:keepLines w:val="0"/>
              <w:pageBreakBefore w:val="0"/>
              <w:widowControl/>
              <w:numPr>
                <w:ilvl w:val="0"/>
                <w:numId w:val="3"/>
              </w:numPr>
              <w:spacing w:line="240" w:lineRule="auto"/>
              <w:ind w:left="0" w:leftChars="0" w:firstLine="0" w:firstLineChars="0"/>
              <w:jc w:val="left"/>
              <w:rPr>
                <w:rFonts w:hint="eastAsia" w:ascii="仿宋" w:hAnsi="仿宋" w:eastAsia="仿宋" w:cs="仿宋"/>
                <w:color w:val="auto"/>
                <w:sz w:val="24"/>
                <w:szCs w:val="24"/>
                <w:highlight w:val="none"/>
                <w:lang w:eastAsia="zh-CN"/>
              </w:rPr>
            </w:pPr>
            <w:bookmarkStart w:id="1" w:name="_Hlk71402801"/>
            <w:r>
              <w:rPr>
                <w:rFonts w:hint="eastAsia" w:ascii="仿宋" w:hAnsi="仿宋" w:eastAsia="仿宋" w:cs="仿宋"/>
                <w:color w:val="auto"/>
                <w:sz w:val="24"/>
                <w:szCs w:val="24"/>
                <w:highlight w:val="none"/>
              </w:rPr>
              <w:t>结合</w:t>
            </w:r>
            <w:r>
              <w:rPr>
                <w:rFonts w:hint="eastAsia" w:ascii="仿宋" w:hAnsi="仿宋" w:eastAsia="仿宋" w:cs="仿宋"/>
                <w:color w:val="auto"/>
                <w:sz w:val="24"/>
                <w:szCs w:val="24"/>
                <w:highlight w:val="none"/>
                <w:lang w:val="en-US" w:eastAsia="zh-CN"/>
              </w:rPr>
              <w:t>中兴</w:t>
            </w:r>
            <w:r>
              <w:rPr>
                <w:rFonts w:hint="eastAsia" w:ascii="仿宋" w:hAnsi="仿宋" w:eastAsia="仿宋" w:cs="仿宋"/>
                <w:color w:val="auto"/>
                <w:sz w:val="24"/>
                <w:szCs w:val="24"/>
                <w:highlight w:val="none"/>
              </w:rPr>
              <w:t>街道的养老情形，</w:t>
            </w:r>
            <w:bookmarkEnd w:id="1"/>
            <w:r>
              <w:rPr>
                <w:rFonts w:hint="eastAsia" w:ascii="仿宋" w:hAnsi="仿宋" w:eastAsia="仿宋" w:cs="仿宋"/>
                <w:color w:val="auto"/>
                <w:sz w:val="24"/>
                <w:szCs w:val="24"/>
                <w:highlight w:val="none"/>
              </w:rPr>
              <w:t>提供针对性强的养老方案</w:t>
            </w:r>
            <w:r>
              <w:rPr>
                <w:rFonts w:hint="eastAsia" w:ascii="仿宋" w:hAnsi="仿宋" w:eastAsia="仿宋" w:cs="仿宋"/>
                <w:color w:val="auto"/>
                <w:sz w:val="24"/>
                <w:szCs w:val="24"/>
                <w:highlight w:val="none"/>
                <w:lang w:eastAsia="zh-CN"/>
              </w:rPr>
              <w:t>：</w:t>
            </w:r>
          </w:p>
          <w:p w14:paraId="4E2FBC1C">
            <w:pPr>
              <w:keepNext w:val="0"/>
              <w:keepLines w:val="0"/>
              <w:pageBreakBefore w:val="0"/>
              <w:widowControl/>
              <w:numPr>
                <w:ilvl w:val="0"/>
                <w:numId w:val="0"/>
              </w:numPr>
              <w:spacing w:line="240" w:lineRule="auto"/>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对“方案”内的的实施措施、应急处置、各项目运营要素是否且切实可行并贴近本项目街道社区，评委分三档按区间评定：1分＜一般≤4分＜良≤7分＜优≤10分。</w:t>
            </w:r>
          </w:p>
        </w:tc>
      </w:tr>
      <w:tr w14:paraId="566D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10" w:type="dxa"/>
            <w:noWrap w:val="0"/>
            <w:vAlign w:val="center"/>
          </w:tcPr>
          <w:p w14:paraId="6A9AA791">
            <w:pPr>
              <w:keepNext w:val="0"/>
              <w:keepLines w:val="0"/>
              <w:pageBreakBefore w:val="0"/>
              <w:widowControl/>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22" w:type="dxa"/>
            <w:tcBorders>
              <w:left w:val="nil"/>
            </w:tcBorders>
            <w:noWrap w:val="0"/>
            <w:vAlign w:val="center"/>
          </w:tcPr>
          <w:p w14:paraId="683E4E6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响应供应商业绩（10分）</w:t>
            </w:r>
          </w:p>
        </w:tc>
        <w:tc>
          <w:tcPr>
            <w:tcW w:w="6927" w:type="dxa"/>
            <w:gridSpan w:val="2"/>
            <w:tcBorders>
              <w:left w:val="nil"/>
            </w:tcBorders>
            <w:noWrap w:val="0"/>
            <w:vAlign w:val="center"/>
          </w:tcPr>
          <w:p w14:paraId="4393C921">
            <w:pPr>
              <w:spacing w:line="240" w:lineRule="auto"/>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自20</w:t>
            </w:r>
            <w:r>
              <w:rPr>
                <w:rFonts w:hint="eastAsia" w:ascii="仿宋" w:hAnsi="仿宋" w:eastAsia="仿宋" w:cs="仿宋"/>
                <w:bCs/>
                <w:color w:val="auto"/>
                <w:sz w:val="24"/>
                <w:szCs w:val="24"/>
                <w:highlight w:val="none"/>
                <w:lang w:val="en-US" w:eastAsia="zh-CN"/>
              </w:rPr>
              <w:t>19</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月1日以来有过</w:t>
            </w:r>
            <w:r>
              <w:rPr>
                <w:rFonts w:hint="eastAsia" w:ascii="仿宋" w:hAnsi="仿宋" w:eastAsia="仿宋" w:cs="仿宋"/>
                <w:bCs/>
                <w:color w:val="auto"/>
                <w:sz w:val="24"/>
                <w:szCs w:val="24"/>
                <w:highlight w:val="none"/>
                <w:lang w:val="en-US" w:eastAsia="zh-CN"/>
              </w:rPr>
              <w:t>类似养老服务项目业绩的</w:t>
            </w:r>
            <w:r>
              <w:rPr>
                <w:rFonts w:hint="eastAsia" w:ascii="仿宋" w:hAnsi="仿宋" w:eastAsia="仿宋" w:cs="仿宋"/>
                <w:bCs/>
                <w:color w:val="auto"/>
                <w:sz w:val="24"/>
                <w:szCs w:val="24"/>
                <w:highlight w:val="none"/>
              </w:rPr>
              <w:t>（以合同签订时间为准，提供合同</w:t>
            </w:r>
            <w:r>
              <w:rPr>
                <w:rFonts w:hint="eastAsia" w:ascii="仿宋" w:hAnsi="仿宋" w:eastAsia="仿宋" w:cs="仿宋"/>
                <w:bCs/>
                <w:color w:val="auto"/>
                <w:sz w:val="24"/>
                <w:szCs w:val="24"/>
                <w:highlight w:val="none"/>
                <w:lang w:val="en-US" w:eastAsia="zh-CN"/>
              </w:rPr>
              <w:t>原件复印件并加盖公章</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满足10个业绩的</w:t>
            </w:r>
            <w:r>
              <w:rPr>
                <w:rFonts w:hint="eastAsia" w:ascii="仿宋" w:hAnsi="仿宋" w:eastAsia="仿宋" w:cs="仿宋"/>
                <w:bCs/>
                <w:color w:val="auto"/>
                <w:sz w:val="24"/>
                <w:szCs w:val="24"/>
                <w:highlight w:val="none"/>
              </w:rPr>
              <w:t>得</w:t>
            </w:r>
            <w:r>
              <w:rPr>
                <w:rFonts w:hint="eastAsia" w:ascii="仿宋" w:hAnsi="仿宋" w:eastAsia="仿宋" w:cs="仿宋"/>
                <w:bCs/>
                <w:color w:val="auto"/>
                <w:sz w:val="24"/>
                <w:szCs w:val="24"/>
                <w:highlight w:val="none"/>
                <w:lang w:val="en-US" w:eastAsia="zh-CN"/>
              </w:rPr>
              <w:t>5分，少于10个得0分，超过10个，每增加1个业绩加2分，最多加5分。本项最高得10分。</w:t>
            </w:r>
          </w:p>
        </w:tc>
      </w:tr>
      <w:tr w14:paraId="5726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010" w:type="dxa"/>
            <w:noWrap w:val="0"/>
            <w:vAlign w:val="center"/>
          </w:tcPr>
          <w:p w14:paraId="2C9DE3A5">
            <w:pPr>
              <w:keepNext w:val="0"/>
              <w:keepLines w:val="0"/>
              <w:pageBreakBefore w:val="0"/>
              <w:widowControl/>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22" w:type="dxa"/>
            <w:tcBorders>
              <w:left w:val="nil"/>
            </w:tcBorders>
            <w:noWrap w:val="0"/>
            <w:vAlign w:val="center"/>
          </w:tcPr>
          <w:p w14:paraId="1B7991F9">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企业荣誉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15分</w:t>
            </w:r>
            <w:r>
              <w:rPr>
                <w:rFonts w:hint="eastAsia" w:ascii="仿宋" w:hAnsi="仿宋" w:eastAsia="仿宋" w:cs="仿宋"/>
                <w:color w:val="auto"/>
                <w:sz w:val="24"/>
                <w:szCs w:val="24"/>
                <w:highlight w:val="none"/>
                <w:lang w:eastAsia="zh-CN"/>
              </w:rPr>
              <w:t>）</w:t>
            </w:r>
          </w:p>
        </w:tc>
        <w:tc>
          <w:tcPr>
            <w:tcW w:w="6927" w:type="dxa"/>
            <w:gridSpan w:val="2"/>
            <w:tcBorders>
              <w:left w:val="nil"/>
            </w:tcBorders>
            <w:noWrap w:val="0"/>
            <w:vAlign w:val="center"/>
          </w:tcPr>
          <w:p w14:paraId="5B2B4579">
            <w:pPr>
              <w:widowControl/>
              <w:spacing w:line="32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供应商具有丰富的医养结合运营经验和特色专科建设成果，获得过各类荣誉奖项的：</w:t>
            </w:r>
          </w:p>
          <w:p w14:paraId="1586289A">
            <w:pPr>
              <w:widowControl/>
              <w:spacing w:line="32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（1）获得过市级荣誉或奖项的有一个得0.5分，最多加1.5分；</w:t>
            </w:r>
          </w:p>
          <w:p w14:paraId="0ACC55F0">
            <w:pPr>
              <w:widowControl/>
              <w:spacing w:line="32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（2）获得过省级荣誉或奖项的有一个得1.5分，最多加4.5分；</w:t>
            </w:r>
          </w:p>
          <w:p w14:paraId="221C6787">
            <w:pPr>
              <w:widowControl/>
              <w:spacing w:line="32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（3）获得过国家级荣誉或奖项的有一个得3分，最多加9分；</w:t>
            </w:r>
          </w:p>
          <w:p w14:paraId="707E29EC">
            <w:pPr>
              <w:widowControl/>
              <w:spacing w:line="32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以上三点本项最高得15分。提供荣誉或奖项证书原件复印件并加盖公章。</w:t>
            </w:r>
          </w:p>
        </w:tc>
      </w:tr>
      <w:tr w14:paraId="2BDA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1010" w:type="dxa"/>
            <w:noWrap w:val="0"/>
            <w:vAlign w:val="center"/>
          </w:tcPr>
          <w:p w14:paraId="317AFB9D">
            <w:pPr>
              <w:keepNext w:val="0"/>
              <w:keepLines w:val="0"/>
              <w:pageBreakBefore w:val="0"/>
              <w:widowControl/>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22" w:type="dxa"/>
            <w:tcBorders>
              <w:left w:val="nil"/>
            </w:tcBorders>
            <w:noWrap w:val="0"/>
            <w:vAlign w:val="center"/>
          </w:tcPr>
          <w:p w14:paraId="74CC24FB">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企业实力（13分）</w:t>
            </w:r>
          </w:p>
        </w:tc>
        <w:tc>
          <w:tcPr>
            <w:tcW w:w="6927" w:type="dxa"/>
            <w:gridSpan w:val="2"/>
            <w:tcBorders>
              <w:left w:val="nil"/>
            </w:tcBorders>
            <w:noWrap w:val="0"/>
            <w:vAlign w:val="center"/>
          </w:tcPr>
          <w:p w14:paraId="7B00B27A">
            <w:pPr>
              <w:widowControl/>
              <w:numPr>
                <w:ilvl w:val="0"/>
                <w:numId w:val="4"/>
              </w:numPr>
              <w:spacing w:line="32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供应商具有连锁运营模式，每具有1家连锁企业得2分，本项最多得10分。提供营业执照及连锁证明材料原件复印件并加盖公章；</w:t>
            </w:r>
          </w:p>
          <w:p w14:paraId="1C702BD1">
            <w:pPr>
              <w:widowControl/>
              <w:numPr>
                <w:ilvl w:val="0"/>
                <w:numId w:val="4"/>
              </w:numPr>
              <w:spacing w:line="32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供应商具有医疗执业许可证的得2分，提供证书原件复印件并加盖公章；</w:t>
            </w:r>
          </w:p>
          <w:p w14:paraId="2072C6C9">
            <w:pPr>
              <w:widowControl/>
              <w:numPr>
                <w:ilvl w:val="0"/>
                <w:numId w:val="4"/>
              </w:numPr>
              <w:spacing w:line="32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供应商产教研融合能力，具有养老服务护理人员教育培训基地的得1分，提供证明材料复印件并加盖公章；</w:t>
            </w:r>
          </w:p>
          <w:p w14:paraId="6174C637">
            <w:pPr>
              <w:widowControl/>
              <w:numPr>
                <w:ilvl w:val="0"/>
                <w:numId w:val="0"/>
              </w:numPr>
              <w:spacing w:line="32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注：以上三项最高得13分。</w:t>
            </w:r>
          </w:p>
        </w:tc>
      </w:tr>
      <w:tr w14:paraId="708B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10" w:type="dxa"/>
            <w:noWrap w:val="0"/>
            <w:vAlign w:val="center"/>
          </w:tcPr>
          <w:p w14:paraId="4EBCA68C">
            <w:pPr>
              <w:keepNext w:val="0"/>
              <w:keepLines w:val="0"/>
              <w:pageBreakBefore w:val="0"/>
              <w:widowControl/>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522" w:type="dxa"/>
            <w:tcBorders>
              <w:left w:val="nil"/>
            </w:tcBorders>
            <w:noWrap w:val="0"/>
            <w:vAlign w:val="center"/>
          </w:tcPr>
          <w:p w14:paraId="5DA2AE45">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服务人员（6分）</w:t>
            </w:r>
          </w:p>
        </w:tc>
        <w:tc>
          <w:tcPr>
            <w:tcW w:w="6927" w:type="dxa"/>
            <w:gridSpan w:val="2"/>
            <w:tcBorders>
              <w:left w:val="nil"/>
            </w:tcBorders>
            <w:noWrap w:val="0"/>
            <w:vAlign w:val="center"/>
          </w:tcPr>
          <w:p w14:paraId="6661791B">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供应商拟投入的服务人员应配备相关专业人员，且具有以下证书：养老护理员证、康复医学治疗技术资格证书、心理咨询证书、营养师证书、社工咨询证书、医疗证书。每具有一类证书得1分，最多得6分。</w:t>
            </w:r>
          </w:p>
          <w:p w14:paraId="042C39F3">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提供人员一览表及相关证书原件</w:t>
            </w:r>
            <w:r>
              <w:rPr>
                <w:rFonts w:hint="eastAsia" w:ascii="仿宋" w:hAnsi="仿宋" w:eastAsia="仿宋" w:cs="仿宋"/>
                <w:bCs/>
                <w:color w:val="auto"/>
                <w:sz w:val="24"/>
                <w:szCs w:val="24"/>
                <w:highlight w:val="none"/>
                <w:lang w:val="en-US" w:eastAsia="zh-CN"/>
              </w:rPr>
              <w:t>复印件并加盖公章</w:t>
            </w:r>
            <w:r>
              <w:rPr>
                <w:rFonts w:hint="eastAsia" w:ascii="仿宋" w:hAnsi="仿宋" w:eastAsia="仿宋" w:cs="仿宋"/>
                <w:color w:val="auto"/>
                <w:sz w:val="24"/>
                <w:szCs w:val="24"/>
                <w:highlight w:val="none"/>
                <w:lang w:val="en-US" w:eastAsia="zh-CN"/>
              </w:rPr>
              <w:t>、供应商近1个月为其缴纳的社会保险证明材料。未提供或未按要求提供不得分。</w:t>
            </w:r>
          </w:p>
          <w:p w14:paraId="29DF33FB">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注：提供的同一人员若同时持有以上不同证书的只按一项证书加分。</w:t>
            </w:r>
          </w:p>
        </w:tc>
      </w:tr>
      <w:tr w14:paraId="52AE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10" w:type="dxa"/>
            <w:noWrap w:val="0"/>
            <w:vAlign w:val="center"/>
          </w:tcPr>
          <w:p w14:paraId="3E70724C">
            <w:pPr>
              <w:keepNext w:val="0"/>
              <w:keepLines w:val="0"/>
              <w:pageBreakBefore w:val="0"/>
              <w:widowControl/>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522" w:type="dxa"/>
            <w:tcBorders>
              <w:left w:val="nil"/>
            </w:tcBorders>
            <w:noWrap w:val="0"/>
            <w:vAlign w:val="center"/>
          </w:tcPr>
          <w:p w14:paraId="2E770268">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星级评定（6分）</w:t>
            </w:r>
          </w:p>
        </w:tc>
        <w:tc>
          <w:tcPr>
            <w:tcW w:w="6927" w:type="dxa"/>
            <w:gridSpan w:val="2"/>
            <w:tcBorders>
              <w:left w:val="nil"/>
            </w:tcBorders>
            <w:noWrap w:val="0"/>
            <w:vAlign w:val="center"/>
          </w:tcPr>
          <w:p w14:paraId="3E17C824">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供应商养老机构等级评定被评为五星级的得6分；四星级的得4分；三星级的得2分。提供主管部门颁发的证书原件</w:t>
            </w:r>
            <w:r>
              <w:rPr>
                <w:rFonts w:hint="eastAsia" w:ascii="仿宋" w:hAnsi="仿宋" w:eastAsia="仿宋" w:cs="仿宋"/>
                <w:bCs/>
                <w:color w:val="auto"/>
                <w:sz w:val="24"/>
                <w:szCs w:val="24"/>
                <w:highlight w:val="none"/>
                <w:lang w:val="en-US" w:eastAsia="zh-CN"/>
              </w:rPr>
              <w:t>复印件并加盖公章</w:t>
            </w:r>
            <w:r>
              <w:rPr>
                <w:rFonts w:hint="eastAsia" w:ascii="仿宋" w:hAnsi="仿宋" w:eastAsia="仿宋" w:cs="仿宋"/>
                <w:color w:val="auto"/>
                <w:sz w:val="24"/>
                <w:szCs w:val="24"/>
                <w:highlight w:val="none"/>
                <w:lang w:val="en-US" w:eastAsia="zh-CN"/>
              </w:rPr>
              <w:t>。</w:t>
            </w:r>
          </w:p>
        </w:tc>
      </w:tr>
      <w:tr w14:paraId="7D00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10" w:type="dxa"/>
            <w:noWrap w:val="0"/>
            <w:vAlign w:val="center"/>
          </w:tcPr>
          <w:p w14:paraId="690FA769">
            <w:pPr>
              <w:keepNext w:val="0"/>
              <w:keepLines w:val="0"/>
              <w:pageBreakBefore w:val="0"/>
              <w:widowControl/>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22" w:type="dxa"/>
            <w:tcBorders>
              <w:left w:val="nil"/>
            </w:tcBorders>
            <w:noWrap w:val="0"/>
            <w:vAlign w:val="center"/>
          </w:tcPr>
          <w:p w14:paraId="61B5819F">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标准化试点项目（10分）</w:t>
            </w:r>
          </w:p>
        </w:tc>
        <w:tc>
          <w:tcPr>
            <w:tcW w:w="6927" w:type="dxa"/>
            <w:gridSpan w:val="2"/>
            <w:tcBorders>
              <w:left w:val="nil"/>
            </w:tcBorders>
            <w:noWrap w:val="0"/>
            <w:vAlign w:val="center"/>
          </w:tcPr>
          <w:p w14:paraId="0391C3EC">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承担过的类似养老服务项目被评定为区级标准化试点项目的得1分、市级标准化试点项目的得3分、省级标准化试点项目的得6分。同一项目按高项评定得分，本项最高得10分。提供项目合同及标准化试点项目评定证书原件</w:t>
            </w:r>
            <w:r>
              <w:rPr>
                <w:rFonts w:hint="eastAsia" w:ascii="仿宋" w:hAnsi="仿宋" w:eastAsia="仿宋" w:cs="仿宋"/>
                <w:bCs/>
                <w:color w:val="auto"/>
                <w:sz w:val="24"/>
                <w:szCs w:val="24"/>
                <w:highlight w:val="none"/>
                <w:lang w:val="en-US" w:eastAsia="zh-CN"/>
              </w:rPr>
              <w:t>复印件并加盖公章</w:t>
            </w:r>
            <w:r>
              <w:rPr>
                <w:rFonts w:hint="eastAsia" w:ascii="仿宋" w:hAnsi="仿宋" w:eastAsia="仿宋" w:cs="仿宋"/>
                <w:color w:val="auto"/>
                <w:sz w:val="24"/>
                <w:szCs w:val="24"/>
                <w:highlight w:val="none"/>
                <w:lang w:val="en-US" w:eastAsia="zh-CN"/>
              </w:rPr>
              <w:t>。</w:t>
            </w:r>
          </w:p>
        </w:tc>
      </w:tr>
    </w:tbl>
    <w:p w14:paraId="113D258F">
      <w:pPr>
        <w:keepNext w:val="0"/>
        <w:keepLines w:val="0"/>
        <w:pageBreakBefore w:val="0"/>
        <w:spacing w:line="460" w:lineRule="exact"/>
        <w:ind w:firstLine="42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w:t>
      </w:r>
      <w:r>
        <w:rPr>
          <w:rFonts w:hint="eastAsia" w:ascii="仿宋_GB2312" w:hAnsi="仿宋_GB2312" w:eastAsia="仿宋_GB2312" w:cs="仿宋_GB2312"/>
          <w:color w:val="auto"/>
          <w:sz w:val="24"/>
          <w:szCs w:val="24"/>
          <w:highlight w:val="none"/>
          <w:lang w:eastAsia="zh-CN"/>
        </w:rPr>
        <w:t>报价分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分）</w:t>
      </w:r>
    </w:p>
    <w:p w14:paraId="72FC658A">
      <w:pPr>
        <w:pStyle w:val="3"/>
        <w:pageBreakBefore w:val="0"/>
        <w:widowControl/>
        <w:numPr>
          <w:ilvl w:val="0"/>
          <w:numId w:val="0"/>
        </w:numPr>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highlight w:val="none"/>
        </w:rPr>
        <w:t>1.最高限价：</w:t>
      </w:r>
      <w:r>
        <w:rPr>
          <w:rFonts w:hint="eastAsia" w:ascii="仿宋" w:hAnsi="仿宋" w:eastAsia="仿宋" w:cs="仿宋"/>
          <w:b w:val="0"/>
          <w:bCs w:val="0"/>
          <w:color w:val="auto"/>
          <w:sz w:val="24"/>
          <w:szCs w:val="24"/>
          <w:highlight w:val="none"/>
          <w:lang w:val="en-US" w:eastAsia="zh-CN"/>
        </w:rPr>
        <w:t>见下表，单价、合计响应</w:t>
      </w:r>
      <w:r>
        <w:rPr>
          <w:rFonts w:hint="eastAsia" w:ascii="仿宋" w:hAnsi="仿宋" w:eastAsia="仿宋" w:cs="仿宋"/>
          <w:b w:val="0"/>
          <w:bCs w:val="0"/>
          <w:color w:val="auto"/>
          <w:sz w:val="24"/>
          <w:szCs w:val="24"/>
          <w:highlight w:val="none"/>
        </w:rPr>
        <w:t>报价</w:t>
      </w:r>
      <w:r>
        <w:rPr>
          <w:rFonts w:hint="eastAsia" w:ascii="仿宋" w:hAnsi="仿宋" w:eastAsia="仿宋" w:cs="仿宋"/>
          <w:b w:val="0"/>
          <w:bCs w:val="0"/>
          <w:color w:val="auto"/>
          <w:sz w:val="24"/>
          <w:szCs w:val="24"/>
          <w:highlight w:val="none"/>
          <w:lang w:val="en-US" w:eastAsia="zh-CN"/>
        </w:rPr>
        <w:t>不得</w:t>
      </w:r>
      <w:r>
        <w:rPr>
          <w:rFonts w:hint="eastAsia" w:ascii="仿宋" w:hAnsi="仿宋" w:eastAsia="仿宋" w:cs="仿宋"/>
          <w:b w:val="0"/>
          <w:bCs w:val="0"/>
          <w:color w:val="auto"/>
          <w:sz w:val="24"/>
          <w:szCs w:val="24"/>
          <w:highlight w:val="none"/>
        </w:rPr>
        <w:t>超过最高限价</w:t>
      </w:r>
      <w:r>
        <w:rPr>
          <w:rFonts w:hint="eastAsia" w:ascii="仿宋" w:hAnsi="仿宋" w:eastAsia="仿宋" w:cs="仿宋"/>
          <w:b w:val="0"/>
          <w:bCs w:val="0"/>
          <w:color w:val="auto"/>
          <w:sz w:val="24"/>
          <w:szCs w:val="24"/>
          <w:highlight w:val="none"/>
          <w:lang w:val="en-US" w:eastAsia="zh-CN"/>
        </w:rPr>
        <w:t>各单价、合计价，超过的</w:t>
      </w:r>
      <w:r>
        <w:rPr>
          <w:rFonts w:hint="eastAsia" w:ascii="仿宋" w:hAnsi="仿宋" w:eastAsia="仿宋" w:cs="仿宋"/>
          <w:b w:val="0"/>
          <w:bCs w:val="0"/>
          <w:color w:val="auto"/>
          <w:sz w:val="24"/>
          <w:szCs w:val="24"/>
          <w:highlight w:val="none"/>
        </w:rPr>
        <w:t>为无效报价，按照无效响应处理；</w:t>
      </w:r>
    </w:p>
    <w:tbl>
      <w:tblPr>
        <w:tblStyle w:val="36"/>
        <w:tblW w:w="905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6"/>
        <w:gridCol w:w="1827"/>
        <w:gridCol w:w="1046"/>
        <w:gridCol w:w="5529"/>
      </w:tblGrid>
      <w:tr w14:paraId="72EC0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1F830D9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序号</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6DE5EAE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服务项目</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67254A6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服务内容</w:t>
            </w:r>
          </w:p>
        </w:tc>
        <w:tc>
          <w:tcPr>
            <w:tcW w:w="5529" w:type="dxa"/>
            <w:tcBorders>
              <w:top w:val="single" w:color="000000" w:sz="4" w:space="0"/>
              <w:left w:val="single" w:color="000000" w:sz="4" w:space="0"/>
              <w:bottom w:val="single" w:color="000000" w:sz="4" w:space="0"/>
              <w:right w:val="single" w:color="000000" w:sz="4" w:space="0"/>
            </w:tcBorders>
            <w:noWrap/>
            <w:vAlign w:val="center"/>
          </w:tcPr>
          <w:p w14:paraId="6CE9AD2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收费标准最高限价</w:t>
            </w:r>
          </w:p>
        </w:tc>
      </w:tr>
      <w:tr w14:paraId="2640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7AE253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00C1EAA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送餐助餐送餐配餐</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40863993">
            <w:pPr>
              <w:jc w:val="center"/>
              <w:rPr>
                <w:rFonts w:hint="eastAsia" w:ascii="仿宋_GB2312" w:hAnsi="仿宋_GB2312" w:eastAsia="仿宋_GB2312" w:cs="仿宋_GB2312"/>
                <w:i w:val="0"/>
                <w:iCs w:val="0"/>
                <w:color w:val="auto"/>
                <w:sz w:val="24"/>
                <w:szCs w:val="24"/>
                <w:highlight w:val="none"/>
                <w:u w:val="none"/>
              </w:rPr>
            </w:pPr>
          </w:p>
        </w:tc>
        <w:tc>
          <w:tcPr>
            <w:tcW w:w="5529" w:type="dxa"/>
            <w:tcBorders>
              <w:top w:val="single" w:color="000000" w:sz="4" w:space="0"/>
              <w:left w:val="single" w:color="000000" w:sz="4" w:space="0"/>
              <w:bottom w:val="single" w:color="000000" w:sz="4" w:space="0"/>
              <w:right w:val="single" w:color="000000" w:sz="4" w:space="0"/>
            </w:tcBorders>
            <w:noWrap/>
            <w:vAlign w:val="center"/>
          </w:tcPr>
          <w:p w14:paraId="7B4A4FF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第一年 10 元/餐/人，正餐配一大荤一小荤一素一汤，主食一份。</w:t>
            </w:r>
          </w:p>
        </w:tc>
      </w:tr>
      <w:tr w14:paraId="0FF9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1F489EA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827" w:type="dxa"/>
            <w:vMerge w:val="restart"/>
            <w:tcBorders>
              <w:top w:val="single" w:color="000000" w:sz="4" w:space="0"/>
              <w:left w:val="single" w:color="000000" w:sz="4" w:space="0"/>
              <w:bottom w:val="single" w:color="000000" w:sz="4" w:space="0"/>
              <w:right w:val="single" w:color="000000" w:sz="4" w:space="0"/>
            </w:tcBorders>
            <w:noWrap/>
            <w:vAlign w:val="center"/>
          </w:tcPr>
          <w:p w14:paraId="2F851D8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生活照料</w:t>
            </w:r>
          </w:p>
        </w:tc>
        <w:tc>
          <w:tcPr>
            <w:tcW w:w="1046" w:type="dxa"/>
            <w:vMerge w:val="restart"/>
            <w:tcBorders>
              <w:top w:val="single" w:color="000000" w:sz="4" w:space="0"/>
              <w:left w:val="single" w:color="000000" w:sz="4" w:space="0"/>
              <w:bottom w:val="single" w:color="000000" w:sz="4" w:space="0"/>
              <w:right w:val="single" w:color="000000" w:sz="4" w:space="0"/>
            </w:tcBorders>
            <w:noWrap/>
            <w:vAlign w:val="center"/>
          </w:tcPr>
          <w:p w14:paraId="23A2A86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助浴</w:t>
            </w:r>
          </w:p>
        </w:tc>
        <w:tc>
          <w:tcPr>
            <w:tcW w:w="5529" w:type="dxa"/>
            <w:tcBorders>
              <w:top w:val="single" w:color="000000" w:sz="4" w:space="0"/>
              <w:left w:val="single" w:color="000000" w:sz="4" w:space="0"/>
              <w:bottom w:val="single" w:color="000000" w:sz="4" w:space="0"/>
              <w:right w:val="single" w:color="000000" w:sz="4" w:space="0"/>
            </w:tcBorders>
            <w:noWrap/>
            <w:vAlign w:val="center"/>
          </w:tcPr>
          <w:p w14:paraId="30AF201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定点助浴 20元/次（使用淋浴设备，配套坐浴椅，全身清洗）</w:t>
            </w:r>
          </w:p>
        </w:tc>
      </w:tr>
      <w:tr w14:paraId="58877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06A1558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03843121">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ign w:val="center"/>
          </w:tcPr>
          <w:p w14:paraId="31945EDB">
            <w:pPr>
              <w:jc w:val="center"/>
              <w:rPr>
                <w:rFonts w:hint="eastAsia" w:ascii="仿宋_GB2312" w:hAnsi="仿宋_GB2312" w:eastAsia="仿宋_GB2312" w:cs="仿宋_GB2312"/>
                <w:i w:val="0"/>
                <w:iCs w:val="0"/>
                <w:color w:val="auto"/>
                <w:sz w:val="24"/>
                <w:szCs w:val="24"/>
                <w:highlight w:val="none"/>
                <w:u w:val="none"/>
              </w:rPr>
            </w:pPr>
          </w:p>
        </w:tc>
        <w:tc>
          <w:tcPr>
            <w:tcW w:w="5529" w:type="dxa"/>
            <w:tcBorders>
              <w:top w:val="single" w:color="000000" w:sz="4" w:space="0"/>
              <w:left w:val="single" w:color="000000" w:sz="4" w:space="0"/>
              <w:bottom w:val="single" w:color="000000" w:sz="4" w:space="0"/>
              <w:right w:val="single" w:color="000000" w:sz="4" w:space="0"/>
            </w:tcBorders>
            <w:noWrap/>
            <w:vAlign w:val="center"/>
          </w:tcPr>
          <w:p w14:paraId="63A8AA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上门助浴 40元/次（使用淋浴设备，配套坐浴椅，全身清洗）</w:t>
            </w:r>
          </w:p>
        </w:tc>
      </w:tr>
      <w:tr w14:paraId="1907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7112EAE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7E46B320">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restart"/>
            <w:tcBorders>
              <w:top w:val="single" w:color="000000" w:sz="4" w:space="0"/>
              <w:left w:val="single" w:color="000000" w:sz="4" w:space="0"/>
              <w:bottom w:val="single" w:color="000000" w:sz="4" w:space="0"/>
              <w:right w:val="single" w:color="000000" w:sz="4" w:space="0"/>
            </w:tcBorders>
            <w:noWrap/>
            <w:vAlign w:val="center"/>
          </w:tcPr>
          <w:p w14:paraId="3579A9C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理发</w:t>
            </w:r>
          </w:p>
        </w:tc>
        <w:tc>
          <w:tcPr>
            <w:tcW w:w="5529" w:type="dxa"/>
            <w:tcBorders>
              <w:top w:val="single" w:color="000000" w:sz="4" w:space="0"/>
              <w:left w:val="single" w:color="000000" w:sz="4" w:space="0"/>
              <w:bottom w:val="single" w:color="000000" w:sz="4" w:space="0"/>
              <w:right w:val="single" w:color="000000" w:sz="4" w:space="0"/>
            </w:tcBorders>
            <w:noWrap/>
            <w:vAlign w:val="center"/>
          </w:tcPr>
          <w:p w14:paraId="38D310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定点服务 10元/次</w:t>
            </w:r>
          </w:p>
        </w:tc>
      </w:tr>
      <w:tr w14:paraId="01B0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nil"/>
              <w:right w:val="single" w:color="000000" w:sz="4" w:space="0"/>
            </w:tcBorders>
            <w:noWrap/>
            <w:vAlign w:val="center"/>
          </w:tcPr>
          <w:p w14:paraId="1FFDC62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4ED6F7E5">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ign w:val="center"/>
          </w:tcPr>
          <w:p w14:paraId="261731EF">
            <w:pPr>
              <w:jc w:val="center"/>
              <w:rPr>
                <w:rFonts w:hint="eastAsia" w:ascii="仿宋_GB2312" w:hAnsi="仿宋_GB2312" w:eastAsia="仿宋_GB2312" w:cs="仿宋_GB2312"/>
                <w:i w:val="0"/>
                <w:iCs w:val="0"/>
                <w:color w:val="auto"/>
                <w:sz w:val="24"/>
                <w:szCs w:val="24"/>
                <w:highlight w:val="none"/>
                <w:u w:val="none"/>
              </w:rPr>
            </w:pPr>
          </w:p>
        </w:tc>
        <w:tc>
          <w:tcPr>
            <w:tcW w:w="5529" w:type="dxa"/>
            <w:tcBorders>
              <w:top w:val="single" w:color="000000" w:sz="4" w:space="0"/>
              <w:left w:val="single" w:color="000000" w:sz="4" w:space="0"/>
              <w:bottom w:val="single" w:color="000000" w:sz="4" w:space="0"/>
              <w:right w:val="single" w:color="000000" w:sz="4" w:space="0"/>
            </w:tcBorders>
            <w:noWrap/>
            <w:vAlign w:val="center"/>
          </w:tcPr>
          <w:p w14:paraId="21425E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上门理发 30元/次</w:t>
            </w:r>
          </w:p>
        </w:tc>
      </w:tr>
      <w:tr w14:paraId="6D53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319F409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827" w:type="dxa"/>
            <w:vMerge w:val="restart"/>
            <w:tcBorders>
              <w:top w:val="single" w:color="000000" w:sz="4" w:space="0"/>
              <w:left w:val="single" w:color="000000" w:sz="4" w:space="0"/>
              <w:bottom w:val="single" w:color="000000" w:sz="4" w:space="0"/>
              <w:right w:val="single" w:color="000000" w:sz="4" w:space="0"/>
            </w:tcBorders>
            <w:noWrap/>
            <w:vAlign w:val="center"/>
          </w:tcPr>
          <w:p w14:paraId="68A532E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生活照料</w:t>
            </w:r>
          </w:p>
        </w:tc>
        <w:tc>
          <w:tcPr>
            <w:tcW w:w="1046" w:type="dxa"/>
            <w:vMerge w:val="restart"/>
            <w:tcBorders>
              <w:top w:val="single" w:color="000000" w:sz="4" w:space="0"/>
              <w:left w:val="single" w:color="000000" w:sz="4" w:space="0"/>
              <w:bottom w:val="single" w:color="000000" w:sz="4" w:space="0"/>
              <w:right w:val="single" w:color="000000" w:sz="4" w:space="0"/>
            </w:tcBorders>
            <w:noWrap/>
            <w:vAlign w:val="center"/>
          </w:tcPr>
          <w:p w14:paraId="420387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修脚</w:t>
            </w:r>
          </w:p>
        </w:tc>
        <w:tc>
          <w:tcPr>
            <w:tcW w:w="5529" w:type="dxa"/>
            <w:tcBorders>
              <w:top w:val="single" w:color="000000" w:sz="4" w:space="0"/>
              <w:left w:val="single" w:color="000000" w:sz="4" w:space="0"/>
              <w:bottom w:val="single" w:color="000000" w:sz="4" w:space="0"/>
              <w:right w:val="single" w:color="000000" w:sz="4" w:space="0"/>
            </w:tcBorders>
            <w:noWrap/>
            <w:vAlign w:val="center"/>
          </w:tcPr>
          <w:p w14:paraId="7C22E3B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定点服务 30元/次（普通修脚，刮死皮、剪指甲等）</w:t>
            </w:r>
          </w:p>
        </w:tc>
      </w:tr>
      <w:tr w14:paraId="5011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71BAC2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17D0E3C9">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ign w:val="center"/>
          </w:tcPr>
          <w:p w14:paraId="25ED4D88">
            <w:pPr>
              <w:jc w:val="center"/>
              <w:rPr>
                <w:rFonts w:hint="eastAsia" w:ascii="仿宋_GB2312" w:hAnsi="仿宋_GB2312" w:eastAsia="仿宋_GB2312" w:cs="仿宋_GB2312"/>
                <w:i w:val="0"/>
                <w:iCs w:val="0"/>
                <w:color w:val="auto"/>
                <w:sz w:val="24"/>
                <w:szCs w:val="24"/>
                <w:highlight w:val="none"/>
                <w:u w:val="none"/>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14:paraId="515DE63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上门修脚 50元/次（普通修脚，刮死皮、剪指甲等）</w:t>
            </w:r>
          </w:p>
        </w:tc>
      </w:tr>
      <w:tr w14:paraId="2965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0944BC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35500003">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ign w:val="center"/>
          </w:tcPr>
          <w:p w14:paraId="7B05EA84">
            <w:pPr>
              <w:jc w:val="center"/>
              <w:rPr>
                <w:rFonts w:hint="eastAsia" w:ascii="仿宋_GB2312" w:hAnsi="仿宋_GB2312" w:eastAsia="仿宋_GB2312" w:cs="仿宋_GB2312"/>
                <w:i w:val="0"/>
                <w:iCs w:val="0"/>
                <w:color w:val="auto"/>
                <w:sz w:val="24"/>
                <w:szCs w:val="24"/>
                <w:highlight w:val="none"/>
                <w:u w:val="none"/>
              </w:rPr>
            </w:pPr>
          </w:p>
        </w:tc>
        <w:tc>
          <w:tcPr>
            <w:tcW w:w="5529" w:type="dxa"/>
            <w:tcBorders>
              <w:top w:val="single" w:color="000000" w:sz="4" w:space="0"/>
              <w:left w:val="single" w:color="000000" w:sz="4" w:space="0"/>
              <w:bottom w:val="single" w:color="000000" w:sz="4" w:space="0"/>
              <w:right w:val="single" w:color="000000" w:sz="4" w:space="0"/>
            </w:tcBorders>
            <w:noWrap/>
            <w:vAlign w:val="center"/>
          </w:tcPr>
          <w:p w14:paraId="256F94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鸡眼 10元/次（不含用药</w:t>
            </w:r>
          </w:p>
        </w:tc>
      </w:tr>
      <w:tr w14:paraId="75F5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594CC74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22208FCB">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ign w:val="center"/>
          </w:tcPr>
          <w:p w14:paraId="4E5A2F23">
            <w:pPr>
              <w:jc w:val="center"/>
              <w:rPr>
                <w:rFonts w:hint="eastAsia" w:ascii="仿宋_GB2312" w:hAnsi="仿宋_GB2312" w:eastAsia="仿宋_GB2312" w:cs="仿宋_GB2312"/>
                <w:i w:val="0"/>
                <w:iCs w:val="0"/>
                <w:color w:val="auto"/>
                <w:sz w:val="24"/>
                <w:szCs w:val="24"/>
                <w:highlight w:val="none"/>
                <w:u w:val="none"/>
              </w:rPr>
            </w:pPr>
          </w:p>
        </w:tc>
        <w:tc>
          <w:tcPr>
            <w:tcW w:w="5529" w:type="dxa"/>
            <w:tcBorders>
              <w:top w:val="single" w:color="000000" w:sz="4" w:space="0"/>
              <w:left w:val="single" w:color="000000" w:sz="4" w:space="0"/>
              <w:bottom w:val="single" w:color="000000" w:sz="4" w:space="0"/>
              <w:right w:val="single" w:color="000000" w:sz="4" w:space="0"/>
            </w:tcBorders>
            <w:noWrap/>
            <w:vAlign w:val="center"/>
          </w:tcPr>
          <w:p w14:paraId="52429DF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治甲沟炎 10元/次（不含用药）</w:t>
            </w:r>
          </w:p>
        </w:tc>
      </w:tr>
      <w:tr w14:paraId="44D6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24F4B24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59507D3B">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ign w:val="center"/>
          </w:tcPr>
          <w:p w14:paraId="3B810EEF">
            <w:pPr>
              <w:jc w:val="center"/>
              <w:rPr>
                <w:rFonts w:hint="eastAsia" w:ascii="仿宋_GB2312" w:hAnsi="仿宋_GB2312" w:eastAsia="仿宋_GB2312" w:cs="仿宋_GB2312"/>
                <w:i w:val="0"/>
                <w:iCs w:val="0"/>
                <w:color w:val="auto"/>
                <w:sz w:val="24"/>
                <w:szCs w:val="24"/>
                <w:highlight w:val="none"/>
                <w:u w:val="none"/>
              </w:rPr>
            </w:pPr>
          </w:p>
        </w:tc>
        <w:tc>
          <w:tcPr>
            <w:tcW w:w="5529" w:type="dxa"/>
            <w:tcBorders>
              <w:top w:val="single" w:color="000000" w:sz="4" w:space="0"/>
              <w:left w:val="single" w:color="000000" w:sz="4" w:space="0"/>
              <w:bottom w:val="single" w:color="000000" w:sz="4" w:space="0"/>
              <w:right w:val="single" w:color="000000" w:sz="4" w:space="0"/>
            </w:tcBorders>
            <w:noWrap/>
            <w:vAlign w:val="center"/>
          </w:tcPr>
          <w:p w14:paraId="0CCA07C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修垫核 10元/次（不含用药）</w:t>
            </w:r>
          </w:p>
        </w:tc>
      </w:tr>
      <w:tr w14:paraId="4D62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3B7692B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78E925FE">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ign w:val="center"/>
          </w:tcPr>
          <w:p w14:paraId="207F09A3">
            <w:pPr>
              <w:jc w:val="center"/>
              <w:rPr>
                <w:rFonts w:hint="eastAsia" w:ascii="仿宋_GB2312" w:hAnsi="仿宋_GB2312" w:eastAsia="仿宋_GB2312" w:cs="仿宋_GB2312"/>
                <w:i w:val="0"/>
                <w:iCs w:val="0"/>
                <w:color w:val="auto"/>
                <w:sz w:val="24"/>
                <w:szCs w:val="24"/>
                <w:highlight w:val="none"/>
                <w:u w:val="none"/>
              </w:rPr>
            </w:pPr>
          </w:p>
        </w:tc>
        <w:tc>
          <w:tcPr>
            <w:tcW w:w="5529" w:type="dxa"/>
            <w:tcBorders>
              <w:top w:val="single" w:color="000000" w:sz="4" w:space="0"/>
              <w:left w:val="single" w:color="000000" w:sz="4" w:space="0"/>
              <w:bottom w:val="single" w:color="000000" w:sz="4" w:space="0"/>
              <w:right w:val="single" w:color="000000" w:sz="4" w:space="0"/>
            </w:tcBorders>
            <w:noWrap/>
            <w:vAlign w:val="center"/>
          </w:tcPr>
          <w:p w14:paraId="59B97C7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修灰指甲 10元/次（不含用药）</w:t>
            </w:r>
          </w:p>
        </w:tc>
      </w:tr>
      <w:tr w14:paraId="3397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172929A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37916DDF">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ign w:val="center"/>
          </w:tcPr>
          <w:p w14:paraId="2660CFC9">
            <w:pPr>
              <w:jc w:val="center"/>
              <w:rPr>
                <w:rFonts w:hint="eastAsia" w:ascii="仿宋_GB2312" w:hAnsi="仿宋_GB2312" w:eastAsia="仿宋_GB2312" w:cs="仿宋_GB2312"/>
                <w:i w:val="0"/>
                <w:iCs w:val="0"/>
                <w:color w:val="auto"/>
                <w:sz w:val="24"/>
                <w:szCs w:val="24"/>
                <w:highlight w:val="none"/>
                <w:u w:val="none"/>
              </w:rPr>
            </w:pPr>
          </w:p>
        </w:tc>
        <w:tc>
          <w:tcPr>
            <w:tcW w:w="5529" w:type="dxa"/>
            <w:tcBorders>
              <w:top w:val="single" w:color="000000" w:sz="4" w:space="0"/>
              <w:left w:val="single" w:color="000000" w:sz="4" w:space="0"/>
              <w:bottom w:val="single" w:color="000000" w:sz="4" w:space="0"/>
              <w:right w:val="single" w:color="000000" w:sz="4" w:space="0"/>
            </w:tcBorders>
            <w:noWrap/>
            <w:vAlign w:val="center"/>
          </w:tcPr>
          <w:p w14:paraId="057B56C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修脚垫 10元/次（不含用药）</w:t>
            </w:r>
          </w:p>
        </w:tc>
      </w:tr>
      <w:tr w14:paraId="0E04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529" w:type="dxa"/>
            <w:gridSpan w:val="3"/>
            <w:tcBorders>
              <w:top w:val="single" w:color="000000" w:sz="4" w:space="0"/>
              <w:left w:val="single" w:color="000000" w:sz="4" w:space="0"/>
              <w:bottom w:val="single" w:color="000000" w:sz="4" w:space="0"/>
              <w:right w:val="single" w:color="000000" w:sz="4" w:space="0"/>
            </w:tcBorders>
            <w:noWrap/>
            <w:vAlign w:val="center"/>
          </w:tcPr>
          <w:p w14:paraId="749F178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最高限价合计</w:t>
            </w:r>
          </w:p>
        </w:tc>
        <w:tc>
          <w:tcPr>
            <w:tcW w:w="5529" w:type="dxa"/>
            <w:tcBorders>
              <w:top w:val="single" w:color="000000" w:sz="4" w:space="0"/>
              <w:left w:val="single" w:color="000000" w:sz="4" w:space="0"/>
              <w:bottom w:val="single" w:color="000000" w:sz="4" w:space="0"/>
              <w:right w:val="nil"/>
            </w:tcBorders>
            <w:noWrap/>
            <w:vAlign w:val="center"/>
          </w:tcPr>
          <w:p w14:paraId="6C6E2F02">
            <w:pPr>
              <w:jc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240元</w:t>
            </w:r>
          </w:p>
        </w:tc>
      </w:tr>
    </w:tbl>
    <w:p w14:paraId="2BA342E4">
      <w:pPr>
        <w:keepNext w:val="0"/>
        <w:keepLines w:val="0"/>
        <w:pageBreakBefore w:val="0"/>
        <w:spacing w:line="460" w:lineRule="exact"/>
        <w:ind w:firstLine="42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2.满足磋商文件要求且磋商价格最低的有效磋商报价</w:t>
      </w:r>
      <w:r>
        <w:rPr>
          <w:rFonts w:hint="eastAsia" w:ascii="仿宋_GB2312" w:hAnsi="仿宋_GB2312" w:eastAsia="仿宋_GB2312" w:cs="仿宋_GB2312"/>
          <w:color w:val="auto"/>
          <w:sz w:val="24"/>
          <w:szCs w:val="24"/>
          <w:highlight w:val="none"/>
          <w:u w:val="none"/>
          <w:lang w:val="en-US" w:eastAsia="zh-CN"/>
        </w:rPr>
        <w:t>合计价</w:t>
      </w:r>
      <w:r>
        <w:rPr>
          <w:rFonts w:hint="eastAsia" w:ascii="仿宋_GB2312" w:hAnsi="仿宋_GB2312" w:eastAsia="仿宋_GB2312" w:cs="仿宋_GB2312"/>
          <w:color w:val="auto"/>
          <w:sz w:val="24"/>
          <w:szCs w:val="24"/>
          <w:highlight w:val="none"/>
          <w:u w:val="none"/>
        </w:rPr>
        <w:t>为</w:t>
      </w:r>
      <w:r>
        <w:rPr>
          <w:rFonts w:hint="eastAsia" w:ascii="仿宋_GB2312" w:hAnsi="仿宋_GB2312" w:eastAsia="仿宋_GB2312" w:cs="仿宋_GB2312"/>
          <w:color w:val="auto"/>
          <w:sz w:val="24"/>
          <w:szCs w:val="24"/>
          <w:highlight w:val="none"/>
        </w:rPr>
        <w:t>磋商基准价，其价格分为满分</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分。</w:t>
      </w:r>
    </w:p>
    <w:p w14:paraId="4C22C017">
      <w:pPr>
        <w:keepNext w:val="0"/>
        <w:keepLines w:val="0"/>
        <w:pageBreakBefore w:val="0"/>
        <w:widowControl w:val="0"/>
        <w:spacing w:line="360" w:lineRule="auto"/>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其他响应单位的价格分按照下列公式计算：</w:t>
      </w:r>
    </w:p>
    <w:p w14:paraId="041F5003">
      <w:pPr>
        <w:keepNext w:val="0"/>
        <w:keepLines w:val="0"/>
        <w:pageBreakBefore w:val="0"/>
        <w:widowControl w:val="0"/>
        <w:spacing w:line="360" w:lineRule="auto"/>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报价得分=(磋商基准价/磋商报价)×报价权值</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%×100</w:t>
      </w:r>
    </w:p>
    <w:p w14:paraId="25376201">
      <w:pPr>
        <w:ind w:firstLine="482"/>
        <w:rPr>
          <w:rFonts w:hint="eastAsia" w:ascii="仿宋" w:hAnsi="仿宋" w:eastAsia="仿宋" w:cs="仿宋"/>
          <w:color w:val="auto"/>
          <w:sz w:val="24"/>
          <w:szCs w:val="24"/>
          <w:highlight w:val="none"/>
          <w:lang w:eastAsia="zh-CN"/>
        </w:rPr>
      </w:pPr>
      <w:r>
        <w:rPr>
          <w:rFonts w:hint="eastAsia" w:ascii="仿宋_GB2312" w:hAnsi="仿宋_GB2312" w:eastAsia="仿宋_GB2312" w:cs="仿宋_GB2312"/>
          <w:b/>
          <w:bCs/>
          <w:color w:val="auto"/>
          <w:sz w:val="24"/>
          <w:szCs w:val="24"/>
          <w:highlight w:val="none"/>
        </w:rPr>
        <w:t>磋商小组认为供应商的报价明显低于其他通过符合性审查供应商的报价，有可能影响产品质量或者不能诚信履约的，应当要求其在</w:t>
      </w:r>
      <w:r>
        <w:rPr>
          <w:rFonts w:hint="eastAsia" w:ascii="仿宋_GB2312" w:hAnsi="仿宋_GB2312" w:eastAsia="仿宋_GB2312" w:cs="仿宋_GB2312"/>
          <w:b/>
          <w:bCs/>
          <w:color w:val="auto"/>
          <w:sz w:val="24"/>
          <w:szCs w:val="24"/>
          <w:highlight w:val="none"/>
          <w:lang w:val="en-US" w:eastAsia="zh-CN"/>
        </w:rPr>
        <w:t>30分钟</w:t>
      </w:r>
      <w:r>
        <w:rPr>
          <w:rFonts w:hint="eastAsia" w:ascii="仿宋_GB2312" w:hAnsi="仿宋_GB2312" w:eastAsia="仿宋_GB2312" w:cs="仿宋_GB2312"/>
          <w:b/>
          <w:bCs/>
          <w:color w:val="auto"/>
          <w:sz w:val="24"/>
          <w:szCs w:val="24"/>
          <w:highlight w:val="none"/>
        </w:rPr>
        <w:t>内提供书面说明，必要时提交相关证明材料；供应商不能证明其报价合理性的，</w:t>
      </w:r>
      <w:r>
        <w:rPr>
          <w:rFonts w:hint="eastAsia" w:ascii="仿宋_GB2312" w:hAnsi="仿宋_GB2312" w:eastAsia="仿宋_GB2312" w:cs="仿宋_GB2312"/>
          <w:b/>
          <w:bCs/>
          <w:color w:val="auto"/>
          <w:sz w:val="24"/>
          <w:szCs w:val="24"/>
          <w:highlight w:val="none"/>
          <w:lang w:eastAsia="zh-CN"/>
        </w:rPr>
        <w:t>磋商小组</w:t>
      </w:r>
      <w:r>
        <w:rPr>
          <w:rFonts w:hint="eastAsia" w:ascii="仿宋_GB2312" w:hAnsi="仿宋_GB2312" w:eastAsia="仿宋_GB2312" w:cs="仿宋_GB2312"/>
          <w:b/>
          <w:bCs/>
          <w:color w:val="auto"/>
          <w:sz w:val="24"/>
          <w:szCs w:val="24"/>
          <w:highlight w:val="none"/>
        </w:rPr>
        <w:t>应当将其作为</w:t>
      </w:r>
      <w:r>
        <w:rPr>
          <w:rFonts w:hint="eastAsia" w:ascii="仿宋_GB2312" w:hAnsi="仿宋_GB2312" w:eastAsia="仿宋_GB2312" w:cs="仿宋_GB2312"/>
          <w:b/>
          <w:bCs/>
          <w:color w:val="auto"/>
          <w:sz w:val="24"/>
          <w:szCs w:val="24"/>
          <w:highlight w:val="none"/>
          <w:lang w:eastAsia="zh-CN"/>
        </w:rPr>
        <w:t>无效响应</w:t>
      </w:r>
      <w:r>
        <w:rPr>
          <w:rFonts w:hint="eastAsia" w:ascii="仿宋_GB2312" w:hAnsi="仿宋_GB2312" w:eastAsia="仿宋_GB2312" w:cs="仿宋_GB2312"/>
          <w:b/>
          <w:bCs/>
          <w:color w:val="auto"/>
          <w:sz w:val="24"/>
          <w:szCs w:val="24"/>
          <w:highlight w:val="none"/>
        </w:rPr>
        <w:t>处理。</w:t>
      </w:r>
    </w:p>
    <w:p w14:paraId="6AE46130">
      <w:pPr>
        <w:snapToGrid w:val="0"/>
        <w:spacing w:line="460" w:lineRule="exact"/>
        <w:ind w:firstLine="480" w:firstLineChars="200"/>
        <w:rPr>
          <w:color w:val="auto"/>
          <w:sz w:val="24"/>
          <w:szCs w:val="24"/>
          <w:highlight w:val="none"/>
          <w:lang w:eastAsia="zh-CN"/>
        </w:rPr>
      </w:pPr>
      <w:r>
        <w:rPr>
          <w:rFonts w:hint="eastAsia" w:ascii="仿宋" w:hAnsi="仿宋" w:eastAsia="仿宋" w:cs="仿宋"/>
          <w:color w:val="auto"/>
          <w:sz w:val="24"/>
          <w:szCs w:val="24"/>
          <w:highlight w:val="none"/>
          <w:lang w:eastAsia="zh-CN"/>
        </w:rPr>
        <w:t> 五、政府采购政策：</w:t>
      </w:r>
    </w:p>
    <w:p w14:paraId="7558A3AE">
      <w:pPr>
        <w:snapToGrid w:val="0"/>
        <w:spacing w:after="0" w:line="360" w:lineRule="auto"/>
        <w:ind w:firstLine="482" w:firstLineChars="200"/>
        <w:outlineLvl w:val="3"/>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1.针对中小微型企业的采购政策</w:t>
      </w:r>
    </w:p>
    <w:p w14:paraId="55B4C7B3">
      <w:pPr>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bCs/>
          <w:color w:val="auto"/>
          <w:sz w:val="24"/>
          <w:szCs w:val="24"/>
          <w:highlight w:val="none"/>
          <w:lang w:eastAsia="zh-CN"/>
        </w:rPr>
        <w:t>本次采购项目竞争性磋商响应供应商符合：工信部联企业〔2011〕300号《关于印发中小企业划型标准规定的通知》中的中小企业划型标准规定。本项目采购标的对应的企业划分标准所属行业为其他未列明行业。从业人员300人以下的为中小微型企业。其中，从业人员100人及以上的为中型企业；从业人员10人及以上的为小型企业；从业人员10人以下的为微型企业。</w:t>
      </w:r>
    </w:p>
    <w:p w14:paraId="2793B8CF">
      <w:pPr>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（2）根据《政府采购促进中小企业发展管理办法》（财库﹝2020﹞46 号）的第九条第一款规定，非专门面向中小企业采购的本采购项目，对属于</w:t>
      </w:r>
      <w:r>
        <w:rPr>
          <w:rFonts w:hint="eastAsia" w:ascii="仿宋" w:hAnsi="仿宋" w:eastAsia="仿宋" w:cs="仿宋"/>
          <w:bCs/>
          <w:color w:val="auto"/>
          <w:sz w:val="24"/>
          <w:szCs w:val="24"/>
          <w:highlight w:val="none"/>
          <w:u w:val="thick" w:color="FF0000"/>
          <w:lang w:eastAsia="zh-CN"/>
        </w:rPr>
        <w:t>小型、微型企业</w:t>
      </w:r>
      <w:r>
        <w:rPr>
          <w:rFonts w:hint="eastAsia" w:ascii="仿宋" w:hAnsi="仿宋" w:eastAsia="仿宋" w:cs="仿宋"/>
          <w:color w:val="auto"/>
          <w:sz w:val="24"/>
          <w:szCs w:val="24"/>
          <w:highlight w:val="none"/>
          <w:lang w:eastAsia="zh-CN"/>
        </w:rPr>
        <w:t>的竞争性磋商响应供应商给予评审加分，具体方法如下：</w:t>
      </w:r>
    </w:p>
    <w:p w14:paraId="68B0BCB0">
      <w:pPr>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① 对符合要求的</w:t>
      </w:r>
      <w:r>
        <w:rPr>
          <w:rFonts w:hint="eastAsia" w:ascii="仿宋" w:hAnsi="仿宋" w:eastAsia="仿宋" w:cs="仿宋"/>
          <w:bCs/>
          <w:color w:val="auto"/>
          <w:sz w:val="24"/>
          <w:szCs w:val="24"/>
          <w:highlight w:val="none"/>
          <w:u w:val="thick" w:color="FF0000"/>
          <w:lang w:eastAsia="zh-CN"/>
        </w:rPr>
        <w:t>小型、微型企业</w:t>
      </w:r>
      <w:r>
        <w:rPr>
          <w:rFonts w:hint="eastAsia" w:ascii="仿宋" w:hAnsi="仿宋" w:eastAsia="仿宋" w:cs="仿宋"/>
          <w:color w:val="auto"/>
          <w:sz w:val="24"/>
          <w:szCs w:val="24"/>
          <w:highlight w:val="none"/>
          <w:lang w:eastAsia="zh-CN"/>
        </w:rPr>
        <w:t>承接本项目服务，给予报价的10%的价格扣除，用扣除后的价格参与评审。</w:t>
      </w:r>
    </w:p>
    <w:p w14:paraId="06D7F1D6">
      <w:pPr>
        <w:snapToGrid w:val="0"/>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② 参加本次采购活动，符合要求的竞争性磋商响应供应商须严格按《政府采购促进中小企业发展管理办法》（财库﹝2020﹞46 号）的文件要求，出具填报“中小企业声明函”</w:t>
      </w:r>
      <w:r>
        <w:rPr>
          <w:rFonts w:hint="eastAsia" w:ascii="仿宋" w:hAnsi="仿宋" w:eastAsia="仿宋" w:cs="仿宋"/>
          <w:bCs/>
          <w:color w:val="auto"/>
          <w:sz w:val="24"/>
          <w:szCs w:val="24"/>
          <w:highlight w:val="none"/>
          <w:u w:val="thick" w:color="FF0000"/>
          <w:lang w:eastAsia="zh-CN"/>
        </w:rPr>
        <w:t>（格式见第七章。）</w:t>
      </w:r>
      <w:r>
        <w:rPr>
          <w:rFonts w:hint="eastAsia" w:ascii="仿宋" w:hAnsi="仿宋" w:eastAsia="仿宋" w:cs="仿宋"/>
          <w:color w:val="auto"/>
          <w:sz w:val="24"/>
          <w:szCs w:val="24"/>
          <w:highlight w:val="none"/>
          <w:lang w:eastAsia="zh-CN"/>
        </w:rPr>
        <w:t>；</w:t>
      </w:r>
    </w:p>
    <w:p w14:paraId="3090D618">
      <w:pPr>
        <w:snapToGrid w:val="0"/>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bookmarkStart w:id="2" w:name="_Hlk67486961"/>
      <w:r>
        <w:rPr>
          <w:rFonts w:hint="eastAsia" w:ascii="仿宋" w:hAnsi="仿宋" w:eastAsia="仿宋" w:cs="仿宋"/>
          <w:bCs/>
          <w:color w:val="auto"/>
          <w:sz w:val="24"/>
          <w:szCs w:val="24"/>
          <w:highlight w:val="none"/>
          <w:u w:val="thick" w:color="FF0000"/>
          <w:lang w:eastAsia="zh-CN"/>
        </w:rPr>
        <w:t>不符合上述要求的竞争性磋商响应供应商，无须提供“中小企业声明函”</w:t>
      </w:r>
      <w:r>
        <w:rPr>
          <w:rFonts w:hint="eastAsia" w:ascii="仿宋" w:hAnsi="仿宋" w:eastAsia="仿宋" w:cs="仿宋"/>
          <w:color w:val="auto"/>
          <w:sz w:val="24"/>
          <w:szCs w:val="24"/>
          <w:highlight w:val="none"/>
          <w:lang w:eastAsia="zh-CN"/>
        </w:rPr>
        <w:t>。</w:t>
      </w:r>
      <w:bookmarkEnd w:id="2"/>
    </w:p>
    <w:p w14:paraId="170696DE">
      <w:pPr>
        <w:snapToGrid w:val="0"/>
        <w:spacing w:after="0" w:line="360" w:lineRule="auto"/>
        <w:ind w:firstLine="482" w:firstLineChars="200"/>
        <w:outlineLvl w:val="3"/>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2.</w:t>
      </w:r>
      <w:bookmarkStart w:id="3" w:name="_Hlk69436353"/>
      <w:r>
        <w:rPr>
          <w:rFonts w:hint="eastAsia" w:ascii="仿宋" w:hAnsi="仿宋" w:eastAsia="仿宋" w:cs="仿宋"/>
          <w:b/>
          <w:bCs/>
          <w:color w:val="auto"/>
          <w:sz w:val="24"/>
          <w:szCs w:val="24"/>
          <w:highlight w:val="none"/>
          <w:lang w:eastAsia="zh-CN"/>
        </w:rPr>
        <w:t>针对残疾人福利性单位的采购政策</w:t>
      </w:r>
      <w:bookmarkEnd w:id="3"/>
    </w:p>
    <w:p w14:paraId="618FE019">
      <w:pPr>
        <w:snapToGrid w:val="0"/>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（1）享受政府采购支持政策的残疾人福利性单位应当同时满足以下条件：</w:t>
      </w:r>
    </w:p>
    <w:p w14:paraId="53EB46E2">
      <w:pPr>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①安置的残疾人占本单位在职职工人数的比例不低于25%（含25%），并且安置的残疾人人数不少于10人（含10人）；</w:t>
      </w:r>
    </w:p>
    <w:p w14:paraId="023C6FC5">
      <w:pPr>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②依法与安置的每位残疾人签订了一年以上（含一年）的劳动合同或服务协议；</w:t>
      </w:r>
    </w:p>
    <w:p w14:paraId="0503A1DA">
      <w:pPr>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③为安置的每位残疾人按月足额缴纳了基本养老保险、基本医疗保险、失业保险、工伤保险和生育保险等社会保险费；</w:t>
      </w:r>
    </w:p>
    <w:p w14:paraId="497869DA">
      <w:pPr>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④通过银行等金融机构向安置的每位残疾人，按月支付了不低于单位所在区县适用的经省级人民政府批准的月最低工资标准的工资；</w:t>
      </w:r>
    </w:p>
    <w:p w14:paraId="1EDAFA5C">
      <w:pPr>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⑤提供本单位制造的货物、承担的工程或者服务（以下简称产品），或者提供其他残疾人福利性单位制造的货物（不包括使用非残疾人福利性单位注册商标的货物）。</w:t>
      </w:r>
    </w:p>
    <w:p w14:paraId="79BB2603">
      <w:pPr>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532224E">
      <w:pPr>
        <w:snapToGrid w:val="0"/>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（2）根据《关于促进残疾人就业政府采购政策的通知》（财库〔2017〕141号），符合条件的残疾人福利性单位在参加政府采购活动时，应当提供《残疾人福利性单位声明函》</w:t>
      </w:r>
      <w:r>
        <w:rPr>
          <w:rFonts w:hint="eastAsia" w:ascii="仿宋" w:hAnsi="仿宋" w:eastAsia="仿宋" w:cs="仿宋"/>
          <w:b/>
          <w:bCs/>
          <w:color w:val="auto"/>
          <w:sz w:val="24"/>
          <w:szCs w:val="24"/>
          <w:highlight w:val="none"/>
          <w:u w:val="thick" w:color="FF0000"/>
          <w:lang w:eastAsia="zh-CN"/>
        </w:rPr>
        <w:t>（格式见第七章。）</w:t>
      </w:r>
      <w:r>
        <w:rPr>
          <w:rFonts w:hint="eastAsia" w:ascii="仿宋" w:hAnsi="仿宋" w:eastAsia="仿宋" w:cs="仿宋"/>
          <w:color w:val="auto"/>
          <w:sz w:val="24"/>
          <w:szCs w:val="24"/>
          <w:highlight w:val="none"/>
          <w:lang w:eastAsia="zh-CN"/>
        </w:rPr>
        <w:t>，并对声明的真实性负责。</w:t>
      </w:r>
    </w:p>
    <w:p w14:paraId="467A8930">
      <w:pPr>
        <w:snapToGrid w:val="0"/>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（3）残疾人福利性单位视同小型、微型企业，享受政府采购促进中小企业发展的政府采购政策。符合要求的供应商</w:t>
      </w:r>
      <w:bookmarkStart w:id="4" w:name="_Hlk69252353"/>
      <w:r>
        <w:rPr>
          <w:rFonts w:hint="eastAsia" w:ascii="仿宋" w:hAnsi="仿宋" w:eastAsia="仿宋" w:cs="仿宋"/>
          <w:color w:val="auto"/>
          <w:sz w:val="24"/>
          <w:szCs w:val="24"/>
          <w:highlight w:val="none"/>
          <w:lang w:eastAsia="zh-CN"/>
        </w:rPr>
        <w:t>报价将给予10%的价格扣除，用扣除后的价格参与竞争性磋商响应报价</w:t>
      </w:r>
      <w:bookmarkEnd w:id="4"/>
      <w:r>
        <w:rPr>
          <w:rFonts w:hint="eastAsia" w:ascii="仿宋" w:hAnsi="仿宋" w:eastAsia="仿宋" w:cs="仿宋"/>
          <w:color w:val="auto"/>
          <w:sz w:val="24"/>
          <w:szCs w:val="24"/>
          <w:highlight w:val="none"/>
          <w:lang w:eastAsia="zh-CN"/>
        </w:rPr>
        <w:t>的评审，如果成交，则以其原竞争性磋商响应报价作为成交价。</w:t>
      </w:r>
    </w:p>
    <w:p w14:paraId="209110E6">
      <w:pPr>
        <w:snapToGrid w:val="0"/>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（4）残疾人福利性单位属于小型、微型企业的，不重复享受政策。</w:t>
      </w:r>
    </w:p>
    <w:p w14:paraId="22A3E9FA">
      <w:pPr>
        <w:snapToGrid w:val="0"/>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w:t>
      </w:r>
      <w:r>
        <w:rPr>
          <w:rFonts w:hint="eastAsia" w:ascii="仿宋" w:hAnsi="仿宋" w:eastAsia="仿宋" w:cs="仿宋"/>
          <w:b/>
          <w:bCs/>
          <w:color w:val="auto"/>
          <w:sz w:val="24"/>
          <w:szCs w:val="24"/>
          <w:highlight w:val="none"/>
          <w:u w:val="thick" w:color="FF0000"/>
          <w:lang w:eastAsia="zh-CN"/>
        </w:rPr>
        <w:t>不符合上述要求的竞争性磋商响应供应商，无须提供“残疾人福利性单位声明函”</w:t>
      </w:r>
      <w:r>
        <w:rPr>
          <w:rFonts w:hint="eastAsia" w:ascii="仿宋" w:hAnsi="仿宋" w:eastAsia="仿宋" w:cs="仿宋"/>
          <w:color w:val="auto"/>
          <w:sz w:val="24"/>
          <w:szCs w:val="24"/>
          <w:highlight w:val="none"/>
          <w:lang w:eastAsia="zh-CN"/>
        </w:rPr>
        <w:t>。</w:t>
      </w:r>
    </w:p>
    <w:p w14:paraId="126EDD1B">
      <w:pPr>
        <w:snapToGrid w:val="0"/>
        <w:spacing w:after="0" w:line="360" w:lineRule="auto"/>
        <w:ind w:firstLine="482" w:firstLineChars="200"/>
        <w:outlineLvl w:val="3"/>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3.针对监狱企业的采购政策</w:t>
      </w:r>
    </w:p>
    <w:p w14:paraId="5EFAF302">
      <w:pPr>
        <w:snapToGrid w:val="0"/>
        <w:spacing w:after="0" w:line="360" w:lineRule="auto"/>
        <w:ind w:firstLine="480" w:firstLineChars="200"/>
        <w:rPr>
          <w:rFonts w:hint="eastAsia" w:ascii="仿宋" w:hAnsi="仿宋" w:eastAsia="仿宋" w:cs="仿宋"/>
          <w:color w:val="auto"/>
          <w:sz w:val="24"/>
          <w:szCs w:val="24"/>
          <w:highlight w:val="none"/>
          <w:lang w:eastAsia="zh-CN"/>
        </w:rPr>
      </w:pPr>
      <w:bookmarkStart w:id="5" w:name="_Hlk69249023"/>
      <w:r>
        <w:rPr>
          <w:rFonts w:hint="eastAsia" w:ascii="仿宋" w:hAnsi="仿宋" w:eastAsia="仿宋" w:cs="仿宋"/>
          <w:color w:val="auto"/>
          <w:sz w:val="24"/>
          <w:szCs w:val="24"/>
          <w:highlight w:val="none"/>
          <w:lang w:eastAsia="zh-CN"/>
        </w:rPr>
        <w:t>根据本项目采购需求，本次政府采购不涉及监狱企业，因此本项目无针对监狱企业的采购政策。</w:t>
      </w:r>
    </w:p>
    <w:bookmarkEnd w:id="5"/>
    <w:p w14:paraId="7E46F149">
      <w:pPr>
        <w:snapToGrid w:val="0"/>
        <w:spacing w:after="0" w:line="360" w:lineRule="auto"/>
        <w:ind w:firstLine="482" w:firstLineChars="200"/>
        <w:outlineLvl w:val="3"/>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4.针对绿色采购的采购政策</w:t>
      </w:r>
    </w:p>
    <w:p w14:paraId="47C2894D">
      <w:pPr>
        <w:snapToGrid w:val="0"/>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根据本项目采购需求，本次政府采购不涉及优先采购节能产品和环境标志产品，因此本项目无针对绿色采购的采购政策。</w:t>
      </w:r>
    </w:p>
    <w:p w14:paraId="5B89BA8F">
      <w:pPr>
        <w:snapToGrid w:val="0"/>
        <w:spacing w:after="0" w:line="360" w:lineRule="auto"/>
        <w:ind w:firstLine="482" w:firstLineChars="200"/>
        <w:outlineLvl w:val="3"/>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5.享受政府采购政策的其他约定</w:t>
      </w:r>
    </w:p>
    <w:p w14:paraId="2C14D257">
      <w:pPr>
        <w:snapToGrid w:val="0"/>
        <w:spacing w:after="0" w:line="360" w:lineRule="auto"/>
        <w:ind w:firstLine="480" w:firstLineChars="200"/>
        <w:rPr>
          <w:rFonts w:hint="eastAsia" w:ascii="仿宋" w:hAnsi="仿宋" w:eastAsia="仿宋" w:cs="仿宋"/>
          <w:color w:val="auto"/>
          <w:sz w:val="24"/>
          <w:szCs w:val="24"/>
          <w:highlight w:val="none"/>
          <w:lang w:eastAsia="zh-CN"/>
        </w:rPr>
      </w:pPr>
      <w:bookmarkStart w:id="6" w:name="_Hlk69663153"/>
      <w:r>
        <w:rPr>
          <w:rFonts w:hint="eastAsia" w:ascii="仿宋" w:hAnsi="仿宋" w:eastAsia="仿宋" w:cs="仿宋"/>
          <w:color w:val="auto"/>
          <w:sz w:val="24"/>
          <w:szCs w:val="24"/>
          <w:highlight w:val="none"/>
          <w:lang w:eastAsia="zh-CN"/>
        </w:rPr>
        <w:t>（1）本项目享受中小企业扶持政策的竞争性磋商响应供应商一旦成交，因提供“中小企业声明函”的行为引发争议和影响本项目采购执行效率，应当按本项目采购人或采购代理机构的通知，在10 个工作日内及时提供企业注册登记所在地的县级以上人民政府中小企业主管部门认定供应商是小型、微型企业的证明原件，用以核对，逾期未提供的则视作提供的“中小企业声明函”内容不实，且该情形属于以提供虚假材料谋取成交；成交人的该行为将报请政府采购监管的财政部门，按《中华人民共和国政府采购法》第七十七条第一款的规定处理，其成交无效。</w:t>
      </w:r>
    </w:p>
    <w:p w14:paraId="04A32C92">
      <w:pPr>
        <w:snapToGrid w:val="0"/>
        <w:spacing w:after="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（2）本项目享受中小企业扶持政策的竞争性磋商响应供应商一旦成交，因提供“残疾人福利性单位声明函”的行为引发争议和影响本项目采购执行效率，应当按本项目采购人或采购代理机构的通知，在10 个工作日内及时提供</w:t>
      </w:r>
      <w:r>
        <w:rPr>
          <w:rFonts w:hint="eastAsia" w:ascii="仿宋" w:hAnsi="仿宋" w:eastAsia="仿宋" w:cs="仿宋"/>
          <w:b/>
          <w:bCs/>
          <w:color w:val="auto"/>
          <w:sz w:val="24"/>
          <w:szCs w:val="24"/>
          <w:highlight w:val="none"/>
          <w:u w:val="single"/>
          <w:lang w:eastAsia="zh-CN"/>
        </w:rPr>
        <w:t>“享受政府采购支持政策的残疾人福利性单位应当同时满足的条件（注：第四章第四条第2点（1）规定的全部内容）”</w:t>
      </w:r>
      <w:r>
        <w:rPr>
          <w:rFonts w:hint="eastAsia" w:ascii="仿宋" w:hAnsi="仿宋" w:eastAsia="仿宋" w:cs="仿宋"/>
          <w:color w:val="auto"/>
          <w:sz w:val="24"/>
          <w:szCs w:val="24"/>
          <w:highlight w:val="none"/>
          <w:lang w:eastAsia="zh-CN"/>
        </w:rPr>
        <w:t>的全部证明材料的原件，用以核对，逾期未提供的则视作提供的“残疾人福利性单位声明函”内容不实</w:t>
      </w:r>
      <w:bookmarkStart w:id="7" w:name="_Hlk69391151"/>
      <w:r>
        <w:rPr>
          <w:rFonts w:hint="eastAsia" w:ascii="仿宋" w:hAnsi="仿宋" w:eastAsia="仿宋" w:cs="仿宋"/>
          <w:color w:val="auto"/>
          <w:sz w:val="24"/>
          <w:szCs w:val="24"/>
          <w:highlight w:val="none"/>
          <w:lang w:eastAsia="zh-CN"/>
        </w:rPr>
        <w:t>，且该情形属于以提供虚假材料谋取成交；成交人的该行为将报请政府采购监管的财政部门，按《中华人民共和国政府采购法》第七十七条第一款的规定处理，其成交无效。</w:t>
      </w:r>
      <w:bookmarkEnd w:id="6"/>
      <w:bookmarkEnd w:id="7"/>
    </w:p>
    <w:p w14:paraId="11CDE01B">
      <w:pPr>
        <w:spacing w:line="500" w:lineRule="exact"/>
        <w:ind w:firstLine="57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Cs/>
          <w:color w:val="auto"/>
          <w:sz w:val="24"/>
          <w:szCs w:val="24"/>
          <w:highlight w:val="none"/>
          <w:lang w:val="en-US" w:eastAsia="zh-CN"/>
        </w:rPr>
        <w:t>注：</w:t>
      </w:r>
      <w:r>
        <w:rPr>
          <w:rFonts w:hint="eastAsia" w:ascii="仿宋_GB2312" w:hAnsi="仿宋_GB2312" w:eastAsia="仿宋_GB2312" w:cs="仿宋_GB2312"/>
          <w:b/>
          <w:bCs w:val="0"/>
          <w:color w:val="auto"/>
          <w:sz w:val="24"/>
          <w:szCs w:val="24"/>
          <w:highlight w:val="none"/>
          <w:u w:val="single"/>
          <w:lang w:val="en-US" w:eastAsia="zh-CN"/>
        </w:rPr>
        <w:t>本项目</w:t>
      </w:r>
      <w:r>
        <w:rPr>
          <w:rFonts w:hint="eastAsia" w:ascii="仿宋_GB2312" w:hAnsi="仿宋_GB2312" w:eastAsia="仿宋_GB2312" w:cs="仿宋_GB2312"/>
          <w:b/>
          <w:bCs w:val="0"/>
          <w:color w:val="auto"/>
          <w:sz w:val="24"/>
          <w:szCs w:val="24"/>
          <w:highlight w:val="none"/>
          <w:u w:val="single"/>
        </w:rPr>
        <w:t>专门面向中小企业采购，不再执行价格评审优惠的扶持政策。</w:t>
      </w:r>
    </w:p>
    <w:p w14:paraId="3A66FAC7">
      <w:pPr>
        <w:pBdr>
          <w:top w:val="none" w:color="000000" w:sz="0" w:space="0"/>
          <w:left w:val="none" w:color="000000" w:sz="0" w:space="0"/>
          <w:bottom w:val="none" w:color="000000" w:sz="0" w:space="0"/>
          <w:right w:val="none" w:color="000000" w:sz="0" w:space="0"/>
        </w:pBdr>
        <w:spacing w:after="0" w:line="439" w:lineRule="atLeast"/>
        <w:ind w:firstLine="480" w:firstLineChars="200"/>
        <w:jc w:val="both"/>
        <w:rPr>
          <w:color w:val="auto"/>
          <w:highlight w:val="none"/>
          <w:lang w:eastAsia="zh-CN"/>
        </w:rPr>
      </w:pPr>
      <w:r>
        <w:rPr>
          <w:rFonts w:hint="eastAsia" w:ascii="仿宋" w:hAnsi="仿宋" w:eastAsia="仿宋" w:cs="仿宋"/>
          <w:color w:val="auto"/>
          <w:sz w:val="24"/>
          <w:highlight w:val="none"/>
          <w:lang w:eastAsia="zh-CN"/>
        </w:rPr>
        <w:t>六</w:t>
      </w:r>
      <w:r>
        <w:rPr>
          <w:rFonts w:ascii="仿宋" w:hAnsi="仿宋" w:eastAsia="仿宋" w:cs="仿宋"/>
          <w:color w:val="auto"/>
          <w:sz w:val="24"/>
          <w:highlight w:val="none"/>
          <w:lang w:eastAsia="zh-CN"/>
        </w:rPr>
        <w:t>、出现下列情形之一的，作无效标处理</w:t>
      </w:r>
    </w:p>
    <w:p w14:paraId="0173293A">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ascii="仿宋" w:hAnsi="仿宋" w:eastAsia="仿宋" w:cs="仿宋"/>
          <w:color w:val="auto"/>
          <w:sz w:val="24"/>
          <w:highlight w:val="none"/>
          <w:lang w:eastAsia="zh-CN"/>
        </w:rPr>
        <w:t>1、响应文件未按磋商文件要求装订、密封、签署、盖章及主要资料不齐全的；</w:t>
      </w:r>
    </w:p>
    <w:p w14:paraId="6DA34412">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ascii="仿宋" w:hAnsi="仿宋" w:eastAsia="仿宋" w:cs="仿宋"/>
          <w:color w:val="auto"/>
          <w:sz w:val="24"/>
          <w:highlight w:val="none"/>
          <w:lang w:eastAsia="zh-CN"/>
        </w:rPr>
        <w:t>2、响应文件的资料有虚报或者谎报的；</w:t>
      </w:r>
    </w:p>
    <w:p w14:paraId="30277CD9">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ascii="仿宋" w:hAnsi="仿宋" w:eastAsia="仿宋" w:cs="仿宋"/>
          <w:color w:val="auto"/>
          <w:sz w:val="24"/>
          <w:highlight w:val="none"/>
          <w:lang w:eastAsia="zh-CN"/>
        </w:rPr>
        <w:t>3、响应文件中资格审查文件及商务技术响应文件出现磋商报价的内容；</w:t>
      </w:r>
    </w:p>
    <w:p w14:paraId="4D4758A2">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ascii="仿宋" w:hAnsi="仿宋" w:eastAsia="仿宋" w:cs="仿宋"/>
          <w:color w:val="auto"/>
          <w:sz w:val="24"/>
          <w:highlight w:val="none"/>
          <w:lang w:eastAsia="zh-CN"/>
        </w:rPr>
        <w:t>4、不具备磋商文件规定的资格要求的；</w:t>
      </w:r>
    </w:p>
    <w:p w14:paraId="00F9E6D3">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ascii="仿宋" w:hAnsi="仿宋" w:eastAsia="仿宋" w:cs="仿宋"/>
          <w:color w:val="auto"/>
          <w:sz w:val="24"/>
          <w:highlight w:val="none"/>
          <w:lang w:eastAsia="zh-CN"/>
        </w:rPr>
        <w:t>5、响应文件有重大漏项或重大不合理的；</w:t>
      </w:r>
    </w:p>
    <w:p w14:paraId="698C4441">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ascii="仿宋" w:hAnsi="仿宋" w:eastAsia="仿宋" w:cs="仿宋"/>
          <w:color w:val="auto"/>
          <w:sz w:val="24"/>
          <w:highlight w:val="none"/>
          <w:lang w:eastAsia="zh-CN"/>
        </w:rPr>
        <w:t>6、项目技术、方案不满足项目需求中的要求，有重大偏离或保留的；</w:t>
      </w:r>
    </w:p>
    <w:p w14:paraId="48C83E22">
      <w:pPr>
        <w:pBdr>
          <w:top w:val="none" w:color="000000" w:sz="0" w:space="0"/>
          <w:left w:val="none" w:color="000000" w:sz="0" w:space="0"/>
          <w:bottom w:val="none" w:color="000000" w:sz="0" w:space="0"/>
          <w:right w:val="none" w:color="000000" w:sz="0" w:space="0"/>
        </w:pBdr>
        <w:spacing w:after="0" w:line="439" w:lineRule="atLeast"/>
        <w:ind w:firstLine="48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w:t>
      </w:r>
      <w:r>
        <w:rPr>
          <w:rFonts w:ascii="仿宋" w:hAnsi="仿宋" w:eastAsia="仿宋" w:cs="仿宋"/>
          <w:color w:val="auto"/>
          <w:sz w:val="24"/>
          <w:highlight w:val="none"/>
          <w:lang w:eastAsia="zh-CN"/>
        </w:rPr>
        <w:t>响应文件技术得分低于</w:t>
      </w:r>
      <w:r>
        <w:rPr>
          <w:rFonts w:hint="eastAsia" w:ascii="仿宋" w:hAnsi="仿宋" w:eastAsia="仿宋" w:cs="仿宋"/>
          <w:color w:val="auto"/>
          <w:sz w:val="24"/>
          <w:highlight w:val="none"/>
          <w:lang w:eastAsia="zh-CN"/>
        </w:rPr>
        <w:t>50%的；</w:t>
      </w:r>
    </w:p>
    <w:p w14:paraId="758A4ED1">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hint="eastAsia" w:ascii="仿宋" w:hAnsi="仿宋" w:eastAsia="仿宋" w:cs="仿宋"/>
          <w:color w:val="auto"/>
          <w:sz w:val="24"/>
          <w:highlight w:val="none"/>
          <w:lang w:eastAsia="zh-CN"/>
        </w:rPr>
        <w:t>8</w:t>
      </w:r>
      <w:r>
        <w:rPr>
          <w:rFonts w:ascii="仿宋" w:hAnsi="仿宋" w:eastAsia="仿宋" w:cs="仿宋"/>
          <w:color w:val="auto"/>
          <w:sz w:val="24"/>
          <w:highlight w:val="none"/>
          <w:lang w:eastAsia="zh-CN"/>
        </w:rPr>
        <w:t>、磋商响应报价超出项目预算的；</w:t>
      </w:r>
    </w:p>
    <w:p w14:paraId="58BA017C">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hint="eastAsia" w:ascii="仿宋" w:hAnsi="仿宋" w:eastAsia="仿宋" w:cs="仿宋"/>
          <w:color w:val="auto"/>
          <w:sz w:val="24"/>
          <w:highlight w:val="none"/>
          <w:lang w:eastAsia="zh-CN"/>
        </w:rPr>
        <w:t>9</w:t>
      </w:r>
      <w:r>
        <w:rPr>
          <w:rFonts w:ascii="仿宋" w:hAnsi="仿宋" w:eastAsia="仿宋" w:cs="仿宋"/>
          <w:color w:val="auto"/>
          <w:sz w:val="24"/>
          <w:highlight w:val="none"/>
          <w:lang w:eastAsia="zh-CN"/>
        </w:rPr>
        <w:t>、被认定为低于成本报价磋商竞标的；</w:t>
      </w:r>
    </w:p>
    <w:p w14:paraId="21A22956">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hint="eastAsia" w:ascii="仿宋" w:hAnsi="仿宋" w:eastAsia="仿宋" w:cs="仿宋"/>
          <w:color w:val="auto"/>
          <w:sz w:val="24"/>
          <w:highlight w:val="none"/>
          <w:lang w:eastAsia="zh-CN"/>
        </w:rPr>
        <w:t>10</w:t>
      </w:r>
      <w:r>
        <w:rPr>
          <w:rFonts w:ascii="仿宋" w:hAnsi="仿宋" w:eastAsia="仿宋" w:cs="仿宋"/>
          <w:color w:val="auto"/>
          <w:sz w:val="24"/>
          <w:highlight w:val="none"/>
          <w:lang w:eastAsia="zh-CN"/>
        </w:rPr>
        <w:t>、供应商的磋商报价高于自己前一轮的；</w:t>
      </w:r>
    </w:p>
    <w:p w14:paraId="1E1FA377">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hint="eastAsia" w:ascii="仿宋" w:hAnsi="仿宋" w:eastAsia="仿宋" w:cs="仿宋"/>
          <w:color w:val="auto"/>
          <w:sz w:val="24"/>
          <w:highlight w:val="none"/>
          <w:lang w:eastAsia="zh-CN"/>
        </w:rPr>
        <w:t>11</w:t>
      </w:r>
      <w:r>
        <w:rPr>
          <w:rFonts w:ascii="仿宋" w:hAnsi="仿宋" w:eastAsia="仿宋" w:cs="仿宋"/>
          <w:color w:val="auto"/>
          <w:sz w:val="24"/>
          <w:highlight w:val="none"/>
          <w:lang w:eastAsia="zh-CN"/>
        </w:rPr>
        <w:t>、不符合法律、法规和磋商文件中规定的其他实质性响应要求的；</w:t>
      </w:r>
    </w:p>
    <w:p w14:paraId="5C51C002">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hint="eastAsia" w:ascii="仿宋" w:hAnsi="仿宋" w:eastAsia="仿宋" w:cs="仿宋"/>
          <w:color w:val="auto"/>
          <w:sz w:val="24"/>
          <w:highlight w:val="none"/>
          <w:lang w:eastAsia="zh-CN"/>
        </w:rPr>
        <w:t>12</w:t>
      </w:r>
      <w:r>
        <w:rPr>
          <w:rFonts w:ascii="仿宋" w:hAnsi="仿宋" w:eastAsia="仿宋" w:cs="仿宋"/>
          <w:color w:val="auto"/>
          <w:sz w:val="24"/>
          <w:highlight w:val="none"/>
          <w:lang w:eastAsia="zh-CN"/>
        </w:rPr>
        <w:t>、磋商小组依据法律法规可以认定为无效投标的其他情况。</w:t>
      </w:r>
    </w:p>
    <w:p w14:paraId="2D9516CB">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hint="eastAsia" w:ascii="仿宋" w:hAnsi="仿宋" w:eastAsia="仿宋" w:cs="仿宋"/>
          <w:color w:val="auto"/>
          <w:sz w:val="24"/>
          <w:highlight w:val="none"/>
          <w:lang w:eastAsia="zh-CN"/>
        </w:rPr>
        <w:t>七</w:t>
      </w:r>
      <w:r>
        <w:rPr>
          <w:rFonts w:ascii="仿宋" w:hAnsi="仿宋" w:eastAsia="仿宋" w:cs="仿宋"/>
          <w:color w:val="auto"/>
          <w:sz w:val="24"/>
          <w:highlight w:val="none"/>
          <w:lang w:eastAsia="zh-CN"/>
        </w:rPr>
        <w:t>、出现下列情形之一的，作废标处理</w:t>
      </w:r>
    </w:p>
    <w:p w14:paraId="236379A2">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ascii="仿宋" w:hAnsi="仿宋" w:eastAsia="仿宋" w:cs="仿宋"/>
          <w:color w:val="auto"/>
          <w:sz w:val="24"/>
          <w:highlight w:val="none"/>
          <w:lang w:eastAsia="zh-CN"/>
        </w:rPr>
        <w:t>1、供应商的报价均超出了采购预算，采购单位不能支付的；</w:t>
      </w:r>
    </w:p>
    <w:p w14:paraId="4F354F3C">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ascii="仿宋" w:hAnsi="仿宋" w:eastAsia="仿宋" w:cs="仿宋"/>
          <w:color w:val="auto"/>
          <w:sz w:val="24"/>
          <w:highlight w:val="none"/>
          <w:lang w:eastAsia="zh-CN"/>
        </w:rPr>
        <w:t>2、因情况变化，不再符合规定的竞争性磋商采购方式所适用情形的；</w:t>
      </w:r>
    </w:p>
    <w:p w14:paraId="7D704BA1">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ascii="仿宋" w:hAnsi="仿宋" w:eastAsia="仿宋" w:cs="仿宋"/>
          <w:color w:val="auto"/>
          <w:sz w:val="24"/>
          <w:highlight w:val="none"/>
          <w:lang w:eastAsia="zh-CN"/>
        </w:rPr>
        <w:t>3、出现影响采购公正的违法、违规行为的；</w:t>
      </w:r>
    </w:p>
    <w:p w14:paraId="5EFB5AEC">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ascii="仿宋" w:hAnsi="仿宋" w:eastAsia="仿宋" w:cs="仿宋"/>
          <w:color w:val="auto"/>
          <w:sz w:val="24"/>
          <w:highlight w:val="none"/>
          <w:lang w:eastAsia="zh-CN"/>
        </w:rPr>
        <w:t>4、因重大变故，采购任务取消的；</w:t>
      </w:r>
    </w:p>
    <w:p w14:paraId="00F6185A">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ascii="仿宋" w:hAnsi="仿宋" w:eastAsia="仿宋" w:cs="仿宋"/>
          <w:color w:val="auto"/>
          <w:sz w:val="24"/>
          <w:highlight w:val="none"/>
          <w:lang w:eastAsia="zh-CN"/>
        </w:rPr>
        <w:t>5、磋商小组依据法律法规可以认定为废标的其他情况。</w:t>
      </w:r>
    </w:p>
    <w:p w14:paraId="331422B5">
      <w:pPr>
        <w:pBdr>
          <w:top w:val="none" w:color="000000" w:sz="0" w:space="0"/>
          <w:left w:val="none" w:color="000000" w:sz="0" w:space="0"/>
          <w:bottom w:val="none" w:color="000000" w:sz="0" w:space="0"/>
          <w:right w:val="none" w:color="000000" w:sz="0" w:space="0"/>
        </w:pBdr>
        <w:spacing w:after="0" w:line="439" w:lineRule="atLeast"/>
        <w:ind w:firstLine="480"/>
        <w:jc w:val="both"/>
        <w:rPr>
          <w:color w:val="auto"/>
          <w:highlight w:val="none"/>
          <w:lang w:eastAsia="zh-CN"/>
        </w:rPr>
      </w:pPr>
      <w:r>
        <w:rPr>
          <w:rFonts w:hint="eastAsia" w:ascii="仿宋" w:hAnsi="仿宋" w:eastAsia="仿宋" w:cs="仿宋"/>
          <w:color w:val="auto"/>
          <w:sz w:val="24"/>
          <w:highlight w:val="none"/>
          <w:lang w:eastAsia="zh-CN"/>
        </w:rPr>
        <w:t>八</w:t>
      </w:r>
      <w:r>
        <w:rPr>
          <w:rFonts w:ascii="仿宋" w:hAnsi="仿宋" w:eastAsia="仿宋" w:cs="仿宋"/>
          <w:color w:val="auto"/>
          <w:sz w:val="24"/>
          <w:highlight w:val="none"/>
          <w:lang w:eastAsia="zh-CN"/>
        </w:rPr>
        <w:t>、成交通知</w:t>
      </w:r>
    </w:p>
    <w:p w14:paraId="7D432A4E">
      <w:pPr>
        <w:pBdr>
          <w:top w:val="none" w:color="000000" w:sz="0" w:space="0"/>
          <w:left w:val="none" w:color="000000" w:sz="0" w:space="0"/>
          <w:bottom w:val="none" w:color="000000" w:sz="0" w:space="0"/>
          <w:right w:val="none" w:color="000000" w:sz="0" w:space="0"/>
        </w:pBdr>
        <w:spacing w:after="0" w:line="439" w:lineRule="atLeast"/>
        <w:ind w:firstLine="480"/>
        <w:rPr>
          <w:color w:val="auto"/>
          <w:highlight w:val="none"/>
          <w:lang w:eastAsia="zh-CN"/>
        </w:rPr>
      </w:pPr>
      <w:r>
        <w:rPr>
          <w:rFonts w:ascii="仿宋" w:hAnsi="仿宋" w:eastAsia="仿宋" w:cs="仿宋"/>
          <w:color w:val="auto"/>
          <w:sz w:val="24"/>
          <w:highlight w:val="none"/>
          <w:lang w:eastAsia="zh-CN"/>
        </w:rPr>
        <w:t>成交结果在江苏省政府采购网公示1个工作日。《成交通知书》一经发出，采购单位改变成交结果，或者中标人放弃成交的，各自承担相应的法律责任。《成交通知书》是采购合同的组成部分。</w:t>
      </w:r>
    </w:p>
    <w:p w14:paraId="4650C1EA">
      <w:pPr>
        <w:pBdr>
          <w:top w:val="none" w:color="000000" w:sz="0" w:space="0"/>
          <w:left w:val="none" w:color="000000" w:sz="0" w:space="0"/>
          <w:bottom w:val="none" w:color="000000" w:sz="0" w:space="0"/>
          <w:right w:val="none" w:color="000000" w:sz="0" w:space="0"/>
        </w:pBdr>
        <w:spacing w:after="0"/>
        <w:rPr>
          <w:color w:val="auto"/>
          <w:highlight w:val="none"/>
          <w:lang w:eastAsia="zh-CN"/>
        </w:rPr>
      </w:pPr>
      <w:r>
        <w:rPr>
          <w:color w:val="auto"/>
          <w:highlight w:val="none"/>
          <w:lang w:eastAsia="zh-CN"/>
        </w:rPr>
        <w:br w:type="page" w:clear="all"/>
      </w:r>
    </w:p>
    <w:p w14:paraId="202FC0E4">
      <w:pPr>
        <w:pBdr>
          <w:top w:val="none" w:color="000000" w:sz="0" w:space="0"/>
          <w:left w:val="none" w:color="000000" w:sz="0" w:space="0"/>
          <w:bottom w:val="none" w:color="000000" w:sz="0" w:space="0"/>
          <w:right w:val="none" w:color="000000" w:sz="0" w:space="0"/>
        </w:pBdr>
        <w:spacing w:after="0"/>
        <w:rPr>
          <w:color w:val="auto"/>
          <w:highlight w:val="none"/>
          <w:lang w:eastAsia="zh-CN"/>
        </w:rPr>
      </w:pPr>
      <w:r>
        <w:rPr>
          <w:rFonts w:ascii="仿宋" w:hAnsi="仿宋" w:eastAsia="仿宋" w:cs="仿宋"/>
          <w:color w:val="auto"/>
          <w:sz w:val="24"/>
          <w:highlight w:val="none"/>
          <w:lang w:eastAsia="zh-CN"/>
        </w:rPr>
        <w:t xml:space="preserve"> </w:t>
      </w:r>
    </w:p>
    <w:p w14:paraId="60E34CF6">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lang w:eastAsia="zh-CN"/>
        </w:rPr>
      </w:pPr>
      <w:r>
        <w:rPr>
          <w:rFonts w:ascii="宋体" w:hAnsi="宋体" w:eastAsia="宋体" w:cs="宋体"/>
          <w:b/>
          <w:color w:val="auto"/>
          <w:sz w:val="36"/>
          <w:highlight w:val="none"/>
          <w:lang w:eastAsia="zh-CN"/>
        </w:rPr>
        <w:t>第六章  合同签订与验收付款</w:t>
      </w:r>
    </w:p>
    <w:p w14:paraId="16395FD4">
      <w:pPr>
        <w:pBdr>
          <w:top w:val="none" w:color="000000" w:sz="0" w:space="0"/>
          <w:left w:val="none" w:color="000000" w:sz="0" w:space="0"/>
          <w:bottom w:val="none" w:color="000000" w:sz="0" w:space="0"/>
          <w:right w:val="none" w:color="000000" w:sz="0" w:space="0"/>
        </w:pBdr>
        <w:spacing w:after="0" w:line="85" w:lineRule="atLeast"/>
        <w:ind w:firstLine="480"/>
        <w:jc w:val="both"/>
        <w:rPr>
          <w:color w:val="auto"/>
          <w:highlight w:val="none"/>
          <w:lang w:eastAsia="zh-CN"/>
        </w:rPr>
      </w:pPr>
      <w:r>
        <w:rPr>
          <w:rFonts w:ascii="仿宋" w:hAnsi="仿宋" w:eastAsia="仿宋" w:cs="仿宋"/>
          <w:color w:val="auto"/>
          <w:sz w:val="24"/>
          <w:highlight w:val="none"/>
          <w:lang w:eastAsia="zh-CN"/>
        </w:rPr>
        <w:t> </w:t>
      </w:r>
    </w:p>
    <w:p w14:paraId="6AFFA689">
      <w:pPr>
        <w:pBdr>
          <w:top w:val="none" w:color="000000" w:sz="0" w:space="0"/>
          <w:left w:val="none" w:color="000000" w:sz="0" w:space="0"/>
          <w:bottom w:val="none" w:color="000000" w:sz="0" w:space="0"/>
          <w:right w:val="none" w:color="000000" w:sz="0" w:space="0"/>
        </w:pBdr>
        <w:spacing w:after="0" w:line="360" w:lineRule="auto"/>
        <w:ind w:firstLine="480" w:firstLineChars="200"/>
        <w:rPr>
          <w:color w:val="auto"/>
          <w:sz w:val="24"/>
          <w:szCs w:val="24"/>
          <w:highlight w:val="none"/>
          <w:lang w:eastAsia="zh-CN"/>
        </w:rPr>
      </w:pPr>
      <w:r>
        <w:rPr>
          <w:rFonts w:ascii="仿宋" w:hAnsi="仿宋" w:eastAsia="仿宋" w:cs="仿宋"/>
          <w:color w:val="auto"/>
          <w:sz w:val="24"/>
          <w:szCs w:val="24"/>
          <w:highlight w:val="none"/>
          <w:lang w:eastAsia="zh-CN"/>
        </w:rPr>
        <w:t>一、成交供应商和采购人在接到《成交通知书》后</w:t>
      </w:r>
      <w:r>
        <w:rPr>
          <w:rFonts w:hint="eastAsia" w:ascii="仿宋" w:hAnsi="仿宋" w:eastAsia="仿宋" w:cs="仿宋"/>
          <w:color w:val="auto"/>
          <w:sz w:val="24"/>
          <w:szCs w:val="24"/>
          <w:highlight w:val="none"/>
          <w:lang w:val="en-US" w:eastAsia="zh-CN"/>
        </w:rPr>
        <w:t>30</w:t>
      </w:r>
      <w:r>
        <w:rPr>
          <w:rFonts w:ascii="仿宋" w:hAnsi="仿宋" w:eastAsia="仿宋" w:cs="仿宋"/>
          <w:color w:val="auto"/>
          <w:sz w:val="24"/>
          <w:szCs w:val="24"/>
          <w:highlight w:val="none"/>
          <w:lang w:eastAsia="zh-CN"/>
        </w:rPr>
        <w:t>日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p>
    <w:p w14:paraId="15605682">
      <w:pPr>
        <w:pBdr>
          <w:top w:val="none" w:color="000000" w:sz="0" w:space="0"/>
          <w:left w:val="none" w:color="000000" w:sz="0" w:space="0"/>
          <w:bottom w:val="none" w:color="000000" w:sz="0" w:space="0"/>
          <w:right w:val="none" w:color="000000" w:sz="0" w:space="0"/>
        </w:pBdr>
        <w:spacing w:after="0" w:line="360" w:lineRule="auto"/>
        <w:ind w:firstLine="480" w:firstLineChars="200"/>
        <w:rPr>
          <w:color w:val="auto"/>
          <w:sz w:val="24"/>
          <w:szCs w:val="24"/>
          <w:highlight w:val="none"/>
          <w:lang w:eastAsia="zh-CN"/>
        </w:rPr>
      </w:pPr>
      <w:r>
        <w:rPr>
          <w:rFonts w:ascii="仿宋" w:hAnsi="仿宋" w:eastAsia="仿宋" w:cs="仿宋"/>
          <w:color w:val="auto"/>
          <w:sz w:val="24"/>
          <w:szCs w:val="24"/>
          <w:highlight w:val="none"/>
          <w:lang w:eastAsia="zh-CN"/>
        </w:rPr>
        <w:t>二、采购人按合同约定积极配合成交供应商履约，成交供应商履约到位后，请以书面形式向采购单位提出验收申请，采购人接到申请后原则上在5个工作日内及时组织相关专业技术人员，必要时邀请行业专家、质检等部门共同参与验收，并出具验收报告，验收合格的原则上5个工作日内支付相应款项。</w:t>
      </w:r>
    </w:p>
    <w:p w14:paraId="604137FB">
      <w:pPr>
        <w:pBdr>
          <w:top w:val="none" w:color="000000" w:sz="0" w:space="0"/>
          <w:left w:val="none" w:color="000000" w:sz="0" w:space="0"/>
          <w:bottom w:val="none" w:color="000000" w:sz="0" w:space="0"/>
          <w:right w:val="none" w:color="000000" w:sz="0" w:space="0"/>
        </w:pBdr>
        <w:spacing w:after="0" w:line="360" w:lineRule="auto"/>
        <w:ind w:firstLine="480" w:firstLineChars="200"/>
        <w:rPr>
          <w:color w:val="auto"/>
          <w:sz w:val="24"/>
          <w:szCs w:val="24"/>
          <w:highlight w:val="none"/>
          <w:lang w:eastAsia="zh-CN"/>
        </w:rPr>
      </w:pPr>
      <w:r>
        <w:rPr>
          <w:rFonts w:ascii="仿宋" w:hAnsi="仿宋" w:eastAsia="仿宋" w:cs="仿宋"/>
          <w:color w:val="auto"/>
          <w:sz w:val="24"/>
          <w:szCs w:val="24"/>
          <w:highlight w:val="none"/>
          <w:lang w:eastAsia="zh-CN"/>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28E63279">
      <w:pPr>
        <w:pBdr>
          <w:top w:val="none" w:color="000000" w:sz="0" w:space="0"/>
          <w:left w:val="none" w:color="000000" w:sz="0" w:space="0"/>
          <w:bottom w:val="none" w:color="000000" w:sz="0" w:space="0"/>
          <w:right w:val="none" w:color="000000" w:sz="0" w:space="0"/>
        </w:pBdr>
        <w:spacing w:after="0" w:line="360" w:lineRule="auto"/>
        <w:ind w:firstLine="480" w:firstLineChars="200"/>
        <w:rPr>
          <w:color w:val="auto"/>
          <w:sz w:val="24"/>
          <w:szCs w:val="24"/>
          <w:highlight w:val="none"/>
          <w:lang w:eastAsia="zh-CN"/>
        </w:rPr>
      </w:pPr>
      <w:r>
        <w:rPr>
          <w:rFonts w:ascii="仿宋" w:hAnsi="仿宋" w:eastAsia="仿宋" w:cs="仿宋"/>
          <w:color w:val="auto"/>
          <w:sz w:val="24"/>
          <w:szCs w:val="24"/>
          <w:highlight w:val="none"/>
          <w:lang w:eastAsia="zh-CN"/>
        </w:rPr>
        <w:t>四、成交供应商出现违约情形，应当及时纠正或补偿；造成损失的，按合同约定追究违约责任；发现有假冒、伪劣、走私产品、商业贿赂等违法情形的，应由采购人移交市场监督、公安等行政执法部门依法查处。</w:t>
      </w:r>
    </w:p>
    <w:p w14:paraId="02D73669">
      <w:pPr>
        <w:pBdr>
          <w:top w:val="none" w:color="000000" w:sz="0" w:space="0"/>
          <w:left w:val="none" w:color="000000" w:sz="0" w:space="0"/>
          <w:bottom w:val="none" w:color="000000" w:sz="0" w:space="0"/>
          <w:right w:val="none" w:color="000000" w:sz="0" w:space="0"/>
        </w:pBdr>
        <w:spacing w:after="0" w:line="360" w:lineRule="auto"/>
        <w:ind w:firstLine="480" w:firstLineChars="200"/>
        <w:rPr>
          <w:color w:val="auto"/>
          <w:sz w:val="24"/>
          <w:szCs w:val="24"/>
          <w:highlight w:val="none"/>
          <w:lang w:eastAsia="zh-CN"/>
        </w:rPr>
      </w:pPr>
      <w:r>
        <w:rPr>
          <w:rFonts w:ascii="仿宋" w:hAnsi="仿宋" w:eastAsia="仿宋" w:cs="仿宋"/>
          <w:color w:val="auto"/>
          <w:sz w:val="24"/>
          <w:szCs w:val="24"/>
          <w:highlight w:val="none"/>
          <w:lang w:eastAsia="zh-CN"/>
        </w:rPr>
        <w:t>五、不响应付款方式的，视同响应文件无效处理。</w:t>
      </w:r>
    </w:p>
    <w:p w14:paraId="1AD4DCDA">
      <w:pPr>
        <w:pBdr>
          <w:top w:val="none" w:color="000000" w:sz="0" w:space="0"/>
          <w:left w:val="none" w:color="000000" w:sz="0" w:space="0"/>
          <w:bottom w:val="none" w:color="000000" w:sz="0" w:space="0"/>
          <w:right w:val="none" w:color="000000" w:sz="0" w:space="0"/>
        </w:pBdr>
        <w:spacing w:after="0" w:line="360" w:lineRule="auto"/>
        <w:ind w:firstLine="480" w:firstLineChars="200"/>
        <w:rPr>
          <w:color w:val="auto"/>
          <w:sz w:val="24"/>
          <w:szCs w:val="24"/>
          <w:highlight w:val="none"/>
          <w:lang w:eastAsia="zh-CN"/>
        </w:rPr>
      </w:pPr>
      <w:r>
        <w:rPr>
          <w:rFonts w:ascii="宋体" w:hAnsi="宋体" w:eastAsia="宋体" w:cs="宋体"/>
          <w:color w:val="auto"/>
          <w:sz w:val="24"/>
          <w:szCs w:val="24"/>
          <w:highlight w:val="none"/>
          <w:lang w:eastAsia="zh-CN"/>
        </w:rPr>
        <w:t> </w:t>
      </w:r>
    </w:p>
    <w:p w14:paraId="66717F66">
      <w:pPr>
        <w:pBdr>
          <w:top w:val="none" w:color="000000" w:sz="0" w:space="0"/>
          <w:left w:val="none" w:color="000000" w:sz="0" w:space="0"/>
          <w:bottom w:val="none" w:color="000000" w:sz="0" w:space="0"/>
          <w:right w:val="none" w:color="000000" w:sz="0" w:space="0"/>
        </w:pBdr>
        <w:spacing w:after="0" w:line="360" w:lineRule="auto"/>
        <w:ind w:firstLine="480" w:firstLineChars="200"/>
        <w:rPr>
          <w:color w:val="auto"/>
          <w:sz w:val="24"/>
          <w:szCs w:val="24"/>
          <w:highlight w:val="none"/>
          <w:lang w:eastAsia="zh-CN"/>
        </w:rPr>
      </w:pPr>
      <w:r>
        <w:rPr>
          <w:rFonts w:ascii="宋体" w:hAnsi="宋体" w:eastAsia="宋体" w:cs="宋体"/>
          <w:color w:val="auto"/>
          <w:sz w:val="24"/>
          <w:szCs w:val="24"/>
          <w:highlight w:val="none"/>
          <w:lang w:eastAsia="zh-CN"/>
        </w:rPr>
        <w:t> </w:t>
      </w:r>
    </w:p>
    <w:p w14:paraId="4E9A4BC6">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r>
        <w:rPr>
          <w:rFonts w:ascii="Times New Roman" w:hAnsi="Times New Roman" w:eastAsia="Times New Roman" w:cs="Times New Roman"/>
          <w:color w:val="auto"/>
          <w:highlight w:val="none"/>
          <w:lang w:eastAsia="zh-CN"/>
        </w:rPr>
        <w:t> </w:t>
      </w:r>
    </w:p>
    <w:p w14:paraId="0EF1E705">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r>
        <w:rPr>
          <w:rFonts w:ascii="Times New Roman" w:hAnsi="Times New Roman" w:eastAsia="Times New Roman" w:cs="Times New Roman"/>
          <w:color w:val="auto"/>
          <w:highlight w:val="none"/>
          <w:lang w:eastAsia="zh-CN"/>
        </w:rPr>
        <w:t> </w:t>
      </w:r>
    </w:p>
    <w:p w14:paraId="71BD3F8F">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r>
        <w:rPr>
          <w:rFonts w:ascii="Times New Roman" w:hAnsi="Times New Roman" w:eastAsia="Times New Roman" w:cs="Times New Roman"/>
          <w:color w:val="auto"/>
          <w:highlight w:val="none"/>
          <w:lang w:eastAsia="zh-CN"/>
        </w:rPr>
        <w:t> </w:t>
      </w:r>
    </w:p>
    <w:p w14:paraId="578EA831">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r>
        <w:rPr>
          <w:rFonts w:ascii="Times New Roman" w:hAnsi="Times New Roman" w:eastAsia="Times New Roman" w:cs="Times New Roman"/>
          <w:color w:val="auto"/>
          <w:highlight w:val="none"/>
          <w:lang w:eastAsia="zh-CN"/>
        </w:rPr>
        <w:t> </w:t>
      </w:r>
    </w:p>
    <w:p w14:paraId="210E0488">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r>
        <w:rPr>
          <w:rFonts w:ascii="Times New Roman" w:hAnsi="Times New Roman" w:eastAsia="Times New Roman" w:cs="Times New Roman"/>
          <w:color w:val="auto"/>
          <w:highlight w:val="none"/>
          <w:lang w:eastAsia="zh-CN"/>
        </w:rPr>
        <w:t> </w:t>
      </w:r>
    </w:p>
    <w:p w14:paraId="434F0784">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r>
        <w:rPr>
          <w:rFonts w:ascii="Times New Roman" w:hAnsi="Times New Roman" w:eastAsia="Times New Roman" w:cs="Times New Roman"/>
          <w:color w:val="auto"/>
          <w:highlight w:val="none"/>
          <w:lang w:eastAsia="zh-CN"/>
        </w:rPr>
        <w:t> </w:t>
      </w:r>
    </w:p>
    <w:p w14:paraId="7FC7BEDD">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r>
        <w:rPr>
          <w:rFonts w:ascii="Times New Roman" w:hAnsi="Times New Roman" w:eastAsia="Times New Roman" w:cs="Times New Roman"/>
          <w:color w:val="auto"/>
          <w:highlight w:val="none"/>
          <w:lang w:eastAsia="zh-CN"/>
        </w:rPr>
        <w:t> </w:t>
      </w:r>
    </w:p>
    <w:p w14:paraId="02BA5AD9">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r>
        <w:rPr>
          <w:rFonts w:ascii="Times New Roman" w:hAnsi="Times New Roman" w:eastAsia="Times New Roman" w:cs="Times New Roman"/>
          <w:color w:val="auto"/>
          <w:highlight w:val="none"/>
          <w:lang w:eastAsia="zh-CN"/>
        </w:rPr>
        <w:t> </w:t>
      </w:r>
    </w:p>
    <w:p w14:paraId="601239EB">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r>
        <w:rPr>
          <w:rFonts w:ascii="Times New Roman" w:hAnsi="Times New Roman" w:eastAsia="Times New Roman" w:cs="Times New Roman"/>
          <w:color w:val="auto"/>
          <w:highlight w:val="none"/>
          <w:lang w:eastAsia="zh-CN"/>
        </w:rPr>
        <w:t> </w:t>
      </w:r>
    </w:p>
    <w:p w14:paraId="3288B222">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r>
        <w:rPr>
          <w:rFonts w:ascii="Times New Roman" w:hAnsi="Times New Roman" w:eastAsia="Times New Roman" w:cs="Times New Roman"/>
          <w:color w:val="auto"/>
          <w:highlight w:val="none"/>
          <w:lang w:eastAsia="zh-CN"/>
        </w:rPr>
        <w:t> </w:t>
      </w:r>
    </w:p>
    <w:p w14:paraId="1049EC1B">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r>
        <w:rPr>
          <w:rFonts w:ascii="Times New Roman" w:hAnsi="Times New Roman" w:eastAsia="Times New Roman" w:cs="Times New Roman"/>
          <w:color w:val="auto"/>
          <w:highlight w:val="none"/>
          <w:lang w:eastAsia="zh-CN"/>
        </w:rPr>
        <w:t> </w:t>
      </w:r>
    </w:p>
    <w:p w14:paraId="48F30F62">
      <w:pPr>
        <w:pBdr>
          <w:top w:val="none" w:color="000000" w:sz="0" w:space="0"/>
          <w:left w:val="none" w:color="000000" w:sz="0" w:space="0"/>
          <w:bottom w:val="none" w:color="000000" w:sz="0" w:space="0"/>
          <w:right w:val="none" w:color="000000" w:sz="0" w:space="0"/>
        </w:pBdr>
        <w:spacing w:after="0"/>
        <w:ind w:firstLine="420"/>
        <w:jc w:val="both"/>
        <w:rPr>
          <w:rFonts w:ascii="Times New Roman" w:hAnsi="Times New Roman" w:eastAsia="Times New Roman" w:cs="Times New Roman"/>
          <w:color w:val="auto"/>
          <w:highlight w:val="none"/>
          <w:lang w:eastAsia="zh-CN"/>
        </w:rPr>
      </w:pPr>
      <w:r>
        <w:rPr>
          <w:rFonts w:ascii="Times New Roman" w:hAnsi="Times New Roman" w:eastAsia="Times New Roman" w:cs="Times New Roman"/>
          <w:color w:val="auto"/>
          <w:highlight w:val="none"/>
          <w:lang w:eastAsia="zh-CN"/>
        </w:rPr>
        <w:t> </w:t>
      </w:r>
    </w:p>
    <w:p w14:paraId="62D4BD2F">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p>
    <w:p w14:paraId="04A9E98E">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p>
    <w:p w14:paraId="46908245">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p>
    <w:p w14:paraId="5919ACED">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p>
    <w:p w14:paraId="3833D711">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p>
    <w:p w14:paraId="28A4EA78">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p>
    <w:p w14:paraId="1A067A09">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p>
    <w:p w14:paraId="019AE6DF">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宋体" w:hAnsi="宋体" w:eastAsia="宋体" w:cs="宋体"/>
          <w:color w:val="auto"/>
          <w:highlight w:val="none"/>
          <w:lang w:eastAsia="zh-CN"/>
        </w:rPr>
        <w:t> </w:t>
      </w:r>
    </w:p>
    <w:p w14:paraId="04DD55C3">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宋体" w:hAnsi="宋体" w:eastAsia="宋体" w:cs="宋体"/>
          <w:color w:val="auto"/>
          <w:highlight w:val="none"/>
          <w:lang w:eastAsia="zh-CN"/>
        </w:rPr>
        <w:t> </w:t>
      </w:r>
    </w:p>
    <w:p w14:paraId="265FE501">
      <w:pPr>
        <w:pStyle w:val="2"/>
        <w:pBdr>
          <w:top w:val="none" w:color="000000" w:sz="0" w:space="0"/>
          <w:left w:val="none" w:color="000000" w:sz="0" w:space="0"/>
          <w:bottom w:val="none" w:color="000000" w:sz="0" w:space="0"/>
          <w:right w:val="none" w:color="000000" w:sz="0" w:space="0"/>
        </w:pBdr>
        <w:spacing w:before="0" w:after="0" w:line="85" w:lineRule="atLeast"/>
        <w:jc w:val="center"/>
        <w:rPr>
          <w:color w:val="auto"/>
          <w:highlight w:val="none"/>
          <w:lang w:eastAsia="zh-CN"/>
        </w:rPr>
      </w:pPr>
      <w:r>
        <w:rPr>
          <w:rFonts w:ascii="仿宋" w:hAnsi="仿宋" w:eastAsia="仿宋" w:cs="仿宋"/>
          <w:color w:val="auto"/>
          <w:sz w:val="36"/>
          <w:highlight w:val="none"/>
          <w:lang w:eastAsia="zh-CN"/>
        </w:rPr>
        <w:t>合同条款及格式</w:t>
      </w:r>
      <w:r>
        <w:rPr>
          <w:rFonts w:ascii="Calibri" w:hAnsi="Calibri" w:eastAsia="Calibri" w:cs="Calibri"/>
          <w:b/>
          <w:color w:val="auto"/>
          <w:sz w:val="24"/>
          <w:highlight w:val="none"/>
          <w:lang w:eastAsia="zh-CN"/>
        </w:rPr>
        <w:t xml:space="preserve"> </w:t>
      </w:r>
    </w:p>
    <w:p w14:paraId="6D508E2B">
      <w:pPr>
        <w:spacing w:line="360" w:lineRule="auto"/>
        <w:jc w:val="center"/>
        <w:rPr>
          <w:rFonts w:hint="eastAsia" w:ascii="仿宋" w:hAnsi="仿宋" w:eastAsia="仿宋"/>
          <w:b/>
          <w:color w:val="auto"/>
          <w:sz w:val="32"/>
          <w:szCs w:val="32"/>
          <w:highlight w:val="none"/>
          <w:lang w:eastAsia="zh-CN"/>
        </w:rPr>
      </w:pPr>
    </w:p>
    <w:p w14:paraId="54CDDB3F">
      <w:pPr>
        <w:spacing w:line="360" w:lineRule="auto"/>
        <w:jc w:val="center"/>
        <w:rPr>
          <w:rFonts w:hint="eastAsia" w:ascii="仿宋" w:hAnsi="仿宋" w:eastAsia="仿宋"/>
          <w:b/>
          <w:color w:val="auto"/>
          <w:sz w:val="32"/>
          <w:szCs w:val="32"/>
          <w:highlight w:val="none"/>
          <w:lang w:eastAsia="zh-CN"/>
        </w:rPr>
      </w:pPr>
      <w:r>
        <w:rPr>
          <w:rFonts w:ascii="仿宋" w:hAnsi="仿宋" w:eastAsia="仿宋"/>
          <w:b/>
          <w:color w:val="auto"/>
          <w:sz w:val="32"/>
          <w:szCs w:val="32"/>
          <w:highlight w:val="none"/>
          <w:lang w:eastAsia="zh-CN"/>
        </w:rPr>
        <w:t>政府采购合同</w:t>
      </w:r>
    </w:p>
    <w:p w14:paraId="0DB15196">
      <w:pPr>
        <w:keepNext w:val="0"/>
        <w:keepLines w:val="0"/>
        <w:pageBreakBefore w:val="0"/>
        <w:widowControl w:val="0"/>
        <w:kinsoku/>
        <w:wordWrap/>
        <w:overflowPunct/>
        <w:topLinePunct w:val="0"/>
        <w:autoSpaceDE/>
        <w:autoSpaceDN/>
        <w:bidi w:val="0"/>
        <w:adjustRightInd/>
        <w:snapToGrid/>
        <w:spacing w:before="237" w:line="360" w:lineRule="auto"/>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采</w:t>
      </w:r>
      <w:r>
        <w:rPr>
          <w:rFonts w:hint="eastAsia" w:ascii="仿宋_GB2312" w:hAnsi="仿宋_GB2312" w:eastAsia="仿宋_GB2312" w:cs="仿宋_GB2312"/>
          <w:color w:val="auto"/>
          <w:spacing w:val="3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购</w:t>
      </w:r>
      <w:r>
        <w:rPr>
          <w:rFonts w:hint="eastAsia" w:ascii="仿宋_GB2312" w:hAnsi="仿宋_GB2312" w:eastAsia="仿宋_GB2312" w:cs="仿宋_GB2312"/>
          <w:color w:val="auto"/>
          <w:spacing w:val="3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单</w:t>
      </w:r>
      <w:r>
        <w:rPr>
          <w:rFonts w:hint="eastAsia" w:ascii="仿宋_GB2312" w:hAnsi="仿宋_GB2312" w:eastAsia="仿宋_GB2312" w:cs="仿宋_GB2312"/>
          <w:color w:val="auto"/>
          <w:spacing w:val="31"/>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位（或称甲方）：</w:t>
      </w:r>
    </w:p>
    <w:p w14:paraId="7F37BE63">
      <w:pPr>
        <w:keepNext w:val="0"/>
        <w:keepLines w:val="0"/>
        <w:pageBreakBefore w:val="0"/>
        <w:widowControl w:val="0"/>
        <w:kinsoku/>
        <w:wordWrap/>
        <w:overflowPunct/>
        <w:topLinePunct w:val="0"/>
        <w:autoSpaceDE/>
        <w:autoSpaceDN/>
        <w:bidi w:val="0"/>
        <w:adjustRightInd/>
        <w:snapToGrid/>
        <w:spacing w:before="218" w:line="360" w:lineRule="auto"/>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成交供应商（或称乙方）：</w:t>
      </w:r>
    </w:p>
    <w:p w14:paraId="60AA48D4">
      <w:pPr>
        <w:keepNext w:val="0"/>
        <w:keepLines w:val="0"/>
        <w:pageBreakBefore w:val="0"/>
        <w:widowControl w:val="0"/>
        <w:kinsoku/>
        <w:wordWrap/>
        <w:overflowPunct/>
        <w:topLinePunct w:val="0"/>
        <w:autoSpaceDE/>
        <w:autoSpaceDN/>
        <w:bidi w:val="0"/>
        <w:adjustRightInd/>
        <w:snapToGrid/>
        <w:spacing w:before="218" w:line="360" w:lineRule="auto"/>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签订时间：</w:t>
      </w:r>
      <w:r>
        <w:rPr>
          <w:rFonts w:hint="eastAsia" w:ascii="仿宋_GB2312" w:hAnsi="仿宋_GB2312" w:eastAsia="仿宋_GB2312" w:cs="仿宋_GB2312"/>
          <w:color w:val="auto"/>
          <w:spacing w:val="540"/>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年</w:t>
      </w:r>
      <w:r>
        <w:rPr>
          <w:rFonts w:hint="eastAsia" w:ascii="仿宋_GB2312" w:hAnsi="仿宋_GB2312" w:eastAsia="仿宋_GB2312" w:cs="仿宋_GB2312"/>
          <w:color w:val="auto"/>
          <w:spacing w:val="30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月</w:t>
      </w:r>
      <w:r>
        <w:rPr>
          <w:rFonts w:hint="eastAsia" w:ascii="仿宋_GB2312" w:hAnsi="仿宋_GB2312" w:eastAsia="仿宋_GB2312" w:cs="仿宋_GB2312"/>
          <w:color w:val="auto"/>
          <w:spacing w:val="300"/>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日</w:t>
      </w:r>
    </w:p>
    <w:p w14:paraId="1E7913C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根据《政府采购法》、《合同法》及</w:t>
      </w:r>
      <w:r>
        <w:rPr>
          <w:rFonts w:hint="eastAsia" w:ascii="仿宋_GB2312" w:hAnsi="仿宋_GB2312" w:eastAsia="仿宋_GB2312" w:cs="仿宋_GB2312"/>
          <w:color w:val="auto"/>
          <w:spacing w:val="30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年</w:t>
      </w:r>
      <w:r>
        <w:rPr>
          <w:rFonts w:hint="eastAsia" w:ascii="仿宋_GB2312" w:hAnsi="仿宋_GB2312" w:eastAsia="仿宋_GB2312" w:cs="仿宋_GB2312"/>
          <w:color w:val="auto"/>
          <w:spacing w:val="300"/>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月</w:t>
      </w:r>
      <w:r>
        <w:rPr>
          <w:rFonts w:hint="eastAsia" w:ascii="仿宋_GB2312" w:hAnsi="仿宋_GB2312" w:eastAsia="仿宋_GB2312" w:cs="仿宋_GB2312"/>
          <w:color w:val="auto"/>
          <w:spacing w:val="300"/>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日（项目名称）采购项目(采购编号：</w:t>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val="en-US" w:eastAsia="en-US" w:bidi="ar-SA"/>
        </w:rPr>
        <w:t>)</w:t>
      </w:r>
      <w:r>
        <w:rPr>
          <w:rFonts w:hint="eastAsia" w:ascii="仿宋_GB2312" w:hAnsi="仿宋_GB2312" w:eastAsia="仿宋_GB2312" w:cs="仿宋_GB2312"/>
          <w:color w:val="auto"/>
          <w:spacing w:val="-3"/>
          <w:sz w:val="24"/>
          <w:szCs w:val="24"/>
          <w:highlight w:val="none"/>
          <w:lang w:val="en-US" w:eastAsia="en-US" w:bidi="ar-SA"/>
        </w:rPr>
        <w:t>的采购结果、采购文件及投标文件，甲乙双方</w:t>
      </w:r>
      <w:r>
        <w:rPr>
          <w:rFonts w:hint="eastAsia" w:ascii="仿宋_GB2312" w:hAnsi="仿宋_GB2312" w:eastAsia="仿宋_GB2312" w:cs="仿宋_GB2312"/>
          <w:color w:val="auto"/>
          <w:sz w:val="24"/>
          <w:szCs w:val="24"/>
          <w:highlight w:val="none"/>
          <w:lang w:val="en-US" w:eastAsia="en-US" w:bidi="ar-SA"/>
        </w:rPr>
        <w:t>就此次采购项目及相关问题，同意按下列条款规定执行。</w:t>
      </w:r>
    </w:p>
    <w:p w14:paraId="7B507F82">
      <w:pPr>
        <w:spacing w:before="274" w:line="291" w:lineRule="exact"/>
        <w:ind w:left="2437"/>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第一条</w:t>
      </w:r>
      <w:r>
        <w:rPr>
          <w:rFonts w:hint="eastAsia" w:ascii="仿宋_GB2312" w:hAnsi="仿宋_GB2312" w:eastAsia="仿宋_GB2312" w:cs="仿宋_GB2312"/>
          <w:color w:val="auto"/>
          <w:spacing w:val="213"/>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组成本合同的有关文件</w:t>
      </w:r>
    </w:p>
    <w:p w14:paraId="2C91B811">
      <w:pPr>
        <w:keepNext w:val="0"/>
        <w:keepLines w:val="0"/>
        <w:pageBreakBefore w:val="0"/>
        <w:widowControl w:val="0"/>
        <w:kinsoku/>
        <w:wordWrap/>
        <w:overflowPunct/>
        <w:topLinePunct w:val="0"/>
        <w:autoSpaceDE/>
        <w:autoSpaceDN/>
        <w:bidi w:val="0"/>
        <w:adjustRightInd/>
        <w:snapToGrid/>
        <w:spacing w:line="360" w:lineRule="auto"/>
        <w:ind w:left="0" w:firstLine="484"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关于此项目的采购文件及投标文件、合同条款及成交通知书，乙方在投标、</w:t>
      </w:r>
      <w:r>
        <w:rPr>
          <w:rFonts w:hint="eastAsia" w:ascii="仿宋_GB2312" w:hAnsi="仿宋_GB2312" w:eastAsia="仿宋_GB2312" w:cs="仿宋_GB2312"/>
          <w:color w:val="auto"/>
          <w:spacing w:val="-3"/>
          <w:sz w:val="24"/>
          <w:szCs w:val="24"/>
          <w:highlight w:val="none"/>
          <w:lang w:val="en-US" w:eastAsia="en-US" w:bidi="ar-SA"/>
        </w:rPr>
        <w:t>评标过程中所作其它有关承诺、声明、书面澄清等均为合同不可分割的部分，与</w:t>
      </w:r>
      <w:r>
        <w:rPr>
          <w:rFonts w:hint="eastAsia" w:ascii="仿宋_GB2312" w:hAnsi="仿宋_GB2312" w:eastAsia="仿宋_GB2312" w:cs="仿宋_GB2312"/>
          <w:color w:val="auto"/>
          <w:sz w:val="24"/>
          <w:szCs w:val="24"/>
          <w:highlight w:val="none"/>
          <w:lang w:val="en-US" w:eastAsia="en-US" w:bidi="ar-SA"/>
        </w:rPr>
        <w:t>主合同具有同等法律效力。</w:t>
      </w:r>
    </w:p>
    <w:p w14:paraId="60F1E152">
      <w:pPr>
        <w:spacing w:before="274" w:line="291" w:lineRule="exact"/>
        <w:ind w:left="2955"/>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第二条</w:t>
      </w:r>
      <w:r>
        <w:rPr>
          <w:rFonts w:hint="eastAsia" w:ascii="仿宋_GB2312" w:hAnsi="仿宋_GB2312" w:eastAsia="仿宋_GB2312" w:cs="仿宋_GB2312"/>
          <w:color w:val="auto"/>
          <w:spacing w:val="213"/>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项目概况</w:t>
      </w:r>
    </w:p>
    <w:p w14:paraId="1B206747">
      <w:pPr>
        <w:keepNext w:val="0"/>
        <w:keepLines w:val="0"/>
        <w:pageBreakBefore w:val="0"/>
        <w:kinsoku/>
        <w:wordWrap/>
        <w:overflowPunct/>
        <w:topLinePunct w:val="0"/>
        <w:autoSpaceDE/>
        <w:autoSpaceDN/>
        <w:bidi w:val="0"/>
        <w:adjustRightInd/>
        <w:snapToGrid/>
        <w:spacing w:line="360" w:lineRule="auto"/>
        <w:ind w:left="0" w:firstLine="48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、服务对象</w:t>
      </w:r>
    </w:p>
    <w:p w14:paraId="7EC7759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年满</w:t>
      </w:r>
      <w:r>
        <w:rPr>
          <w:rFonts w:hint="eastAsia" w:ascii="仿宋_GB2312" w:hAnsi="仿宋_GB2312" w:eastAsia="仿宋_GB2312" w:cs="仿宋_GB2312"/>
          <w:color w:val="auto"/>
          <w:spacing w:val="12"/>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60</w:t>
      </w:r>
      <w:r>
        <w:rPr>
          <w:rFonts w:hint="eastAsia" w:ascii="仿宋_GB2312" w:hAnsi="仿宋_GB2312" w:eastAsia="仿宋_GB2312" w:cs="仿宋_GB2312"/>
          <w:color w:val="auto"/>
          <w:spacing w:val="-48"/>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周岁、户籍在</w:t>
      </w:r>
      <w:r>
        <w:rPr>
          <w:rFonts w:hint="eastAsia" w:ascii="仿宋_GB2312" w:hAnsi="仿宋_GB2312" w:eastAsia="仿宋_GB2312" w:cs="仿宋_GB2312"/>
          <w:color w:val="auto"/>
          <w:sz w:val="24"/>
          <w:szCs w:val="24"/>
          <w:highlight w:val="none"/>
          <w:lang w:val="en-US" w:eastAsia="zh-CN" w:bidi="ar-SA"/>
        </w:rPr>
        <w:t>中兴</w:t>
      </w:r>
      <w:r>
        <w:rPr>
          <w:rFonts w:hint="eastAsia" w:ascii="仿宋_GB2312" w:hAnsi="仿宋_GB2312" w:eastAsia="仿宋_GB2312" w:cs="仿宋_GB2312"/>
          <w:color w:val="auto"/>
          <w:sz w:val="24"/>
          <w:szCs w:val="24"/>
          <w:highlight w:val="none"/>
          <w:lang w:val="en-US" w:eastAsia="en-US" w:bidi="ar-SA"/>
        </w:rPr>
        <w:t>街道，经审批符合政府购买服务条件的老年人，包括：</w:t>
      </w:r>
      <w:r>
        <w:rPr>
          <w:rFonts w:hint="eastAsia" w:ascii="仿宋_GB2312" w:hAnsi="仿宋_GB2312" w:eastAsia="仿宋_GB2312" w:cs="仿宋_GB2312"/>
          <w:color w:val="auto"/>
          <w:spacing w:val="34"/>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1、分散供养的城镇“三无”老人，人数为 0人；</w:t>
      </w:r>
    </w:p>
    <w:p w14:paraId="07F38B29">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2、分散供养的农村“五保”老人，人数为 0人；</w:t>
      </w:r>
    </w:p>
    <w:p w14:paraId="4BCF4DA6">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3、低保家庭 60周岁以上老人，人数为 1人；</w:t>
      </w:r>
    </w:p>
    <w:p w14:paraId="42294111">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4、低收入家庭 60周岁以上老人，人数为 1人；</w:t>
      </w:r>
    </w:p>
    <w:p w14:paraId="46B340E2">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5、60周岁以上重点优抚对象，人数为28人；</w:t>
      </w:r>
    </w:p>
    <w:p w14:paraId="5C921E00">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6、75 周岁以上无子女家庭的老人，人数为 11 人；</w:t>
      </w:r>
    </w:p>
    <w:p w14:paraId="6618C35D">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7、80 周岁以上重度失能老人，人数为 8人；</w:t>
      </w:r>
    </w:p>
    <w:p w14:paraId="49943ED6">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8、90周岁以上老人，人数为 153人；</w:t>
      </w:r>
    </w:p>
    <w:p w14:paraId="722221B2">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en-US" w:bidi="ar-SA"/>
        </w:rPr>
        <w:t>9、80-89周岁老人，人数为 812人</w:t>
      </w:r>
      <w:r>
        <w:rPr>
          <w:rFonts w:hint="eastAsia" w:ascii="仿宋_GB2312" w:hAnsi="仿宋_GB2312" w:eastAsia="仿宋_GB2312" w:cs="仿宋_GB2312"/>
          <w:color w:val="auto"/>
          <w:sz w:val="24"/>
          <w:szCs w:val="24"/>
          <w:highlight w:val="none"/>
          <w:lang w:val="en-US" w:eastAsia="zh-CN" w:bidi="ar-SA"/>
        </w:rPr>
        <w:t>。</w:t>
      </w:r>
    </w:p>
    <w:p w14:paraId="4FAA8D18">
      <w:pPr>
        <w:keepNext w:val="0"/>
        <w:keepLines w:val="0"/>
        <w:pageBreakBefore w:val="0"/>
        <w:kinsoku/>
        <w:wordWrap/>
        <w:overflowPunct/>
        <w:topLinePunct w:val="0"/>
        <w:autoSpaceDE/>
        <w:autoSpaceDN/>
        <w:bidi w:val="0"/>
        <w:adjustRightInd/>
        <w:snapToGrid/>
        <w:spacing w:line="360" w:lineRule="auto"/>
        <w:ind w:left="0" w:firstLine="468" w:firstLineChars="200"/>
        <w:jc w:val="left"/>
        <w:rPr>
          <w:rFonts w:hint="eastAsia" w:ascii="仿宋_GB2312" w:hAnsi="仿宋_GB2312" w:eastAsia="仿宋_GB2312" w:cs="仿宋_GB2312"/>
          <w:color w:val="auto"/>
          <w:spacing w:val="2"/>
          <w:sz w:val="24"/>
          <w:szCs w:val="24"/>
          <w:highlight w:val="none"/>
          <w:lang w:val="en-US" w:eastAsia="en-US" w:bidi="ar-SA"/>
        </w:rPr>
      </w:pPr>
      <w:r>
        <w:rPr>
          <w:rFonts w:hint="eastAsia" w:ascii="仿宋_GB2312" w:hAnsi="仿宋_GB2312" w:eastAsia="仿宋_GB2312" w:cs="仿宋_GB2312"/>
          <w:color w:val="auto"/>
          <w:spacing w:val="-3"/>
          <w:sz w:val="24"/>
          <w:szCs w:val="24"/>
          <w:highlight w:val="none"/>
          <w:lang w:val="en-US" w:eastAsia="en-US" w:bidi="ar-SA"/>
        </w:rPr>
        <w:t>服务对象享受补贴的标准按照《南通经济开发区居家和社区养老政府购买服</w:t>
      </w:r>
      <w:r>
        <w:rPr>
          <w:rFonts w:hint="eastAsia" w:ascii="仿宋_GB2312" w:hAnsi="仿宋_GB2312" w:eastAsia="仿宋_GB2312" w:cs="仿宋_GB2312"/>
          <w:color w:val="auto"/>
          <w:spacing w:val="1"/>
          <w:sz w:val="24"/>
          <w:szCs w:val="24"/>
          <w:highlight w:val="none"/>
          <w:lang w:val="en-US" w:eastAsia="en-US" w:bidi="ar-SA"/>
        </w:rPr>
        <w:t>务补贴办法》（通开发民政</w:t>
      </w:r>
      <w:r>
        <w:rPr>
          <w:rFonts w:hint="eastAsia" w:ascii="仿宋_GB2312" w:hAnsi="仿宋_GB2312" w:eastAsia="仿宋_GB2312" w:cs="仿宋_GB2312"/>
          <w:color w:val="auto"/>
          <w:sz w:val="24"/>
          <w:szCs w:val="24"/>
          <w:highlight w:val="none"/>
          <w:lang w:val="en-US" w:eastAsia="en-US" w:bidi="ar-SA"/>
        </w:rPr>
        <w:t>[2019]18</w:t>
      </w:r>
      <w:r>
        <w:rPr>
          <w:rFonts w:hint="eastAsia" w:ascii="仿宋_GB2312" w:hAnsi="仿宋_GB2312" w:eastAsia="仿宋_GB2312" w:cs="仿宋_GB2312"/>
          <w:color w:val="auto"/>
          <w:spacing w:val="2"/>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号）执行，根据居家养老服务老人实际消</w:t>
      </w:r>
      <w:r>
        <w:rPr>
          <w:rFonts w:hint="eastAsia" w:ascii="仿宋_GB2312" w:hAnsi="仿宋_GB2312" w:eastAsia="仿宋_GB2312" w:cs="仿宋_GB2312"/>
          <w:color w:val="auto"/>
          <w:spacing w:val="-3"/>
          <w:sz w:val="24"/>
          <w:szCs w:val="24"/>
          <w:highlight w:val="none"/>
          <w:lang w:val="en-US" w:eastAsia="en-US" w:bidi="ar-SA"/>
        </w:rPr>
        <w:t>费额度进行兑付。养老服务额度仅限用于老人兑换养老服务，限定当季使用，当</w:t>
      </w:r>
      <w:r>
        <w:rPr>
          <w:rFonts w:hint="eastAsia" w:ascii="仿宋_GB2312" w:hAnsi="仿宋_GB2312" w:eastAsia="仿宋_GB2312" w:cs="仿宋_GB2312"/>
          <w:color w:val="auto"/>
          <w:sz w:val="24"/>
          <w:szCs w:val="24"/>
          <w:highlight w:val="none"/>
          <w:lang w:val="en-US" w:eastAsia="en-US" w:bidi="ar-SA"/>
        </w:rPr>
        <w:t>季结清，不得跨季使用。</w:t>
      </w:r>
      <w:r>
        <w:rPr>
          <w:rFonts w:hint="eastAsia" w:ascii="仿宋_GB2312" w:hAnsi="仿宋_GB2312" w:eastAsia="仿宋_GB2312" w:cs="仿宋_GB2312"/>
          <w:color w:val="auto"/>
          <w:spacing w:val="-3"/>
          <w:sz w:val="24"/>
          <w:szCs w:val="24"/>
          <w:highlight w:val="none"/>
          <w:lang w:val="en-US" w:eastAsia="en-US" w:bidi="ar-SA"/>
        </w:rPr>
        <w:t>服务项目的收费标准不得超过《南通市居家和社区养老服务项目清单》（通</w:t>
      </w:r>
      <w:r>
        <w:rPr>
          <w:rFonts w:hint="eastAsia" w:ascii="仿宋_GB2312" w:hAnsi="仿宋_GB2312" w:eastAsia="仿宋_GB2312" w:cs="仿宋_GB2312"/>
          <w:color w:val="auto"/>
          <w:sz w:val="24"/>
          <w:szCs w:val="24"/>
          <w:highlight w:val="none"/>
          <w:lang w:val="en-US" w:eastAsia="en-US" w:bidi="ar-SA"/>
        </w:rPr>
        <w:t>民发[2018]94号）的标准。</w:t>
      </w:r>
    </w:p>
    <w:p w14:paraId="4338A514">
      <w:pPr>
        <w:keepNext w:val="0"/>
        <w:keepLines w:val="0"/>
        <w:pageBreakBefore w:val="0"/>
        <w:numPr>
          <w:ilvl w:val="0"/>
          <w:numId w:val="5"/>
        </w:numPr>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pacing w:val="1"/>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服务场所</w:t>
      </w:r>
    </w:p>
    <w:p w14:paraId="761351D4">
      <w:pPr>
        <w:keepNext w:val="0"/>
        <w:keepLines w:val="0"/>
        <w:pageBreakBefore w:val="0"/>
        <w:numPr>
          <w:ilvl w:val="0"/>
          <w:numId w:val="0"/>
        </w:numPr>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pacing w:val="1"/>
          <w:sz w:val="24"/>
          <w:szCs w:val="24"/>
          <w:highlight w:val="none"/>
          <w:lang w:val="en-US" w:eastAsia="zh-CN" w:bidi="ar-SA"/>
        </w:rPr>
      </w:pPr>
      <w:r>
        <w:rPr>
          <w:rFonts w:hint="eastAsia" w:ascii="仿宋_GB2312" w:hAnsi="仿宋_GB2312" w:eastAsia="仿宋_GB2312" w:cs="仿宋_GB2312"/>
          <w:color w:val="auto"/>
          <w:spacing w:val="1"/>
          <w:sz w:val="24"/>
          <w:szCs w:val="24"/>
          <w:highlight w:val="none"/>
          <w:lang w:val="en-US" w:eastAsia="zh-CN" w:bidi="ar-SA"/>
        </w:rPr>
        <w:t xml:space="preserve">   </w:t>
      </w:r>
    </w:p>
    <w:tbl>
      <w:tblPr>
        <w:tblStyle w:val="36"/>
        <w:tblW w:w="922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36"/>
        <w:gridCol w:w="3001"/>
        <w:gridCol w:w="2686"/>
      </w:tblGrid>
      <w:tr w14:paraId="7050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36" w:type="dxa"/>
            <w:tcBorders>
              <w:top w:val="single" w:color="000000" w:sz="4" w:space="0"/>
              <w:left w:val="single" w:color="000000" w:sz="4" w:space="0"/>
              <w:bottom w:val="single" w:color="000000" w:sz="4" w:space="0"/>
              <w:right w:val="single" w:color="000000" w:sz="4" w:space="0"/>
            </w:tcBorders>
            <w:noWrap/>
            <w:vAlign w:val="center"/>
          </w:tcPr>
          <w:p w14:paraId="4445A680">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名称</w:t>
            </w:r>
          </w:p>
        </w:tc>
        <w:tc>
          <w:tcPr>
            <w:tcW w:w="3001" w:type="dxa"/>
            <w:tcBorders>
              <w:top w:val="single" w:color="000000" w:sz="4" w:space="0"/>
              <w:left w:val="single" w:color="000000" w:sz="4" w:space="0"/>
              <w:bottom w:val="single" w:color="000000" w:sz="4" w:space="0"/>
              <w:right w:val="single" w:color="000000" w:sz="4" w:space="0"/>
            </w:tcBorders>
            <w:noWrap/>
            <w:vAlign w:val="center"/>
          </w:tcPr>
          <w:p w14:paraId="08822AB3">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地址</w:t>
            </w: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70E8BA45">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面积（㎡）</w:t>
            </w:r>
          </w:p>
        </w:tc>
      </w:tr>
      <w:tr w14:paraId="38BF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310302">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富民社区居家养老服务站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7B466A">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富民港路28号</w:t>
            </w: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35416978">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1800</w:t>
            </w:r>
          </w:p>
        </w:tc>
      </w:tr>
      <w:tr w14:paraId="3DE6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B43498">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富新社区居家养老服务站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83A107">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富新园</w:t>
            </w: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68147303">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r>
      <w:tr w14:paraId="4603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638254">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民主港社区居家养老服务站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56B5CC">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星通花园18栋</w:t>
            </w: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19452734">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r>
      <w:tr w14:paraId="0E83C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AD7977">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东篱社区居家养老服务站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E13B81">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常青路10号</w:t>
            </w: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72D7C11B">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r>
      <w:tr w14:paraId="0473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CDA9BC">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望江社区居家养老服务站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A9E136">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顺发御园63栋</w:t>
            </w: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5F613D81">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r>
      <w:tr w14:paraId="02C0A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C64C3D4">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星湖社区居家养老服务站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C5178C">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星湖花园90栋</w:t>
            </w: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4D6AC91D">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r>
      <w:tr w14:paraId="2E0F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E357C4">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永兴社区居家养老服务站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F7EEC2">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人和家园上海路33号</w:t>
            </w: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71D2F702">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_GB2312" w:hAnsi="仿宋_GB2312" w:eastAsia="仿宋_GB2312" w:cs="仿宋_GB2312"/>
                <w:i w:val="0"/>
                <w:iCs w:val="0"/>
                <w:color w:val="auto"/>
                <w:sz w:val="24"/>
                <w:szCs w:val="24"/>
                <w:highlight w:val="none"/>
                <w:u w:val="none"/>
              </w:rPr>
            </w:pPr>
          </w:p>
        </w:tc>
      </w:tr>
    </w:tbl>
    <w:p w14:paraId="1D35BCDD">
      <w:pPr>
        <w:keepNext w:val="0"/>
        <w:keepLines w:val="0"/>
        <w:pageBreakBefore w:val="0"/>
        <w:numPr>
          <w:ilvl w:val="0"/>
          <w:numId w:val="0"/>
        </w:numPr>
        <w:kinsoku/>
        <w:wordWrap/>
        <w:overflowPunct/>
        <w:topLinePunct w:val="0"/>
        <w:autoSpaceDE/>
        <w:autoSpaceDN/>
        <w:bidi w:val="0"/>
        <w:adjustRightInd/>
        <w:snapToGrid/>
        <w:spacing w:line="360" w:lineRule="auto"/>
        <w:ind w:left="0" w:firstLine="484" w:firstLineChars="200"/>
        <w:jc w:val="left"/>
        <w:rPr>
          <w:rFonts w:hint="eastAsia" w:ascii="仿宋_GB2312" w:hAnsi="仿宋_GB2312" w:eastAsia="仿宋_GB2312" w:cs="仿宋_GB2312"/>
          <w:color w:val="auto"/>
          <w:spacing w:val="1"/>
          <w:sz w:val="24"/>
          <w:szCs w:val="24"/>
          <w:highlight w:val="none"/>
          <w:lang w:val="en-US" w:eastAsia="zh-CN" w:bidi="ar-SA"/>
        </w:rPr>
      </w:pPr>
    </w:p>
    <w:p w14:paraId="4FB2FE2A">
      <w:pPr>
        <w:keepNext w:val="0"/>
        <w:keepLines w:val="0"/>
        <w:pageBreakBefore w:val="0"/>
        <w:kinsoku/>
        <w:wordWrap/>
        <w:overflowPunct/>
        <w:topLinePunct w:val="0"/>
        <w:autoSpaceDE/>
        <w:autoSpaceDN/>
        <w:bidi w:val="0"/>
        <w:adjustRightInd/>
        <w:snapToGrid/>
        <w:spacing w:line="360" w:lineRule="auto"/>
        <w:ind w:left="0" w:firstLine="48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3</w:t>
      </w:r>
      <w:r>
        <w:rPr>
          <w:rFonts w:hint="eastAsia" w:ascii="仿宋_GB2312" w:hAnsi="仿宋_GB2312" w:eastAsia="仿宋_GB2312" w:cs="仿宋_GB2312"/>
          <w:color w:val="auto"/>
          <w:spacing w:val="1"/>
          <w:sz w:val="24"/>
          <w:szCs w:val="24"/>
          <w:highlight w:val="none"/>
          <w:lang w:val="en-US" w:eastAsia="en-US" w:bidi="ar-SA"/>
        </w:rPr>
        <w:t>、项目概算：政府购买服务补贴额度</w:t>
      </w:r>
      <w:r>
        <w:rPr>
          <w:rFonts w:hint="eastAsia" w:ascii="仿宋_GB2312" w:hAnsi="仿宋_GB2312" w:eastAsia="仿宋_GB2312" w:cs="仿宋_GB2312"/>
          <w:color w:val="auto"/>
          <w:spacing w:val="6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zh-CN" w:bidi="ar-SA"/>
        </w:rPr>
        <w:t>9</w:t>
      </w:r>
      <w:r>
        <w:rPr>
          <w:rFonts w:hint="eastAsia" w:ascii="仿宋_GB2312" w:hAnsi="仿宋_GB2312" w:eastAsia="仿宋_GB2312" w:cs="仿宋_GB2312"/>
          <w:color w:val="auto"/>
          <w:sz w:val="24"/>
          <w:szCs w:val="24"/>
          <w:highlight w:val="none"/>
          <w:lang w:val="en-US" w:eastAsia="en-US" w:bidi="ar-SA"/>
        </w:rPr>
        <w:t>0</w:t>
      </w:r>
      <w:r>
        <w:rPr>
          <w:rFonts w:hint="eastAsia" w:ascii="仿宋_GB2312" w:hAnsi="仿宋_GB2312" w:eastAsia="仿宋_GB2312" w:cs="仿宋_GB2312"/>
          <w:color w:val="auto"/>
          <w:spacing w:val="-2"/>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万元，以实际发生为准，残疾人</w:t>
      </w:r>
      <w:r>
        <w:rPr>
          <w:rFonts w:hint="eastAsia" w:ascii="仿宋_GB2312" w:hAnsi="仿宋_GB2312" w:eastAsia="仿宋_GB2312" w:cs="仿宋_GB2312"/>
          <w:color w:val="auto"/>
          <w:spacing w:val="2"/>
          <w:sz w:val="24"/>
          <w:szCs w:val="24"/>
          <w:highlight w:val="none"/>
          <w:lang w:val="en-US" w:eastAsia="en-US" w:bidi="ar-SA"/>
        </w:rPr>
        <w:t>之家</w:t>
      </w:r>
      <w:r>
        <w:rPr>
          <w:rFonts w:hint="eastAsia" w:ascii="仿宋_GB2312" w:hAnsi="仿宋_GB2312" w:eastAsia="仿宋_GB2312" w:cs="仿宋_GB2312"/>
          <w:color w:val="auto"/>
          <w:spacing w:val="-2"/>
          <w:sz w:val="24"/>
          <w:szCs w:val="24"/>
          <w:highlight w:val="none"/>
          <w:lang w:val="en-US" w:eastAsia="en-US" w:bidi="ar-SA"/>
        </w:rPr>
        <w:t xml:space="preserve"> </w:t>
      </w:r>
      <w:r>
        <w:rPr>
          <w:rFonts w:hint="eastAsia" w:ascii="仿宋_GB2312" w:hAnsi="仿宋_GB2312" w:eastAsia="仿宋_GB2312" w:cs="仿宋_GB2312"/>
          <w:color w:val="auto"/>
          <w:spacing w:val="62"/>
          <w:sz w:val="24"/>
          <w:szCs w:val="24"/>
          <w:highlight w:val="none"/>
          <w:lang w:val="en-US" w:eastAsia="en-US" w:bidi="ar-SA"/>
        </w:rPr>
        <w:t>7</w:t>
      </w:r>
      <w:r>
        <w:rPr>
          <w:rFonts w:hint="eastAsia" w:ascii="仿宋_GB2312" w:hAnsi="仿宋_GB2312" w:eastAsia="仿宋_GB2312" w:cs="仿宋_GB2312"/>
          <w:color w:val="auto"/>
          <w:spacing w:val="1"/>
          <w:sz w:val="24"/>
          <w:szCs w:val="24"/>
          <w:highlight w:val="none"/>
          <w:lang w:val="en-US" w:eastAsia="en-US" w:bidi="ar-SA"/>
        </w:rPr>
        <w:t>万元按上级部门考核结果拨付。</w:t>
      </w:r>
    </w:p>
    <w:p w14:paraId="07B6C65F">
      <w:pPr>
        <w:spacing w:before="898" w:line="291" w:lineRule="exact"/>
        <w:ind w:left="2465"/>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第三条</w:t>
      </w:r>
      <w:r>
        <w:rPr>
          <w:rFonts w:hint="eastAsia" w:ascii="仿宋_GB2312" w:hAnsi="仿宋_GB2312" w:eastAsia="仿宋_GB2312" w:cs="仿宋_GB2312"/>
          <w:color w:val="auto"/>
          <w:spacing w:val="213"/>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居家养老服务内容</w:t>
      </w:r>
    </w:p>
    <w:p w14:paraId="5A81042E">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3"/>
          <w:sz w:val="24"/>
          <w:szCs w:val="24"/>
          <w:highlight w:val="none"/>
          <w:lang w:val="en-US" w:eastAsia="en-US" w:bidi="ar-SA"/>
        </w:rPr>
        <w:t>依据双方共同确认的居家养老服务范围和内容，乙方向甲方所提供名单中的</w:t>
      </w:r>
      <w:r>
        <w:rPr>
          <w:rFonts w:hint="eastAsia" w:ascii="仿宋_GB2312" w:hAnsi="仿宋_GB2312" w:eastAsia="仿宋_GB2312" w:cs="仿宋_GB2312"/>
          <w:color w:val="auto"/>
          <w:sz w:val="24"/>
          <w:szCs w:val="24"/>
          <w:highlight w:val="none"/>
          <w:lang w:val="en-US" w:eastAsia="en-US" w:bidi="ar-SA"/>
        </w:rPr>
        <w:t>服务对象提供居家养老服务，本居家养老服务具体工作内容如下：</w:t>
      </w:r>
    </w:p>
    <w:p w14:paraId="4BFF72D1">
      <w:pPr>
        <w:keepNext w:val="0"/>
        <w:keepLines w:val="0"/>
        <w:pageBreakBefore w:val="0"/>
        <w:widowControl w:val="0"/>
        <w:kinsoku/>
        <w:wordWrap/>
        <w:overflowPunct/>
        <w:topLinePunct w:val="0"/>
        <w:autoSpaceDE/>
        <w:autoSpaceDN/>
        <w:bidi w:val="0"/>
        <w:adjustRightInd/>
        <w:snapToGrid/>
        <w:spacing w:line="360" w:lineRule="auto"/>
        <w:ind w:left="0" w:firstLine="484"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（一）基本服务：</w:t>
      </w:r>
    </w:p>
    <w:p w14:paraId="4B4F5DE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1、生活照料</w:t>
      </w:r>
    </w:p>
    <w:p w14:paraId="56DB364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w:t>
      </w:r>
      <w:r>
        <w:rPr>
          <w:rFonts w:hint="eastAsia" w:ascii="仿宋_GB2312" w:hAnsi="仿宋_GB2312" w:eastAsia="仿宋_GB2312" w:cs="仿宋_GB2312"/>
          <w:color w:val="auto"/>
          <w:spacing w:val="-7"/>
          <w:sz w:val="24"/>
          <w:szCs w:val="24"/>
          <w:highlight w:val="none"/>
          <w:lang w:val="en-US" w:eastAsia="en-US" w:bidi="ar-SA"/>
        </w:rPr>
        <w:t>）助餐服务：分定点助餐和上门送餐两类。提供一大荤、一小荤、一素、</w:t>
      </w:r>
      <w:r>
        <w:rPr>
          <w:rFonts w:hint="eastAsia" w:ascii="仿宋_GB2312" w:hAnsi="仿宋_GB2312" w:eastAsia="仿宋_GB2312" w:cs="仿宋_GB2312"/>
          <w:color w:val="auto"/>
          <w:sz w:val="24"/>
          <w:szCs w:val="24"/>
          <w:highlight w:val="none"/>
          <w:lang w:val="en-US" w:eastAsia="en-US" w:bidi="ar-SA"/>
        </w:rPr>
        <w:t>一汤、主食一份，第一年价格不超过</w:t>
      </w:r>
      <w:r>
        <w:rPr>
          <w:rFonts w:hint="eastAsia" w:ascii="仿宋_GB2312" w:hAnsi="仿宋_GB2312" w:eastAsia="仿宋_GB2312" w:cs="仿宋_GB2312"/>
          <w:color w:val="auto"/>
          <w:spacing w:val="1"/>
          <w:sz w:val="24"/>
          <w:szCs w:val="24"/>
          <w:highlight w:val="none"/>
          <w:u w:val="single"/>
          <w:lang w:val="en-US" w:eastAsia="en-US" w:bidi="ar-SA"/>
        </w:rPr>
        <w:t xml:space="preserve"> </w:t>
      </w:r>
      <w:r>
        <w:rPr>
          <w:rFonts w:hint="eastAsia" w:ascii="仿宋_GB2312" w:hAnsi="仿宋_GB2312" w:eastAsia="仿宋_GB2312" w:cs="仿宋_GB2312"/>
          <w:color w:val="auto"/>
          <w:sz w:val="24"/>
          <w:szCs w:val="24"/>
          <w:highlight w:val="none"/>
          <w:u w:val="single"/>
          <w:lang w:val="en-US" w:eastAsia="en-US" w:bidi="ar-SA"/>
        </w:rPr>
        <w:t>10</w:t>
      </w:r>
      <w:r>
        <w:rPr>
          <w:rFonts w:hint="eastAsia" w:ascii="仿宋_GB2312" w:hAnsi="仿宋_GB2312" w:eastAsia="仿宋_GB2312" w:cs="仿宋_GB2312"/>
          <w:color w:val="auto"/>
          <w:sz w:val="24"/>
          <w:szCs w:val="24"/>
          <w:highlight w:val="none"/>
          <w:lang w:val="en-US" w:eastAsia="en-US" w:bidi="ar-SA"/>
        </w:rPr>
        <w:t>元/餐/人（含上门送餐服务费）。每周</w:t>
      </w:r>
      <w:r>
        <w:rPr>
          <w:rFonts w:hint="eastAsia" w:ascii="仿宋_GB2312" w:hAnsi="仿宋_GB2312" w:eastAsia="仿宋_GB2312" w:cs="仿宋_GB2312"/>
          <w:color w:val="auto"/>
          <w:spacing w:val="-3"/>
          <w:sz w:val="24"/>
          <w:szCs w:val="24"/>
          <w:highlight w:val="none"/>
          <w:lang w:val="en-US" w:eastAsia="en-US" w:bidi="ar-SA"/>
        </w:rPr>
        <w:t>订制食谱并在助餐点公示。助餐工具保持清洁卫生，餐具做到每餐消毒。送餐上门及时，并有必要的保温，保鲜设备。洗、煮饭菜应卫生，无夹生、焦糊；尊重</w:t>
      </w:r>
      <w:r>
        <w:rPr>
          <w:rFonts w:hint="eastAsia" w:ascii="仿宋_GB2312" w:hAnsi="仿宋_GB2312" w:eastAsia="仿宋_GB2312" w:cs="仿宋_GB2312"/>
          <w:color w:val="auto"/>
          <w:sz w:val="24"/>
          <w:szCs w:val="24"/>
          <w:highlight w:val="none"/>
          <w:lang w:val="en-US" w:eastAsia="en-US" w:bidi="ar-SA"/>
        </w:rPr>
        <w:t>老年人的饮食习惯；注意营养均衡，合理配餐。</w:t>
      </w:r>
    </w:p>
    <w:p w14:paraId="5DEADCF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（2）起居服务：协助穿、脱衣服和入厨方法得当，老年人无不适现象；衣物整理放置有序；定时为卧床老年人翻身，无褥疮。</w:t>
      </w:r>
    </w:p>
    <w:p w14:paraId="1DE03B9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（3）助浴服务：助浴前应进行安全提示，助浴过程应有家属在场；上门助</w:t>
      </w:r>
      <w:r>
        <w:rPr>
          <w:rFonts w:hint="eastAsia" w:ascii="仿宋_GB2312" w:hAnsi="仿宋_GB2312" w:eastAsia="仿宋_GB2312" w:cs="仿宋_GB2312"/>
          <w:color w:val="auto"/>
          <w:spacing w:val="-3"/>
          <w:sz w:val="24"/>
          <w:szCs w:val="24"/>
          <w:highlight w:val="none"/>
          <w:lang w:val="en-US" w:eastAsia="en-US" w:bidi="ar-SA"/>
        </w:rPr>
        <w:t>浴是应根据天气情况和老年人居住条件，注意防寒保暖、防暑降温，保持通风透</w:t>
      </w:r>
      <w:r>
        <w:rPr>
          <w:rFonts w:hint="eastAsia" w:ascii="仿宋_GB2312" w:hAnsi="仿宋_GB2312" w:eastAsia="仿宋_GB2312" w:cs="仿宋_GB2312"/>
          <w:color w:val="auto"/>
          <w:sz w:val="24"/>
          <w:szCs w:val="24"/>
          <w:highlight w:val="none"/>
          <w:lang w:val="en-US" w:eastAsia="en-US" w:bidi="ar-SA"/>
        </w:rPr>
        <w:t>气。</w:t>
      </w:r>
    </w:p>
    <w:p w14:paraId="627AE98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（4）卫生清理服务：协助刷牙、洗脸、洗脚、按摩等，动作适当，老年人</w:t>
      </w:r>
      <w:r>
        <w:rPr>
          <w:rFonts w:hint="eastAsia" w:ascii="仿宋_GB2312" w:hAnsi="仿宋_GB2312" w:eastAsia="仿宋_GB2312" w:cs="仿宋_GB2312"/>
          <w:color w:val="auto"/>
          <w:spacing w:val="-3"/>
          <w:sz w:val="24"/>
          <w:szCs w:val="24"/>
          <w:highlight w:val="none"/>
          <w:lang w:val="en-US" w:eastAsia="en-US" w:bidi="ar-SA"/>
        </w:rPr>
        <w:t>无不适现象，做到衣着舒适、指（趾）甲整洁、无异味；定期清洗、更换床单和</w:t>
      </w:r>
      <w:r>
        <w:rPr>
          <w:rFonts w:hint="eastAsia" w:ascii="仿宋_GB2312" w:hAnsi="仿宋_GB2312" w:eastAsia="仿宋_GB2312" w:cs="仿宋_GB2312"/>
          <w:color w:val="auto"/>
          <w:sz w:val="24"/>
          <w:szCs w:val="24"/>
          <w:highlight w:val="none"/>
          <w:lang w:val="en-US" w:eastAsia="en-US" w:bidi="ar-SA"/>
        </w:rPr>
        <w:t>衣物；定时打扫室内外卫生，保持清洁干净。</w:t>
      </w:r>
    </w:p>
    <w:p w14:paraId="70F72C4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（5）代办服务：代换煤气、代办各种手续、代缴各种费用等，应按照老人的要求及时办理。</w:t>
      </w:r>
    </w:p>
    <w:p w14:paraId="2D7DE81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2、医疗保健</w:t>
      </w:r>
    </w:p>
    <w:p w14:paraId="6613857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（1）预防保健服务：根据老年人需求定制有针对性的预防方案，预防方案应简明扼要、通俗易懂，便于老年人掌握。</w:t>
      </w:r>
    </w:p>
    <w:p w14:paraId="2175809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（2）医疗协助服务：遵照医嘱及时提醒和监督老年人按时服药，或陪同就医；协助开展医疗辅助性工作，能正确测量血压、体温等。</w:t>
      </w:r>
    </w:p>
    <w:p w14:paraId="59491F2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w:t>
      </w:r>
      <w:r>
        <w:rPr>
          <w:rFonts w:hint="eastAsia" w:ascii="仿宋_GB2312" w:hAnsi="仿宋_GB2312" w:eastAsia="仿宋_GB2312" w:cs="仿宋_GB2312"/>
          <w:color w:val="auto"/>
          <w:spacing w:val="-7"/>
          <w:sz w:val="24"/>
          <w:szCs w:val="24"/>
          <w:highlight w:val="none"/>
          <w:lang w:val="en-US" w:eastAsia="en-US" w:bidi="ar-SA"/>
        </w:rPr>
        <w:t>）康复护理服务：指导老年人正确执行医嘱，协助老年人正确使用康复、</w:t>
      </w:r>
      <w:r>
        <w:rPr>
          <w:rFonts w:hint="eastAsia" w:ascii="仿宋_GB2312" w:hAnsi="仿宋_GB2312" w:eastAsia="仿宋_GB2312" w:cs="仿宋_GB2312"/>
          <w:color w:val="auto"/>
          <w:sz w:val="24"/>
          <w:szCs w:val="24"/>
          <w:highlight w:val="none"/>
          <w:lang w:val="en-US" w:eastAsia="en-US" w:bidi="ar-SA"/>
        </w:rPr>
        <w:t>保健器材。</w:t>
      </w:r>
    </w:p>
    <w:p w14:paraId="0A11F1C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（4）健康咨询服务：通过热线电话、网络平台、专题讲座等方式，为老年人普及预防保健、康复护理、心理健康等方面的知识。</w:t>
      </w:r>
    </w:p>
    <w:p w14:paraId="77C3277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3、家政服务</w:t>
      </w:r>
    </w:p>
    <w:p w14:paraId="2DDB397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（1）安装维修：家具、家电等安装维修，按相关规程操作，并符合老年人意图，无安全隐患，方便使用。</w:t>
      </w:r>
    </w:p>
    <w:p w14:paraId="134FCA0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（2）清洗服务：清洗换气扇、油烟机、燃气灶具等做到安全操作，清洗干净，符合老年人要求。</w:t>
      </w:r>
    </w:p>
    <w:p w14:paraId="1321E4C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（3）疏通服务：水池、鱼缸、座便器、蹲坑、地漏疏通等按照老年人要求进行，疏通后能正常使用。</w:t>
      </w:r>
    </w:p>
    <w:p w14:paraId="322B201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（4）其他家政类服务。</w:t>
      </w:r>
    </w:p>
    <w:p w14:paraId="5281A27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4、紧急救助</w:t>
      </w:r>
    </w:p>
    <w:p w14:paraId="5CFE1A2C">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3"/>
          <w:sz w:val="24"/>
          <w:szCs w:val="24"/>
          <w:highlight w:val="none"/>
          <w:lang w:val="en-US" w:eastAsia="en-US" w:bidi="ar-SA"/>
        </w:rPr>
        <w:t>呼叫器、求助门铃、远红外感应器等安全防护器材符合国家规定，其功能符</w:t>
      </w:r>
      <w:r>
        <w:rPr>
          <w:rFonts w:hint="eastAsia" w:ascii="仿宋_GB2312" w:hAnsi="仿宋_GB2312" w:eastAsia="仿宋_GB2312" w:cs="仿宋_GB2312"/>
          <w:color w:val="auto"/>
          <w:sz w:val="24"/>
          <w:szCs w:val="24"/>
          <w:highlight w:val="none"/>
          <w:lang w:val="en-US" w:eastAsia="en-US" w:bidi="ar-SA"/>
        </w:rPr>
        <w:t>合老年人的特点和需求。</w:t>
      </w:r>
    </w:p>
    <w:p w14:paraId="096D208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5、精神慰藉</w:t>
      </w:r>
    </w:p>
    <w:p w14:paraId="4A7F5A2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（1）精神关爱服务：耐心倾听，能与老年人进行谈心交流。</w:t>
      </w:r>
    </w:p>
    <w:p w14:paraId="3F7EFD6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（2）心理疏导服务：掌握老年人心理特点和基本沟通技巧，善于福安差老年人的情绪爱变化，并通过心理干预手段调整老年人心理状态。</w:t>
      </w:r>
    </w:p>
    <w:p w14:paraId="559BD56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（3）尊重并保护老年人隐私。</w:t>
      </w:r>
    </w:p>
    <w:p w14:paraId="2CE1158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6、其他</w:t>
      </w:r>
    </w:p>
    <w:p w14:paraId="1F70DC0F">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3"/>
          <w:sz w:val="24"/>
          <w:szCs w:val="24"/>
          <w:highlight w:val="none"/>
          <w:lang w:val="en-US" w:eastAsia="en-US" w:bidi="ar-SA"/>
        </w:rPr>
        <w:t>以上服务内容为基本服务项目。服务机构需根据老人需求，制定老人确认的</w:t>
      </w:r>
      <w:r>
        <w:rPr>
          <w:rFonts w:hint="eastAsia" w:ascii="仿宋_GB2312" w:hAnsi="仿宋_GB2312" w:eastAsia="仿宋_GB2312" w:cs="仿宋_GB2312"/>
          <w:color w:val="auto"/>
          <w:sz w:val="24"/>
          <w:szCs w:val="24"/>
          <w:highlight w:val="none"/>
          <w:lang w:val="en-US" w:eastAsia="en-US" w:bidi="ar-SA"/>
        </w:rPr>
        <w:t>个性化服务清单，并提供相关服务。</w:t>
      </w:r>
    </w:p>
    <w:p w14:paraId="2E3B245C">
      <w:pPr>
        <w:keepNext w:val="0"/>
        <w:keepLines w:val="0"/>
        <w:pageBreakBefore w:val="0"/>
        <w:widowControl w:val="0"/>
        <w:kinsoku/>
        <w:wordWrap/>
        <w:overflowPunct/>
        <w:topLinePunct w:val="0"/>
        <w:autoSpaceDE/>
        <w:autoSpaceDN/>
        <w:bidi w:val="0"/>
        <w:adjustRightInd/>
        <w:snapToGrid/>
        <w:spacing w:line="360" w:lineRule="auto"/>
        <w:ind w:left="0" w:firstLine="484"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（二）中心（助餐点）服务：</w:t>
      </w:r>
    </w:p>
    <w:p w14:paraId="0E8094D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w:t>
      </w:r>
      <w:r>
        <w:rPr>
          <w:rFonts w:hint="eastAsia" w:ascii="仿宋_GB2312" w:hAnsi="仿宋_GB2312" w:eastAsia="仿宋_GB2312" w:cs="仿宋_GB2312"/>
          <w:color w:val="auto"/>
          <w:spacing w:val="-6"/>
          <w:sz w:val="24"/>
          <w:szCs w:val="24"/>
          <w:highlight w:val="none"/>
          <w:lang w:val="en-US" w:eastAsia="en-US" w:bidi="ar-SA"/>
        </w:rPr>
        <w:t>、服务机构依托中心（助餐点）为服务对象提供以上日间照料、助餐服务、</w:t>
      </w:r>
      <w:r>
        <w:rPr>
          <w:rFonts w:hint="eastAsia" w:ascii="仿宋_GB2312" w:hAnsi="仿宋_GB2312" w:eastAsia="仿宋_GB2312" w:cs="仿宋_GB2312"/>
          <w:color w:val="auto"/>
          <w:spacing w:val="-3"/>
          <w:sz w:val="24"/>
          <w:szCs w:val="24"/>
          <w:highlight w:val="none"/>
          <w:lang w:val="en-US" w:eastAsia="en-US" w:bidi="ar-SA"/>
        </w:rPr>
        <w:t>助浴服务、家政服务、健身康复、医疗护理、文化娱乐、精神关爱和社区治理参</w:t>
      </w:r>
      <w:r>
        <w:rPr>
          <w:rFonts w:hint="eastAsia" w:ascii="仿宋_GB2312" w:hAnsi="仿宋_GB2312" w:eastAsia="仿宋_GB2312" w:cs="仿宋_GB2312"/>
          <w:color w:val="auto"/>
          <w:sz w:val="24"/>
          <w:szCs w:val="24"/>
          <w:highlight w:val="none"/>
          <w:lang w:val="en-US" w:eastAsia="en-US" w:bidi="ar-SA"/>
        </w:rPr>
        <w:t>与等基本服务项目。</w:t>
      </w:r>
    </w:p>
    <w:p w14:paraId="39B0407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2、服务机构依托中心（助餐点）定期开展老年文体活动、书法绘画、养生</w:t>
      </w:r>
      <w:r>
        <w:rPr>
          <w:rFonts w:hint="eastAsia" w:ascii="仿宋_GB2312" w:hAnsi="仿宋_GB2312" w:eastAsia="仿宋_GB2312" w:cs="仿宋_GB2312"/>
          <w:color w:val="auto"/>
          <w:spacing w:val="1"/>
          <w:sz w:val="24"/>
          <w:szCs w:val="24"/>
          <w:highlight w:val="none"/>
          <w:lang w:val="en-US" w:eastAsia="en-US" w:bidi="ar-SA"/>
        </w:rPr>
        <w:t>讲座、法律咨询、手工制作、读书交流、棋牌切磋等活动，丰富老年文化生活，</w:t>
      </w:r>
      <w:r>
        <w:rPr>
          <w:rFonts w:hint="eastAsia" w:ascii="仿宋_GB2312" w:hAnsi="仿宋_GB2312" w:eastAsia="仿宋_GB2312" w:cs="仿宋_GB2312"/>
          <w:color w:val="auto"/>
          <w:spacing w:val="-3"/>
          <w:sz w:val="24"/>
          <w:szCs w:val="24"/>
          <w:highlight w:val="none"/>
          <w:lang w:val="en-US" w:eastAsia="en-US" w:bidi="ar-SA"/>
        </w:rPr>
        <w:t>展示老年风采，营造文明和谐的养老、乐老氛围。要求：每周都有活动安排，每</w:t>
      </w:r>
      <w:r>
        <w:rPr>
          <w:rFonts w:hint="eastAsia" w:ascii="仿宋_GB2312" w:hAnsi="仿宋_GB2312" w:eastAsia="仿宋_GB2312" w:cs="仿宋_GB2312"/>
          <w:color w:val="auto"/>
          <w:sz w:val="24"/>
          <w:szCs w:val="24"/>
          <w:highlight w:val="none"/>
          <w:lang w:val="en-US" w:eastAsia="en-US" w:bidi="ar-SA"/>
        </w:rPr>
        <w:t>月一次小型主题活动，参与人数不少于</w:t>
      </w:r>
      <w:r>
        <w:rPr>
          <w:rFonts w:hint="eastAsia" w:ascii="仿宋_GB2312" w:hAnsi="仿宋_GB2312" w:eastAsia="仿宋_GB2312" w:cs="仿宋_GB2312"/>
          <w:color w:val="auto"/>
          <w:spacing w:val="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50人；每季活动参与总人数不少于辖区</w:t>
      </w:r>
      <w:r>
        <w:rPr>
          <w:rFonts w:hint="eastAsia" w:ascii="仿宋_GB2312" w:hAnsi="仿宋_GB2312" w:eastAsia="仿宋_GB2312" w:cs="仿宋_GB2312"/>
          <w:color w:val="auto"/>
          <w:sz w:val="24"/>
          <w:szCs w:val="24"/>
          <w:highlight w:val="none"/>
          <w:lang w:val="en-US" w:eastAsia="zh-CN" w:bidi="ar-SA"/>
        </w:rPr>
        <w:t>服务对象</w:t>
      </w:r>
      <w:r>
        <w:rPr>
          <w:rFonts w:hint="eastAsia" w:ascii="仿宋_GB2312" w:hAnsi="仿宋_GB2312" w:eastAsia="仿宋_GB2312" w:cs="仿宋_GB2312"/>
          <w:color w:val="auto"/>
          <w:sz w:val="24"/>
          <w:szCs w:val="24"/>
          <w:highlight w:val="none"/>
          <w:lang w:val="en-US" w:eastAsia="en-US" w:bidi="ar-SA"/>
        </w:rPr>
        <w:t>的 10%。通过活动的开展，让老人在参与中获得快乐、健康。</w:t>
      </w:r>
    </w:p>
    <w:p w14:paraId="1116269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w:t>
      </w:r>
      <w:r>
        <w:rPr>
          <w:rFonts w:hint="eastAsia" w:ascii="仿宋_GB2312" w:hAnsi="仿宋_GB2312" w:eastAsia="仿宋_GB2312" w:cs="仿宋_GB2312"/>
          <w:color w:val="auto"/>
          <w:spacing w:val="-5"/>
          <w:sz w:val="24"/>
          <w:szCs w:val="24"/>
          <w:highlight w:val="none"/>
          <w:lang w:val="en-US" w:eastAsia="en-US" w:bidi="ar-SA"/>
        </w:rPr>
        <w:t>、服务机构依托中心（助餐点）对</w:t>
      </w:r>
      <w:r>
        <w:rPr>
          <w:rFonts w:hint="eastAsia" w:ascii="仿宋_GB2312" w:hAnsi="仿宋_GB2312" w:eastAsia="仿宋_GB2312" w:cs="仿宋_GB2312"/>
          <w:color w:val="auto"/>
          <w:spacing w:val="6"/>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60</w:t>
      </w:r>
      <w:r>
        <w:rPr>
          <w:rFonts w:hint="eastAsia" w:ascii="仿宋_GB2312" w:hAnsi="仿宋_GB2312" w:eastAsia="仿宋_GB2312" w:cs="仿宋_GB2312"/>
          <w:color w:val="auto"/>
          <w:spacing w:val="-2"/>
          <w:sz w:val="24"/>
          <w:szCs w:val="24"/>
          <w:highlight w:val="none"/>
          <w:lang w:val="en-US" w:eastAsia="en-US" w:bidi="ar-SA"/>
        </w:rPr>
        <w:t>岁以上重点空巢独居老人，须每周电</w:t>
      </w:r>
      <w:r>
        <w:rPr>
          <w:rFonts w:hint="eastAsia" w:ascii="仿宋_GB2312" w:hAnsi="仿宋_GB2312" w:eastAsia="仿宋_GB2312" w:cs="仿宋_GB2312"/>
          <w:color w:val="auto"/>
          <w:spacing w:val="-9"/>
          <w:sz w:val="24"/>
          <w:szCs w:val="24"/>
          <w:highlight w:val="none"/>
          <w:lang w:val="en-US" w:eastAsia="en-US" w:bidi="ar-SA"/>
        </w:rPr>
        <w:t>话联系一次，确保第一时间掌握老人生活状况，第一时间协调解决老人的需、急、难、险等问题，电话联系不上须上门看望，有记录可查。（具体名单由街道提供）</w:t>
      </w:r>
    </w:p>
    <w:p w14:paraId="572B1A82">
      <w:pPr>
        <w:keepNext w:val="0"/>
        <w:keepLines w:val="0"/>
        <w:pageBreakBefore w:val="0"/>
        <w:widowControl w:val="0"/>
        <w:kinsoku/>
        <w:wordWrap/>
        <w:overflowPunct/>
        <w:topLinePunct w:val="0"/>
        <w:autoSpaceDE/>
        <w:autoSpaceDN/>
        <w:bidi w:val="0"/>
        <w:adjustRightInd/>
        <w:snapToGrid/>
        <w:spacing w:line="360" w:lineRule="auto"/>
        <w:ind w:left="0" w:firstLine="484"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（三）残疾人之家服务</w:t>
      </w:r>
    </w:p>
    <w:p w14:paraId="7853B39D">
      <w:pPr>
        <w:keepNext w:val="0"/>
        <w:keepLines w:val="0"/>
        <w:pageBreakBefore w:val="0"/>
        <w:widowControl w:val="0"/>
        <w:kinsoku/>
        <w:wordWrap/>
        <w:overflowPunct/>
        <w:topLinePunct w:val="0"/>
        <w:autoSpaceDE/>
        <w:autoSpaceDN/>
        <w:bidi w:val="0"/>
        <w:adjustRightInd/>
        <w:snapToGrid/>
        <w:spacing w:line="360" w:lineRule="auto"/>
        <w:ind w:left="0" w:firstLine="484"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服务机构须承担残疾人之家管理和服务的工作从事残疾人之家的日常管理，</w:t>
      </w:r>
      <w:r>
        <w:rPr>
          <w:rFonts w:hint="eastAsia" w:ascii="仿宋_GB2312" w:hAnsi="仿宋_GB2312" w:eastAsia="仿宋_GB2312" w:cs="仿宋_GB2312"/>
          <w:color w:val="auto"/>
          <w:sz w:val="24"/>
          <w:szCs w:val="24"/>
          <w:highlight w:val="none"/>
          <w:lang w:val="en-US" w:eastAsia="en-US" w:bidi="ar-SA"/>
        </w:rPr>
        <w:t>为残疾人提供服务，保证残疾人之家的正常开放运行。</w:t>
      </w:r>
    </w:p>
    <w:p w14:paraId="31C2DAC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1、有与“残疾人之家”功能匹配的管理和服务人员，并应具有相应的工作经验和能力，身体健康，健康证持有率达</w:t>
      </w:r>
      <w:r>
        <w:rPr>
          <w:rFonts w:hint="eastAsia" w:ascii="仿宋_GB2312" w:hAnsi="仿宋_GB2312" w:eastAsia="仿宋_GB2312" w:cs="仿宋_GB2312"/>
          <w:color w:val="auto"/>
          <w:spacing w:val="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100%。</w:t>
      </w:r>
    </w:p>
    <w:p w14:paraId="4DDAB1C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2、做好对残疾人之家的残疾人员（以下简称残疾人）的业务指导和管理工作，并排好每月工作计划，做好相应活动台账记录。</w:t>
      </w:r>
    </w:p>
    <w:p w14:paraId="3FE0C24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3、做好残疾人之家每天的运行工作，开展好日间照料和辅助性就业工作。</w:t>
      </w:r>
      <w:r>
        <w:rPr>
          <w:rFonts w:hint="eastAsia" w:ascii="仿宋_GB2312" w:hAnsi="仿宋_GB2312" w:eastAsia="仿宋_GB2312" w:cs="仿宋_GB2312"/>
          <w:color w:val="auto"/>
          <w:spacing w:val="-3"/>
          <w:sz w:val="24"/>
          <w:szCs w:val="24"/>
          <w:highlight w:val="none"/>
          <w:lang w:val="en-US" w:eastAsia="en-US" w:bidi="ar-SA"/>
        </w:rPr>
        <w:t>做好与合作单位的业务对接工作，负责庇护性劳动原材料及产品等运输，负责对</w:t>
      </w:r>
      <w:r>
        <w:rPr>
          <w:rFonts w:hint="eastAsia" w:ascii="仿宋_GB2312" w:hAnsi="仿宋_GB2312" w:eastAsia="仿宋_GB2312" w:cs="仿宋_GB2312"/>
          <w:color w:val="auto"/>
          <w:sz w:val="24"/>
          <w:szCs w:val="24"/>
          <w:highlight w:val="none"/>
          <w:lang w:val="en-US" w:eastAsia="en-US" w:bidi="ar-SA"/>
        </w:rPr>
        <w:t>残疾人手工劳动工作量的计件清点工作。</w:t>
      </w:r>
    </w:p>
    <w:p w14:paraId="513328A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sectPr>
          <w:pgSz w:w="11900" w:h="16820"/>
          <w:pgMar w:top="1537" w:right="100" w:bottom="0" w:left="1800" w:header="720" w:footer="720" w:gutter="0"/>
          <w:pgNumType w:start="1"/>
          <w:cols w:space="720" w:num="1"/>
          <w:docGrid w:linePitch="1" w:charSpace="0"/>
        </w:sectPr>
      </w:pPr>
      <w:r>
        <w:rPr>
          <w:rFonts w:hint="eastAsia" w:ascii="仿宋_GB2312" w:hAnsi="仿宋_GB2312" w:eastAsia="仿宋_GB2312" w:cs="仿宋_GB2312"/>
          <w:color w:val="auto"/>
          <w:sz w:val="24"/>
          <w:szCs w:val="24"/>
          <w:highlight w:val="none"/>
          <w:lang w:val="en-US" w:eastAsia="en-US" w:bidi="ar-SA"/>
        </w:rPr>
        <w:t>4、组织残疾人开展适合其身心特点的手工劳动、文体活动、学习培训及康</w:t>
      </w:r>
      <w:r>
        <w:rPr>
          <w:rFonts w:hint="eastAsia" w:ascii="仿宋_GB2312" w:hAnsi="仿宋_GB2312" w:eastAsia="仿宋_GB2312" w:cs="仿宋_GB2312"/>
          <w:color w:val="auto"/>
          <w:spacing w:val="-3"/>
          <w:sz w:val="24"/>
          <w:szCs w:val="24"/>
          <w:highlight w:val="none"/>
          <w:lang w:val="en-US" w:eastAsia="en-US" w:bidi="ar-SA"/>
        </w:rPr>
        <w:t>复训练活动，丰富残疾人的精神文化生活。</w:t>
      </w:r>
      <w:r>
        <w:rPr>
          <w:rFonts w:hint="eastAsia" w:ascii="仿宋_GB2312" w:hAnsi="仿宋_GB2312" w:eastAsia="仿宋_GB2312" w:cs="仿宋_GB2312"/>
          <w:color w:val="auto"/>
          <w:spacing w:val="-3"/>
          <w:sz w:val="24"/>
          <w:szCs w:val="24"/>
          <w:highlight w:val="none"/>
          <w:lang w:val="en-US" w:eastAsia="zh-CN" w:bidi="ar-SA"/>
        </w:rPr>
        <w:t>按需要为其开</w:t>
      </w:r>
      <w:r>
        <w:rPr>
          <w:rFonts w:hint="eastAsia" w:ascii="仿宋_GB2312" w:hAnsi="仿宋_GB2312" w:eastAsia="仿宋_GB2312" w:cs="仿宋_GB2312"/>
          <w:color w:val="auto"/>
          <w:spacing w:val="-3"/>
          <w:sz w:val="24"/>
          <w:szCs w:val="24"/>
          <w:highlight w:val="none"/>
          <w:lang w:val="en-US" w:eastAsia="en-US" w:bidi="ar-SA"/>
        </w:rPr>
        <w:t>展文体活动、学习培</w:t>
      </w:r>
      <w:r>
        <w:rPr>
          <w:rFonts w:hint="eastAsia" w:ascii="仿宋_GB2312" w:hAnsi="仿宋_GB2312" w:eastAsia="仿宋_GB2312" w:cs="仿宋_GB2312"/>
          <w:color w:val="auto"/>
          <w:sz w:val="24"/>
          <w:szCs w:val="24"/>
          <w:highlight w:val="none"/>
          <w:lang w:val="en-US" w:eastAsia="en-US" w:bidi="ar-SA"/>
        </w:rPr>
        <w:t>训或康复训练活动。</w:t>
      </w:r>
    </w:p>
    <w:p w14:paraId="37BB38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5、正确使用残疾人之家的设施、设备，做好设施、设备的日常清洁、维护工作，确保其完好性和正常功能。</w:t>
      </w:r>
    </w:p>
    <w:p w14:paraId="37A458B7">
      <w:pPr>
        <w:keepNext w:val="0"/>
        <w:keepLines w:val="0"/>
        <w:pageBreakBefore w:val="0"/>
        <w:widowControl w:val="0"/>
        <w:kinsoku/>
        <w:wordWrap/>
        <w:overflowPunct/>
        <w:topLinePunct w:val="0"/>
        <w:autoSpaceDE/>
        <w:autoSpaceDN/>
        <w:bidi w:val="0"/>
        <w:adjustRightInd/>
        <w:snapToGrid/>
        <w:spacing w:line="360" w:lineRule="auto"/>
        <w:ind w:left="0" w:firstLine="484"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（四）医养结合服务</w:t>
      </w:r>
    </w:p>
    <w:p w14:paraId="4D4B67C3">
      <w:pPr>
        <w:keepNext w:val="0"/>
        <w:keepLines w:val="0"/>
        <w:pageBreakBefore w:val="0"/>
        <w:widowControl w:val="0"/>
        <w:kinsoku/>
        <w:wordWrap/>
        <w:overflowPunct/>
        <w:topLinePunct w:val="0"/>
        <w:autoSpaceDE/>
        <w:autoSpaceDN/>
        <w:bidi w:val="0"/>
        <w:adjustRightInd/>
        <w:snapToGrid/>
        <w:spacing w:line="360" w:lineRule="auto"/>
        <w:ind w:left="0" w:firstLine="484"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由成交供应商与辖区医疗机构签订医养结合服务协议或依托自有医疗资源，</w:t>
      </w:r>
      <w:r>
        <w:rPr>
          <w:rFonts w:hint="eastAsia" w:ascii="仿宋_GB2312" w:hAnsi="仿宋_GB2312" w:eastAsia="仿宋_GB2312" w:cs="仿宋_GB2312"/>
          <w:color w:val="auto"/>
          <w:spacing w:val="-3"/>
          <w:sz w:val="24"/>
          <w:szCs w:val="24"/>
          <w:highlight w:val="none"/>
          <w:lang w:val="en-US" w:eastAsia="en-US" w:bidi="ar-SA"/>
        </w:rPr>
        <w:t>向社区范围内的长期卧床患者、老年人、残疾人、临终患者和其他需要护理服务对象提供基础护理、专科护理、临终护理、消毒隔离、营养指导、健康宣教和康复指导等社区居家护理服务。医养结合的服务不与居家养老服务券混合使用，由成交供应商以有偿和无偿相结合的方式进行服务。另外，上级如有奖补政策，按</w:t>
      </w:r>
      <w:r>
        <w:rPr>
          <w:rFonts w:hint="eastAsia" w:ascii="仿宋_GB2312" w:hAnsi="仿宋_GB2312" w:eastAsia="仿宋_GB2312" w:cs="仿宋_GB2312"/>
          <w:color w:val="auto"/>
          <w:sz w:val="24"/>
          <w:szCs w:val="24"/>
          <w:highlight w:val="none"/>
          <w:lang w:val="en-US" w:eastAsia="en-US" w:bidi="ar-SA"/>
        </w:rPr>
        <w:t>上级考核验收结果，由成交供应商享受。</w:t>
      </w:r>
    </w:p>
    <w:p w14:paraId="1FCEEF0B">
      <w:pPr>
        <w:spacing w:before="274" w:line="291" w:lineRule="exact"/>
        <w:ind w:left="3373"/>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第四条</w:t>
      </w:r>
      <w:r>
        <w:rPr>
          <w:rFonts w:hint="eastAsia" w:ascii="仿宋_GB2312" w:hAnsi="仿宋_GB2312" w:eastAsia="仿宋_GB2312" w:cs="仿宋_GB2312"/>
          <w:color w:val="auto"/>
          <w:spacing w:val="72"/>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项目运行要求</w:t>
      </w:r>
    </w:p>
    <w:p w14:paraId="75979B1B">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（一）站点管理模式</w:t>
      </w:r>
    </w:p>
    <w:p w14:paraId="31FDACDD">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1、成交供应商依托站点为服务对象提供以上服务内容及基本项目。</w:t>
      </w:r>
    </w:p>
    <w:p w14:paraId="17B207E8">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2、成交供应商依托站点除开展以上基本服务项目以外，可根据站点实际增</w:t>
      </w:r>
      <w:r>
        <w:rPr>
          <w:rFonts w:hint="eastAsia" w:ascii="仿宋_GB2312" w:hAnsi="仿宋_GB2312" w:eastAsia="仿宋_GB2312" w:cs="仿宋_GB2312"/>
          <w:color w:val="auto"/>
          <w:spacing w:val="-3"/>
          <w:sz w:val="24"/>
          <w:szCs w:val="24"/>
          <w:highlight w:val="none"/>
          <w:lang w:val="en-US" w:eastAsia="en-US" w:bidi="ar-SA"/>
        </w:rPr>
        <w:t>加服务功能，但新增服务功能及服务方案、定价方案必须书面征得招标人同意后</w:t>
      </w:r>
      <w:r>
        <w:rPr>
          <w:rFonts w:hint="eastAsia" w:ascii="仿宋_GB2312" w:hAnsi="仿宋_GB2312" w:eastAsia="仿宋_GB2312" w:cs="仿宋_GB2312"/>
          <w:color w:val="auto"/>
          <w:sz w:val="24"/>
          <w:szCs w:val="24"/>
          <w:highlight w:val="none"/>
          <w:lang w:val="en-US" w:eastAsia="en-US" w:bidi="ar-SA"/>
        </w:rPr>
        <w:t>方可对外开放和实施。</w:t>
      </w:r>
    </w:p>
    <w:p w14:paraId="191B1ABC">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（二）统筹融合、发挥平台优势</w:t>
      </w:r>
    </w:p>
    <w:p w14:paraId="41C2BD1A">
      <w:pPr>
        <w:keepNext w:val="0"/>
        <w:keepLines w:val="0"/>
        <w:pageBreakBefore w:val="0"/>
        <w:kinsoku/>
        <w:wordWrap/>
        <w:overflowPunct/>
        <w:topLinePunct w:val="0"/>
        <w:autoSpaceDE/>
        <w:autoSpaceDN/>
        <w:bidi w:val="0"/>
        <w:adjustRightInd/>
        <w:snapToGrid/>
        <w:spacing w:line="360" w:lineRule="auto"/>
        <w:ind w:left="0" w:leftChars="0" w:firstLine="468"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3"/>
          <w:sz w:val="24"/>
          <w:szCs w:val="24"/>
          <w:highlight w:val="none"/>
          <w:lang w:val="en-US" w:eastAsia="en-US" w:bidi="ar-SA"/>
        </w:rPr>
        <w:t>成交供应商要建立</w:t>
      </w:r>
      <w:r>
        <w:rPr>
          <w:rFonts w:hint="eastAsia" w:ascii="仿宋_GB2312" w:hAnsi="仿宋_GB2312" w:eastAsia="仿宋_GB2312" w:cs="仿宋_GB2312"/>
          <w:color w:val="auto"/>
          <w:spacing w:val="-3"/>
          <w:sz w:val="24"/>
          <w:szCs w:val="24"/>
          <w:highlight w:val="none"/>
          <w:lang w:val="en-US" w:eastAsia="zh-CN" w:bidi="ar-SA"/>
        </w:rPr>
        <w:t>中兴</w:t>
      </w:r>
      <w:r>
        <w:rPr>
          <w:rFonts w:hint="eastAsia" w:ascii="仿宋_GB2312" w:hAnsi="仿宋_GB2312" w:eastAsia="仿宋_GB2312" w:cs="仿宋_GB2312"/>
          <w:color w:val="auto"/>
          <w:spacing w:val="-3"/>
          <w:sz w:val="24"/>
          <w:szCs w:val="24"/>
          <w:highlight w:val="none"/>
          <w:lang w:val="en-US" w:eastAsia="en-US" w:bidi="ar-SA"/>
        </w:rPr>
        <w:t>街道居家养老服务平台和网络服务体系，实现服务的信息化、智能化，满足服务工单的派送、流转、监管、统计、结算等功能，信息平台端口可接入市区平台，使居家和社区养</w:t>
      </w:r>
      <w:r>
        <w:rPr>
          <w:rFonts w:hint="eastAsia" w:ascii="仿宋_GB2312" w:hAnsi="仿宋_GB2312" w:eastAsia="仿宋_GB2312" w:cs="仿宋_GB2312"/>
          <w:color w:val="auto"/>
          <w:sz w:val="24"/>
          <w:szCs w:val="24"/>
          <w:highlight w:val="none"/>
          <w:lang w:val="en-US" w:eastAsia="en-US" w:bidi="ar-SA"/>
        </w:rPr>
        <w:t>老服务全程可监控、全程透明化。</w:t>
      </w:r>
    </w:p>
    <w:p w14:paraId="00AED7D4">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（三）管理团队及专职服务员条件、行为规范要求</w:t>
      </w:r>
    </w:p>
    <w:p w14:paraId="0B076F24">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w:t>
      </w:r>
      <w:r>
        <w:rPr>
          <w:rFonts w:hint="eastAsia" w:ascii="仿宋_GB2312" w:hAnsi="仿宋_GB2312" w:eastAsia="仿宋_GB2312" w:cs="仿宋_GB2312"/>
          <w:color w:val="auto"/>
          <w:spacing w:val="-9"/>
          <w:sz w:val="24"/>
          <w:szCs w:val="24"/>
          <w:highlight w:val="none"/>
          <w:lang w:val="en-US" w:eastAsia="en-US" w:bidi="ar-SA"/>
        </w:rPr>
        <w:t>、管理团队要求：项目经理</w:t>
      </w:r>
      <w:r>
        <w:rPr>
          <w:rFonts w:hint="eastAsia" w:ascii="仿宋_GB2312" w:hAnsi="仿宋_GB2312" w:eastAsia="仿宋_GB2312" w:cs="仿宋_GB2312"/>
          <w:color w:val="auto"/>
          <w:spacing w:val="10"/>
          <w:sz w:val="24"/>
          <w:szCs w:val="24"/>
          <w:highlight w:val="none"/>
          <w:lang w:val="en-US" w:eastAsia="en-US" w:bidi="ar-SA"/>
        </w:rPr>
        <w:t xml:space="preserve"> </w:t>
      </w:r>
      <w:r>
        <w:rPr>
          <w:rFonts w:hint="eastAsia" w:ascii="仿宋_GB2312" w:hAnsi="仿宋_GB2312" w:eastAsia="仿宋_GB2312" w:cs="仿宋_GB2312"/>
          <w:color w:val="auto"/>
          <w:spacing w:val="60"/>
          <w:sz w:val="24"/>
          <w:szCs w:val="24"/>
          <w:highlight w:val="none"/>
          <w:lang w:val="en-US" w:eastAsia="en-US" w:bidi="ar-SA"/>
        </w:rPr>
        <w:t>1</w:t>
      </w:r>
      <w:r>
        <w:rPr>
          <w:rFonts w:hint="eastAsia" w:ascii="仿宋_GB2312" w:hAnsi="仿宋_GB2312" w:eastAsia="仿宋_GB2312" w:cs="仿宋_GB2312"/>
          <w:color w:val="auto"/>
          <w:spacing w:val="-5"/>
          <w:sz w:val="24"/>
          <w:szCs w:val="24"/>
          <w:highlight w:val="none"/>
          <w:lang w:val="en-US" w:eastAsia="en-US" w:bidi="ar-SA"/>
        </w:rPr>
        <w:t>人，全职，具有全日制本科及以上文化水平，</w:t>
      </w:r>
      <w:r>
        <w:rPr>
          <w:rFonts w:hint="eastAsia" w:ascii="仿宋_GB2312" w:hAnsi="仿宋_GB2312" w:eastAsia="仿宋_GB2312" w:cs="仿宋_GB2312"/>
          <w:color w:val="auto"/>
          <w:spacing w:val="-3"/>
          <w:sz w:val="24"/>
          <w:szCs w:val="24"/>
          <w:highlight w:val="none"/>
          <w:lang w:val="en-US" w:eastAsia="en-US" w:bidi="ar-SA"/>
        </w:rPr>
        <w:t>具备合法的劳动从业资格，资深养老服务管理从业人员，负责所有服务内容的管理工作。其余工作人员如康复师、护士、专职服务人员、保洁员、帮厨人员等服务团队由成交供应商根据实际情况安排，必须满足采购方的服务要求及管理考核细则。所有团队人员的待遇保障和个人安全等保障由成交供应商负责。从业人员</w:t>
      </w:r>
      <w:r>
        <w:rPr>
          <w:rFonts w:hint="eastAsia" w:ascii="仿宋_GB2312" w:hAnsi="仿宋_GB2312" w:eastAsia="仿宋_GB2312" w:cs="仿宋_GB2312"/>
          <w:color w:val="auto"/>
          <w:sz w:val="24"/>
          <w:szCs w:val="24"/>
          <w:highlight w:val="none"/>
          <w:lang w:val="en-US" w:eastAsia="en-US" w:bidi="ar-SA"/>
        </w:rPr>
        <w:t>上岗前须持有健康证明，配备的专业人员必须持证上岗。</w:t>
      </w:r>
    </w:p>
    <w:tbl>
      <w:tblPr>
        <w:tblStyle w:val="36"/>
        <w:tblpPr w:leftFromText="180" w:rightFromText="180" w:vertAnchor="text" w:horzAnchor="page" w:tblpX="1898" w:tblpY="508"/>
        <w:tblOverlap w:val="never"/>
        <w:tblW w:w="100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6"/>
        <w:gridCol w:w="3060"/>
        <w:gridCol w:w="2120"/>
        <w:gridCol w:w="2788"/>
      </w:tblGrid>
      <w:tr w14:paraId="650E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096" w:type="dxa"/>
            <w:tcBorders>
              <w:top w:val="single" w:color="000000" w:sz="4" w:space="0"/>
              <w:left w:val="single" w:color="000000" w:sz="4" w:space="0"/>
              <w:bottom w:val="single" w:color="000000" w:sz="4" w:space="0"/>
              <w:right w:val="single" w:color="000000" w:sz="4" w:space="0"/>
            </w:tcBorders>
            <w:noWrap/>
            <w:vAlign w:val="center"/>
          </w:tcPr>
          <w:p w14:paraId="24B0527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岗位</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1239530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职责</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4FE9102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人数</w:t>
            </w:r>
          </w:p>
        </w:tc>
        <w:tc>
          <w:tcPr>
            <w:tcW w:w="2788" w:type="dxa"/>
            <w:tcBorders>
              <w:top w:val="single" w:color="000000" w:sz="4" w:space="0"/>
              <w:left w:val="single" w:color="000000" w:sz="4" w:space="0"/>
              <w:bottom w:val="single" w:color="000000" w:sz="4" w:space="0"/>
              <w:right w:val="single" w:color="000000" w:sz="4" w:space="0"/>
            </w:tcBorders>
            <w:noWrap/>
            <w:vAlign w:val="center"/>
          </w:tcPr>
          <w:p w14:paraId="07E03AA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备注</w:t>
            </w:r>
          </w:p>
        </w:tc>
      </w:tr>
      <w:tr w14:paraId="6E769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096" w:type="dxa"/>
            <w:tcBorders>
              <w:top w:val="single" w:color="000000" w:sz="4" w:space="0"/>
              <w:left w:val="single" w:color="000000" w:sz="4" w:space="0"/>
              <w:bottom w:val="single" w:color="000000" w:sz="4" w:space="0"/>
              <w:right w:val="single" w:color="000000" w:sz="4" w:space="0"/>
            </w:tcBorders>
            <w:noWrap/>
            <w:vAlign w:val="center"/>
          </w:tcPr>
          <w:p w14:paraId="45C485A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项目经理</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73A37BE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负责整个项目的管理</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7D8EB8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ign w:val="center"/>
          </w:tcPr>
          <w:p w14:paraId="124B46A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本科及以上</w:t>
            </w:r>
          </w:p>
        </w:tc>
      </w:tr>
      <w:tr w14:paraId="3F01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096" w:type="dxa"/>
            <w:tcBorders>
              <w:top w:val="single" w:color="000000" w:sz="4" w:space="0"/>
              <w:left w:val="single" w:color="000000" w:sz="4" w:space="0"/>
              <w:bottom w:val="single" w:color="000000" w:sz="4" w:space="0"/>
              <w:right w:val="single" w:color="000000" w:sz="4" w:space="0"/>
            </w:tcBorders>
            <w:noWrap/>
            <w:vAlign w:val="center"/>
          </w:tcPr>
          <w:p w14:paraId="08447E3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站点管理员</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0F18B39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负责站点的管理</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16F369B">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不少于4人</w:t>
            </w:r>
          </w:p>
        </w:tc>
        <w:tc>
          <w:tcPr>
            <w:tcW w:w="2788" w:type="dxa"/>
            <w:tcBorders>
              <w:top w:val="single" w:color="000000" w:sz="4" w:space="0"/>
              <w:left w:val="single" w:color="000000" w:sz="4" w:space="0"/>
              <w:bottom w:val="single" w:color="000000" w:sz="4" w:space="0"/>
              <w:right w:val="single" w:color="000000" w:sz="4" w:space="0"/>
            </w:tcBorders>
            <w:noWrap/>
            <w:vAlign w:val="center"/>
          </w:tcPr>
          <w:p w14:paraId="0E805534">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i w:val="0"/>
                <w:iCs w:val="0"/>
                <w:color w:val="auto"/>
                <w:sz w:val="24"/>
                <w:szCs w:val="24"/>
                <w:highlight w:val="none"/>
                <w:u w:val="none"/>
              </w:rPr>
            </w:pPr>
          </w:p>
        </w:tc>
      </w:tr>
      <w:tr w14:paraId="3273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096" w:type="dxa"/>
            <w:tcBorders>
              <w:top w:val="single" w:color="000000" w:sz="4" w:space="0"/>
              <w:left w:val="single" w:color="000000" w:sz="4" w:space="0"/>
              <w:bottom w:val="single" w:color="000000" w:sz="4" w:space="0"/>
              <w:right w:val="single" w:color="000000" w:sz="4" w:space="0"/>
            </w:tcBorders>
            <w:noWrap/>
            <w:vAlign w:val="center"/>
          </w:tcPr>
          <w:p w14:paraId="6ED91C9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服务团队</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3975D74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负责居家服务和站点服务</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8DA174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不少于8人</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14:paraId="0C51943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相应的岗位证书（例护理员证、康复师证等）</w:t>
            </w:r>
          </w:p>
        </w:tc>
      </w:tr>
      <w:tr w14:paraId="229C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096" w:type="dxa"/>
            <w:tcBorders>
              <w:top w:val="single" w:color="000000" w:sz="4" w:space="0"/>
              <w:left w:val="single" w:color="000000" w:sz="4" w:space="0"/>
              <w:bottom w:val="single" w:color="000000" w:sz="4" w:space="0"/>
              <w:right w:val="single" w:color="000000" w:sz="4" w:space="0"/>
            </w:tcBorders>
            <w:noWrap/>
            <w:vAlign w:val="center"/>
          </w:tcPr>
          <w:p w14:paraId="37A5AA9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残疾人之家</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5CF5969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负责残疾人之家运营管理</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138B8B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ign w:val="center"/>
          </w:tcPr>
          <w:p w14:paraId="6624462A">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i w:val="0"/>
                <w:iCs w:val="0"/>
                <w:color w:val="auto"/>
                <w:sz w:val="24"/>
                <w:szCs w:val="24"/>
                <w:highlight w:val="none"/>
                <w:u w:val="none"/>
              </w:rPr>
            </w:pPr>
          </w:p>
        </w:tc>
      </w:tr>
      <w:tr w14:paraId="6C53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096" w:type="dxa"/>
            <w:tcBorders>
              <w:top w:val="single" w:color="000000" w:sz="4" w:space="0"/>
              <w:left w:val="single" w:color="000000" w:sz="4" w:space="0"/>
              <w:bottom w:val="single" w:color="000000" w:sz="4" w:space="0"/>
              <w:right w:val="single" w:color="000000" w:sz="4" w:space="0"/>
            </w:tcBorders>
            <w:noWrap/>
            <w:vAlign w:val="center"/>
          </w:tcPr>
          <w:p w14:paraId="71C3925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中央厨房人员</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7FDF5A0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负责中央厨房运营</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BC4F90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符合举办要求</w:t>
            </w:r>
          </w:p>
        </w:tc>
        <w:tc>
          <w:tcPr>
            <w:tcW w:w="2788" w:type="dxa"/>
            <w:tcBorders>
              <w:top w:val="single" w:color="000000" w:sz="4" w:space="0"/>
              <w:left w:val="single" w:color="000000" w:sz="4" w:space="0"/>
              <w:bottom w:val="single" w:color="000000" w:sz="4" w:space="0"/>
              <w:right w:val="single" w:color="000000" w:sz="4" w:space="0"/>
            </w:tcBorders>
            <w:noWrap/>
            <w:vAlign w:val="center"/>
          </w:tcPr>
          <w:p w14:paraId="24A309D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厨师证、健康证等</w:t>
            </w:r>
          </w:p>
        </w:tc>
      </w:tr>
      <w:tr w14:paraId="3B47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096" w:type="dxa"/>
            <w:tcBorders>
              <w:top w:val="single" w:color="000000" w:sz="4" w:space="0"/>
              <w:left w:val="single" w:color="000000" w:sz="4" w:space="0"/>
              <w:bottom w:val="single" w:color="000000" w:sz="4" w:space="0"/>
              <w:right w:val="single" w:color="000000" w:sz="4" w:space="0"/>
            </w:tcBorders>
            <w:noWrap/>
            <w:vAlign w:val="center"/>
          </w:tcPr>
          <w:p w14:paraId="3682B87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其他人员</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20E40B9E">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i w:val="0"/>
                <w:iCs w:val="0"/>
                <w:color w:val="auto"/>
                <w:sz w:val="24"/>
                <w:szCs w:val="24"/>
                <w:highlight w:val="none"/>
                <w:u w:val="none"/>
              </w:rPr>
            </w:pP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3E721BA7">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i w:val="0"/>
                <w:iCs w:val="0"/>
                <w:color w:val="auto"/>
                <w:sz w:val="24"/>
                <w:szCs w:val="24"/>
                <w:highlight w:val="none"/>
                <w:u w:val="none"/>
              </w:rPr>
            </w:pPr>
          </w:p>
        </w:tc>
        <w:tc>
          <w:tcPr>
            <w:tcW w:w="2788" w:type="dxa"/>
            <w:tcBorders>
              <w:top w:val="single" w:color="000000" w:sz="4" w:space="0"/>
              <w:left w:val="single" w:color="000000" w:sz="4" w:space="0"/>
              <w:bottom w:val="single" w:color="000000" w:sz="4" w:space="0"/>
              <w:right w:val="single" w:color="000000" w:sz="4" w:space="0"/>
            </w:tcBorders>
            <w:noWrap/>
            <w:vAlign w:val="center"/>
          </w:tcPr>
          <w:p w14:paraId="4E24AF70">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i w:val="0"/>
                <w:iCs w:val="0"/>
                <w:color w:val="auto"/>
                <w:sz w:val="24"/>
                <w:szCs w:val="24"/>
                <w:highlight w:val="none"/>
                <w:u w:val="none"/>
              </w:rPr>
            </w:pPr>
          </w:p>
        </w:tc>
      </w:tr>
    </w:tbl>
    <w:p w14:paraId="513D6454">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p>
    <w:p w14:paraId="6CC18C9A">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zh-CN" w:bidi="ar-SA"/>
        </w:rPr>
        <w:t xml:space="preserve"> 2、人员素</w:t>
      </w:r>
      <w:r>
        <w:rPr>
          <w:rFonts w:hint="eastAsia" w:ascii="仿宋_GB2312" w:hAnsi="仿宋_GB2312" w:eastAsia="仿宋_GB2312" w:cs="仿宋_GB2312"/>
          <w:color w:val="auto"/>
          <w:sz w:val="24"/>
          <w:szCs w:val="24"/>
          <w:highlight w:val="none"/>
          <w:lang w:val="en-US" w:eastAsia="en-US" w:bidi="ar-SA"/>
        </w:rPr>
        <w:t>质基本要求：</w:t>
      </w:r>
    </w:p>
    <w:p w14:paraId="05E474EC">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（1）具备合法的劳动从业资格。</w:t>
      </w:r>
    </w:p>
    <w:p w14:paraId="739C5693">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（2）信守职业道德，遵纪守法，熟悉居家养老服务程序和规范要求。</w:t>
      </w:r>
    </w:p>
    <w:p w14:paraId="226EC4E6">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（3）具有符合工作岗位要求的文化程度、健康状况证明和基本服务技能。</w:t>
      </w:r>
    </w:p>
    <w:p w14:paraId="10281310">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3、管理人员要求</w:t>
      </w:r>
    </w:p>
    <w:p w14:paraId="7F79A285">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（1）了解国家和行业主管部门有关居家养老服务的法律、法规和规定。</w:t>
      </w:r>
    </w:p>
    <w:p w14:paraId="2C1EADED">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（2）掌握企业管理、经营项目有关专业知识及专业技能。</w:t>
      </w:r>
    </w:p>
    <w:p w14:paraId="666AF09A">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（3）具有高中以上文化程度和管理工作经历。</w:t>
      </w:r>
    </w:p>
    <w:p w14:paraId="55767FE3">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（4）每年至少参加</w:t>
      </w:r>
      <w:r>
        <w:rPr>
          <w:rFonts w:hint="eastAsia" w:ascii="仿宋_GB2312" w:hAnsi="仿宋_GB2312" w:eastAsia="仿宋_GB2312" w:cs="仿宋_GB2312"/>
          <w:color w:val="auto"/>
          <w:spacing w:val="1"/>
          <w:sz w:val="24"/>
          <w:szCs w:val="24"/>
          <w:highlight w:val="none"/>
          <w:lang w:val="en-US" w:eastAsia="en-US" w:bidi="ar-SA"/>
        </w:rPr>
        <w:t xml:space="preserve"> </w:t>
      </w:r>
      <w:r>
        <w:rPr>
          <w:rFonts w:hint="eastAsia" w:ascii="仿宋_GB2312" w:hAnsi="仿宋_GB2312" w:eastAsia="仿宋_GB2312" w:cs="仿宋_GB2312"/>
          <w:color w:val="auto"/>
          <w:spacing w:val="60"/>
          <w:sz w:val="24"/>
          <w:szCs w:val="24"/>
          <w:highlight w:val="none"/>
          <w:lang w:val="en-US" w:eastAsia="en-US" w:bidi="ar-SA"/>
        </w:rPr>
        <w:t>1</w:t>
      </w:r>
      <w:r>
        <w:rPr>
          <w:rFonts w:hint="eastAsia" w:ascii="仿宋_GB2312" w:hAnsi="仿宋_GB2312" w:eastAsia="仿宋_GB2312" w:cs="仿宋_GB2312"/>
          <w:color w:val="auto"/>
          <w:sz w:val="24"/>
          <w:szCs w:val="24"/>
          <w:highlight w:val="none"/>
          <w:lang w:val="en-US" w:eastAsia="en-US" w:bidi="ar-SA"/>
        </w:rPr>
        <w:t>次以上相关培训活动。</w:t>
      </w:r>
    </w:p>
    <w:p w14:paraId="1061C264">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4、居家养老服务人员要求</w:t>
      </w:r>
    </w:p>
    <w:p w14:paraId="7DC27B10">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（1）具备与服务内容相适应的岗位技能。</w:t>
      </w:r>
    </w:p>
    <w:p w14:paraId="046093FE">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（2）年龄在 18周岁以上、65周岁以下，初中以上文化程度。</w:t>
      </w:r>
    </w:p>
    <w:p w14:paraId="1297B722">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（3）无精神病史和各类传染性疾病。</w:t>
      </w:r>
    </w:p>
    <w:p w14:paraId="6CCFC1EA">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（4）每年在岗培训不少于</w:t>
      </w:r>
      <w:r>
        <w:rPr>
          <w:rFonts w:hint="eastAsia" w:ascii="仿宋_GB2312" w:hAnsi="仿宋_GB2312" w:eastAsia="仿宋_GB2312" w:cs="仿宋_GB2312"/>
          <w:color w:val="auto"/>
          <w:spacing w:val="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10学时。</w:t>
      </w:r>
    </w:p>
    <w:p w14:paraId="3701126E">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5、行为规范要求</w:t>
      </w:r>
    </w:p>
    <w:p w14:paraId="119A2A30">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（1）仪表仪容端庄、大方、整洁。</w:t>
      </w:r>
    </w:p>
    <w:p w14:paraId="6E6A5561">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（2）统一着装、佩戴工号牌。</w:t>
      </w:r>
    </w:p>
    <w:p w14:paraId="77CCE370">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（3）语言文明、简洁、清晰。</w:t>
      </w:r>
    </w:p>
    <w:p w14:paraId="0183C721">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（4）服务主动热情，符合相应岗位的服务礼仪规范。</w:t>
      </w:r>
    </w:p>
    <w:p w14:paraId="12F2C820">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（5）尊老敬老，对老年人富有爱心。</w:t>
      </w:r>
    </w:p>
    <w:p w14:paraId="394FE0D9">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（四）开放服务时间：按站点服务要求开放。</w:t>
      </w:r>
    </w:p>
    <w:p w14:paraId="325F0FAC">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（五）相关事项说明</w:t>
      </w:r>
    </w:p>
    <w:p w14:paraId="385ED61B">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bidi="ar-SA"/>
        </w:rPr>
        <w:t>（</w:t>
      </w:r>
      <w:r>
        <w:rPr>
          <w:rFonts w:hint="eastAsia" w:ascii="仿宋_GB2312" w:hAnsi="仿宋_GB2312" w:eastAsia="仿宋_GB2312" w:cs="仿宋_GB2312"/>
          <w:color w:val="auto"/>
          <w:sz w:val="24"/>
          <w:szCs w:val="24"/>
          <w:highlight w:val="none"/>
          <w:lang w:val="en-US" w:eastAsia="en-US" w:bidi="ar-SA"/>
        </w:rPr>
        <w:t>1）</w:t>
      </w:r>
      <w:r>
        <w:rPr>
          <w:rFonts w:hint="eastAsia" w:ascii="仿宋_GB2312" w:hAnsi="仿宋_GB2312" w:eastAsia="仿宋_GB2312" w:cs="仿宋_GB2312"/>
          <w:color w:val="auto"/>
          <w:sz w:val="24"/>
          <w:szCs w:val="24"/>
          <w:highlight w:val="none"/>
          <w:lang w:val="en-US" w:eastAsia="zh-CN" w:bidi="ar-SA"/>
        </w:rPr>
        <w:t>助餐服务</w:t>
      </w:r>
      <w:r>
        <w:rPr>
          <w:rFonts w:hint="eastAsia" w:ascii="仿宋_GB2312" w:hAnsi="仿宋_GB2312" w:eastAsia="仿宋_GB2312" w:cs="仿宋_GB2312"/>
          <w:color w:val="auto"/>
          <w:sz w:val="24"/>
          <w:szCs w:val="24"/>
          <w:highlight w:val="none"/>
          <w:lang w:val="en-US" w:eastAsia="en-US" w:bidi="ar-SA"/>
        </w:rPr>
        <w:t>由</w:t>
      </w:r>
      <w:r>
        <w:rPr>
          <w:rFonts w:hint="eastAsia" w:ascii="仿宋_GB2312" w:hAnsi="仿宋_GB2312" w:eastAsia="仿宋_GB2312" w:cs="仿宋_GB2312"/>
          <w:color w:val="auto"/>
          <w:sz w:val="24"/>
          <w:szCs w:val="24"/>
          <w:highlight w:val="none"/>
          <w:lang w:val="en-US" w:eastAsia="zh-CN" w:bidi="ar-SA"/>
        </w:rPr>
        <w:t>成交供应商</w:t>
      </w:r>
      <w:r>
        <w:rPr>
          <w:rFonts w:hint="eastAsia" w:ascii="仿宋_GB2312" w:hAnsi="仿宋_GB2312" w:eastAsia="仿宋_GB2312" w:cs="仿宋_GB2312"/>
          <w:color w:val="auto"/>
          <w:sz w:val="24"/>
          <w:szCs w:val="24"/>
          <w:highlight w:val="none"/>
          <w:lang w:val="en-US" w:eastAsia="en-US" w:bidi="ar-SA"/>
        </w:rPr>
        <w:t>通过</w:t>
      </w:r>
      <w:r>
        <w:rPr>
          <w:rFonts w:hint="eastAsia" w:ascii="仿宋_GB2312" w:hAnsi="仿宋_GB2312" w:eastAsia="仿宋_GB2312" w:cs="仿宋_GB2312"/>
          <w:color w:val="auto"/>
          <w:sz w:val="24"/>
          <w:szCs w:val="24"/>
          <w:highlight w:val="none"/>
          <w:lang w:val="en-US" w:eastAsia="zh-CN" w:bidi="ar-SA"/>
        </w:rPr>
        <w:t>中央厨房</w:t>
      </w:r>
      <w:r>
        <w:rPr>
          <w:rFonts w:hint="eastAsia" w:ascii="仿宋_GB2312" w:hAnsi="仿宋_GB2312" w:eastAsia="仿宋_GB2312" w:cs="仿宋_GB2312"/>
          <w:color w:val="auto"/>
          <w:sz w:val="24"/>
          <w:szCs w:val="24"/>
          <w:highlight w:val="none"/>
          <w:lang w:val="en-US" w:eastAsia="en-US" w:bidi="ar-SA"/>
        </w:rPr>
        <w:t>提供，</w:t>
      </w:r>
      <w:r>
        <w:rPr>
          <w:rFonts w:hint="eastAsia" w:ascii="仿宋_GB2312" w:hAnsi="仿宋_GB2312" w:eastAsia="仿宋_GB2312" w:cs="仿宋_GB2312"/>
          <w:color w:val="auto"/>
          <w:sz w:val="24"/>
          <w:szCs w:val="24"/>
          <w:highlight w:val="none"/>
          <w:lang w:val="en-US" w:eastAsia="zh-CN" w:bidi="ar-SA"/>
        </w:rPr>
        <w:t>每月底根据长者需求及老年人用餐的特点提前出具下个月的菜单并公示，便于服务对象订餐。成交供应商中央厨房管理必须符合市场监督的相关要求（即采购索证索票，食材可溯源；工作人员严格按照要求进行操作等）。</w:t>
      </w:r>
    </w:p>
    <w:p w14:paraId="6A832784">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Fonts w:hint="eastAsia"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en-US" w:bidi="ar-SA"/>
        </w:rPr>
        <w:t>（</w:t>
      </w:r>
      <w:r>
        <w:rPr>
          <w:rFonts w:hint="eastAsia" w:ascii="仿宋_GB2312" w:hAnsi="仿宋_GB2312" w:eastAsia="仿宋_GB2312" w:cs="仿宋_GB2312"/>
          <w:color w:val="auto"/>
          <w:sz w:val="24"/>
          <w:szCs w:val="24"/>
          <w:highlight w:val="none"/>
          <w:lang w:val="en-US" w:eastAsia="zh-CN" w:bidi="ar-SA"/>
        </w:rPr>
        <w:t>2</w:t>
      </w:r>
      <w:r>
        <w:rPr>
          <w:rFonts w:hint="eastAsia" w:ascii="仿宋_GB2312" w:hAnsi="仿宋_GB2312" w:eastAsia="仿宋_GB2312" w:cs="仿宋_GB2312"/>
          <w:color w:val="auto"/>
          <w:spacing w:val="-3"/>
          <w:sz w:val="24"/>
          <w:szCs w:val="24"/>
          <w:highlight w:val="none"/>
          <w:lang w:val="en-US" w:eastAsia="en-US" w:bidi="ar-SA"/>
        </w:rPr>
        <w:t>）街道日间照料中心及其他社区居家养老服务站的水电费由</w:t>
      </w:r>
      <w:r>
        <w:rPr>
          <w:rFonts w:hint="eastAsia" w:ascii="仿宋_GB2312" w:hAnsi="仿宋_GB2312" w:eastAsia="仿宋_GB2312" w:cs="仿宋_GB2312"/>
          <w:color w:val="auto"/>
          <w:spacing w:val="-3"/>
          <w:sz w:val="24"/>
          <w:szCs w:val="24"/>
          <w:highlight w:val="none"/>
          <w:lang w:val="en-US" w:eastAsia="zh-CN" w:bidi="ar-SA"/>
        </w:rPr>
        <w:t>成交供应商</w:t>
      </w:r>
      <w:r>
        <w:rPr>
          <w:rFonts w:hint="eastAsia" w:ascii="仿宋_GB2312" w:hAnsi="仿宋_GB2312" w:eastAsia="仿宋_GB2312" w:cs="仿宋_GB2312"/>
          <w:color w:val="auto"/>
          <w:spacing w:val="-3"/>
          <w:sz w:val="24"/>
          <w:szCs w:val="24"/>
          <w:highlight w:val="none"/>
          <w:lang w:val="en-US" w:eastAsia="en-US" w:bidi="ar-SA"/>
        </w:rPr>
        <w:t>负责，日常管理由所在社区和成交供应商共同管理。街道残疾人之家</w:t>
      </w:r>
      <w:r>
        <w:rPr>
          <w:rFonts w:hint="eastAsia" w:ascii="仿宋_GB2312" w:hAnsi="仿宋_GB2312" w:eastAsia="仿宋_GB2312" w:cs="仿宋_GB2312"/>
          <w:color w:val="auto"/>
          <w:spacing w:val="-3"/>
          <w:sz w:val="24"/>
          <w:szCs w:val="24"/>
          <w:highlight w:val="none"/>
          <w:lang w:val="en-US" w:eastAsia="zh-CN" w:bidi="ar-SA"/>
        </w:rPr>
        <w:t>设置在中兴长者驿家内，</w:t>
      </w:r>
      <w:r>
        <w:rPr>
          <w:rFonts w:hint="eastAsia" w:ascii="仿宋_GB2312" w:hAnsi="仿宋_GB2312" w:eastAsia="仿宋_GB2312" w:cs="仿宋_GB2312"/>
          <w:color w:val="auto"/>
          <w:spacing w:val="-3"/>
          <w:sz w:val="24"/>
          <w:szCs w:val="24"/>
          <w:highlight w:val="none"/>
          <w:lang w:val="en-US" w:eastAsia="en-US" w:bidi="ar-SA"/>
        </w:rPr>
        <w:t>由成交供应商管理，水电费由</w:t>
      </w:r>
      <w:r>
        <w:rPr>
          <w:rFonts w:hint="eastAsia" w:ascii="仿宋_GB2312" w:hAnsi="仿宋_GB2312" w:eastAsia="仿宋_GB2312" w:cs="仿宋_GB2312"/>
          <w:color w:val="auto"/>
          <w:spacing w:val="-3"/>
          <w:sz w:val="24"/>
          <w:szCs w:val="24"/>
          <w:highlight w:val="none"/>
          <w:lang w:val="en-US" w:eastAsia="zh-CN" w:bidi="ar-SA"/>
        </w:rPr>
        <w:t>成交供应商</w:t>
      </w:r>
      <w:r>
        <w:rPr>
          <w:rFonts w:hint="eastAsia" w:ascii="仿宋_GB2312" w:hAnsi="仿宋_GB2312" w:eastAsia="仿宋_GB2312" w:cs="仿宋_GB2312"/>
          <w:color w:val="auto"/>
          <w:spacing w:val="-3"/>
          <w:sz w:val="24"/>
          <w:szCs w:val="24"/>
          <w:highlight w:val="none"/>
          <w:lang w:val="en-US" w:eastAsia="en-US" w:bidi="ar-SA"/>
        </w:rPr>
        <w:t>负责。</w:t>
      </w:r>
      <w:r>
        <w:rPr>
          <w:rFonts w:hint="eastAsia" w:ascii="仿宋_GB2312" w:hAnsi="仿宋_GB2312" w:eastAsia="仿宋_GB2312" w:cs="仿宋_GB2312"/>
          <w:color w:val="auto"/>
          <w:sz w:val="24"/>
          <w:szCs w:val="24"/>
          <w:highlight w:val="none"/>
          <w:lang w:val="en-US" w:eastAsia="en-US" w:bidi="ar-SA"/>
        </w:rPr>
        <w:t>街道日间照料中心及居家养老服务站运营经费</w:t>
      </w:r>
      <w:r>
        <w:rPr>
          <w:rFonts w:hint="eastAsia" w:ascii="仿宋_GB2312" w:hAnsi="仿宋_GB2312" w:eastAsia="仿宋_GB2312" w:cs="仿宋_GB2312"/>
          <w:color w:val="auto"/>
          <w:sz w:val="24"/>
          <w:szCs w:val="24"/>
          <w:highlight w:val="none"/>
          <w:lang w:val="en-US" w:eastAsia="zh-CN" w:bidi="ar-SA"/>
        </w:rPr>
        <w:t>在年度考核合格后按照考核结果及相关政府要求拨付给采购</w:t>
      </w:r>
    </w:p>
    <w:p w14:paraId="5FF29A81">
      <w:pPr>
        <w:keepNext w:val="0"/>
        <w:keepLines w:val="0"/>
        <w:pageBreakBefore w:val="0"/>
        <w:kinsoku/>
        <w:wordWrap/>
        <w:overflowPunct/>
        <w:topLinePunct w:val="0"/>
        <w:autoSpaceDE/>
        <w:autoSpaceDN/>
        <w:bidi w:val="0"/>
        <w:adjustRightInd/>
        <w:snapToGrid/>
        <w:spacing w:line="360" w:lineRule="auto"/>
        <w:jc w:val="left"/>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zh-CN" w:bidi="ar-SA"/>
        </w:rPr>
        <w:t>供应商</w:t>
      </w:r>
      <w:r>
        <w:rPr>
          <w:rFonts w:hint="eastAsia" w:ascii="仿宋_GB2312" w:hAnsi="仿宋_GB2312" w:eastAsia="仿宋_GB2312" w:cs="仿宋_GB2312"/>
          <w:color w:val="auto"/>
          <w:sz w:val="24"/>
          <w:szCs w:val="24"/>
          <w:highlight w:val="none"/>
          <w:lang w:val="en-US" w:eastAsia="en-US" w:bidi="ar-SA"/>
        </w:rPr>
        <w:t>。</w:t>
      </w:r>
    </w:p>
    <w:p w14:paraId="6977AAF8">
      <w:pPr>
        <w:spacing w:before="898" w:line="291" w:lineRule="exact"/>
        <w:ind w:left="338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第五条</w:t>
      </w:r>
      <w:r>
        <w:rPr>
          <w:rFonts w:hint="eastAsia" w:ascii="仿宋_GB2312" w:hAnsi="仿宋_GB2312" w:eastAsia="仿宋_GB2312" w:cs="仿宋_GB2312"/>
          <w:color w:val="auto"/>
          <w:spacing w:val="72"/>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项目监管</w:t>
      </w:r>
    </w:p>
    <w:p w14:paraId="55E706EA">
      <w:pPr>
        <w:keepNext w:val="0"/>
        <w:keepLines w:val="0"/>
        <w:pageBreakBefore w:val="0"/>
        <w:widowControl w:val="0"/>
        <w:kinsoku/>
        <w:wordWrap/>
        <w:overflowPunct/>
        <w:topLinePunct w:val="0"/>
        <w:autoSpaceDE/>
        <w:autoSpaceDN/>
        <w:bidi w:val="0"/>
        <w:adjustRightInd/>
        <w:snapToGrid/>
        <w:spacing w:line="360" w:lineRule="auto"/>
        <w:ind w:left="0" w:firstLine="484"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（一）考核评估</w:t>
      </w:r>
    </w:p>
    <w:p w14:paraId="17158AB5">
      <w:pPr>
        <w:keepNext w:val="0"/>
        <w:keepLines w:val="0"/>
        <w:pageBreakBefore w:val="0"/>
        <w:widowControl w:val="0"/>
        <w:kinsoku/>
        <w:wordWrap/>
        <w:overflowPunct/>
        <w:topLinePunct w:val="0"/>
        <w:autoSpaceDE/>
        <w:autoSpaceDN/>
        <w:bidi w:val="0"/>
        <w:adjustRightInd/>
        <w:snapToGrid/>
        <w:spacing w:line="360" w:lineRule="auto"/>
        <w:ind w:left="0" w:firstLine="488"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、考核标准，分为上级考核、街道考核两个层次。</w:t>
      </w:r>
    </w:p>
    <w:p w14:paraId="3F02202C">
      <w:pPr>
        <w:keepNext w:val="0"/>
        <w:keepLines w:val="0"/>
        <w:pageBreakBefore w:val="0"/>
        <w:widowControl w:val="0"/>
        <w:kinsoku/>
        <w:wordWrap/>
        <w:overflowPunct/>
        <w:topLinePunct w:val="0"/>
        <w:autoSpaceDE/>
        <w:autoSpaceDN/>
        <w:bidi w:val="0"/>
        <w:adjustRightInd/>
        <w:snapToGrid/>
        <w:spacing w:line="360" w:lineRule="auto"/>
        <w:ind w:left="0" w:firstLine="488"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w:t>
      </w:r>
      <w:r>
        <w:rPr>
          <w:rFonts w:hint="eastAsia" w:ascii="仿宋_GB2312" w:hAnsi="仿宋_GB2312" w:eastAsia="仿宋_GB2312" w:cs="仿宋_GB2312"/>
          <w:color w:val="auto"/>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）上级考核，按照市、区专项标准，接受市、区的评估考核；</w:t>
      </w:r>
    </w:p>
    <w:p w14:paraId="0D9D20D8">
      <w:pPr>
        <w:keepNext w:val="0"/>
        <w:keepLines w:val="0"/>
        <w:pageBreakBefore w:val="0"/>
        <w:widowControl w:val="0"/>
        <w:kinsoku/>
        <w:wordWrap/>
        <w:overflowPunct/>
        <w:topLinePunct w:val="0"/>
        <w:autoSpaceDE/>
        <w:autoSpaceDN/>
        <w:bidi w:val="0"/>
        <w:adjustRightInd/>
        <w:snapToGrid/>
        <w:spacing w:line="360" w:lineRule="auto"/>
        <w:ind w:left="0" w:firstLine="488"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w:t>
      </w:r>
      <w:r>
        <w:rPr>
          <w:rFonts w:hint="eastAsia" w:ascii="仿宋_GB2312" w:hAnsi="仿宋_GB2312" w:eastAsia="仿宋_GB2312" w:cs="仿宋_GB2312"/>
          <w:color w:val="auto"/>
          <w:sz w:val="24"/>
          <w:szCs w:val="24"/>
          <w:highlight w:val="none"/>
          <w:lang w:val="en-US" w:eastAsia="en-US" w:bidi="ar-SA"/>
        </w:rPr>
        <w:t>2</w:t>
      </w:r>
      <w:r>
        <w:rPr>
          <w:rFonts w:hint="eastAsia" w:ascii="仿宋_GB2312" w:hAnsi="仿宋_GB2312" w:eastAsia="仿宋_GB2312" w:cs="仿宋_GB2312"/>
          <w:color w:val="auto"/>
          <w:spacing w:val="1"/>
          <w:sz w:val="24"/>
          <w:szCs w:val="24"/>
          <w:highlight w:val="none"/>
          <w:lang w:val="en-US" w:eastAsia="en-US" w:bidi="ar-SA"/>
        </w:rPr>
        <w:t>）街道考核，按照以下标准进行考核，实行百分考核制。社区每月、街</w:t>
      </w:r>
      <w:r>
        <w:rPr>
          <w:rFonts w:hint="eastAsia" w:ascii="仿宋_GB2312" w:hAnsi="仿宋_GB2312" w:eastAsia="仿宋_GB2312" w:cs="仿宋_GB2312"/>
          <w:color w:val="auto"/>
          <w:sz w:val="24"/>
          <w:szCs w:val="24"/>
          <w:highlight w:val="none"/>
          <w:lang w:val="en-US" w:eastAsia="en-US" w:bidi="ar-SA"/>
        </w:rPr>
        <w:t>道每季度一次对政府购买服务情况进行考核。分值为社区平均分占</w:t>
      </w:r>
      <w:r>
        <w:rPr>
          <w:rFonts w:hint="eastAsia" w:ascii="仿宋_GB2312" w:hAnsi="仿宋_GB2312" w:eastAsia="仿宋_GB2312" w:cs="仿宋_GB2312"/>
          <w:color w:val="auto"/>
          <w:spacing w:val="5"/>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40%</w:t>
      </w:r>
      <w:r>
        <w:rPr>
          <w:rFonts w:hint="eastAsia" w:ascii="仿宋_GB2312" w:hAnsi="仿宋_GB2312" w:eastAsia="仿宋_GB2312" w:cs="仿宋_GB2312"/>
          <w:color w:val="auto"/>
          <w:spacing w:val="-8"/>
          <w:sz w:val="24"/>
          <w:szCs w:val="24"/>
          <w:highlight w:val="none"/>
          <w:lang w:val="en-US" w:eastAsia="en-US" w:bidi="ar-SA"/>
        </w:rPr>
        <w:t>、街道占</w:t>
      </w:r>
      <w:r>
        <w:rPr>
          <w:rFonts w:hint="eastAsia" w:ascii="仿宋_GB2312" w:hAnsi="仿宋_GB2312" w:eastAsia="仿宋_GB2312" w:cs="仿宋_GB2312"/>
          <w:color w:val="auto"/>
          <w:spacing w:val="1"/>
          <w:sz w:val="24"/>
          <w:szCs w:val="24"/>
          <w:highlight w:val="none"/>
          <w:lang w:val="en-US" w:eastAsia="en-US" w:bidi="ar-SA"/>
        </w:rPr>
        <w:t>60%。得分</w:t>
      </w:r>
      <w:r>
        <w:rPr>
          <w:rFonts w:hint="eastAsia" w:ascii="仿宋_GB2312" w:hAnsi="仿宋_GB2312" w:eastAsia="仿宋_GB2312" w:cs="仿宋_GB2312"/>
          <w:color w:val="auto"/>
          <w:spacing w:val="2"/>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95分（含）以上为“优秀”，得分</w:t>
      </w:r>
      <w:r>
        <w:rPr>
          <w:rFonts w:hint="eastAsia" w:ascii="仿宋_GB2312" w:hAnsi="仿宋_GB2312" w:eastAsia="仿宋_GB2312" w:cs="仿宋_GB2312"/>
          <w:color w:val="auto"/>
          <w:spacing w:val="4"/>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90分（含）以上为“合格”，得</w:t>
      </w:r>
      <w:r>
        <w:rPr>
          <w:rFonts w:hint="eastAsia" w:ascii="仿宋_GB2312" w:hAnsi="仿宋_GB2312" w:eastAsia="仿宋_GB2312" w:cs="仿宋_GB2312"/>
          <w:color w:val="auto"/>
          <w:spacing w:val="2"/>
          <w:sz w:val="24"/>
          <w:szCs w:val="24"/>
          <w:highlight w:val="none"/>
          <w:lang w:val="en-US" w:eastAsia="en-US" w:bidi="ar-SA"/>
        </w:rPr>
        <w:t>分在</w:t>
      </w:r>
      <w:r>
        <w:rPr>
          <w:rFonts w:hint="eastAsia" w:ascii="仿宋_GB2312" w:hAnsi="仿宋_GB2312" w:eastAsia="仿宋_GB2312" w:cs="仿宋_GB2312"/>
          <w:color w:val="auto"/>
          <w:spacing w:val="-2"/>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80-89分（含）的为“基本合格”，</w:t>
      </w:r>
      <w:r>
        <w:rPr>
          <w:rFonts w:hint="eastAsia" w:ascii="仿宋_GB2312" w:hAnsi="仿宋_GB2312" w:eastAsia="仿宋_GB2312" w:cs="仿宋_GB2312"/>
          <w:color w:val="auto"/>
          <w:sz w:val="24"/>
          <w:szCs w:val="24"/>
          <w:highlight w:val="none"/>
          <w:lang w:val="en-US" w:eastAsia="en-US" w:bidi="ar-SA"/>
        </w:rPr>
        <w:t>80</w:t>
      </w:r>
      <w:r>
        <w:rPr>
          <w:rFonts w:hint="eastAsia" w:ascii="仿宋_GB2312" w:hAnsi="仿宋_GB2312" w:eastAsia="仿宋_GB2312" w:cs="仿宋_GB2312"/>
          <w:color w:val="auto"/>
          <w:spacing w:val="1"/>
          <w:sz w:val="24"/>
          <w:szCs w:val="24"/>
          <w:highlight w:val="none"/>
          <w:lang w:val="en-US" w:eastAsia="en-US" w:bidi="ar-SA"/>
        </w:rPr>
        <w:t>分以下的为“不合格”。</w:t>
      </w:r>
    </w:p>
    <w:p w14:paraId="2B2E0755">
      <w:pPr>
        <w:keepNext w:val="0"/>
        <w:keepLines w:val="0"/>
        <w:pageBreakBefore w:val="0"/>
        <w:widowControl w:val="0"/>
        <w:kinsoku/>
        <w:wordWrap/>
        <w:overflowPunct/>
        <w:topLinePunct w:val="0"/>
        <w:autoSpaceDE/>
        <w:autoSpaceDN/>
        <w:bidi w:val="0"/>
        <w:adjustRightInd/>
        <w:snapToGrid/>
        <w:spacing w:line="360" w:lineRule="auto"/>
        <w:ind w:left="0" w:firstLine="488"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w:t>
      </w:r>
      <w:r>
        <w:rPr>
          <w:rFonts w:hint="eastAsia" w:ascii="仿宋_GB2312" w:hAnsi="仿宋_GB2312" w:eastAsia="仿宋_GB2312" w:cs="仿宋_GB2312"/>
          <w:color w:val="auto"/>
          <w:sz w:val="24"/>
          <w:szCs w:val="24"/>
          <w:highlight w:val="none"/>
          <w:lang w:val="en-US" w:eastAsia="en-US" w:bidi="ar-SA"/>
        </w:rPr>
        <w:t>3</w:t>
      </w:r>
      <w:r>
        <w:rPr>
          <w:rFonts w:hint="eastAsia" w:ascii="仿宋_GB2312" w:hAnsi="仿宋_GB2312" w:eastAsia="仿宋_GB2312" w:cs="仿宋_GB2312"/>
          <w:color w:val="auto"/>
          <w:spacing w:val="1"/>
          <w:sz w:val="24"/>
          <w:szCs w:val="24"/>
          <w:highlight w:val="none"/>
          <w:lang w:val="en-US" w:eastAsia="en-US" w:bidi="ar-SA"/>
        </w:rPr>
        <w:t>）考核办法根据上级居家和社区养老服务工作要求另行制定。</w:t>
      </w:r>
    </w:p>
    <w:p w14:paraId="4B4E2A8B">
      <w:pPr>
        <w:keepNext w:val="0"/>
        <w:keepLines w:val="0"/>
        <w:pageBreakBefore w:val="0"/>
        <w:widowControl w:val="0"/>
        <w:kinsoku/>
        <w:wordWrap/>
        <w:overflowPunct/>
        <w:topLinePunct w:val="0"/>
        <w:autoSpaceDE/>
        <w:autoSpaceDN/>
        <w:bidi w:val="0"/>
        <w:adjustRightInd/>
        <w:snapToGrid/>
        <w:spacing w:line="360" w:lineRule="auto"/>
        <w:ind w:left="0" w:firstLine="484" w:firstLineChars="200"/>
        <w:jc w:val="left"/>
        <w:textAlignment w:val="auto"/>
        <w:rPr>
          <w:rFonts w:hint="eastAsia" w:ascii="仿宋_GB2312" w:hAnsi="仿宋_GB2312" w:eastAsia="仿宋_GB2312" w:cs="仿宋_GB2312"/>
          <w:color w:val="auto"/>
          <w:spacing w:val="2"/>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（二）奖惩机制</w:t>
      </w:r>
    </w:p>
    <w:p w14:paraId="42153980">
      <w:pPr>
        <w:keepNext w:val="0"/>
        <w:keepLines w:val="0"/>
        <w:pageBreakBefore w:val="0"/>
        <w:widowControl w:val="0"/>
        <w:kinsoku/>
        <w:wordWrap/>
        <w:overflowPunct/>
        <w:topLinePunct w:val="0"/>
        <w:autoSpaceDE/>
        <w:autoSpaceDN/>
        <w:bidi w:val="0"/>
        <w:adjustRightInd/>
        <w:snapToGrid/>
        <w:spacing w:line="360" w:lineRule="auto"/>
        <w:ind w:left="0" w:firstLine="488"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、按上级部门相关文件进行考核。</w:t>
      </w:r>
    </w:p>
    <w:p w14:paraId="5BD2FCA4">
      <w:pPr>
        <w:keepNext w:val="0"/>
        <w:keepLines w:val="0"/>
        <w:pageBreakBefore w:val="0"/>
        <w:widowControl w:val="0"/>
        <w:kinsoku/>
        <w:wordWrap/>
        <w:overflowPunct/>
        <w:topLinePunct w:val="0"/>
        <w:autoSpaceDE/>
        <w:autoSpaceDN/>
        <w:bidi w:val="0"/>
        <w:adjustRightInd/>
        <w:snapToGrid/>
        <w:spacing w:line="360" w:lineRule="auto"/>
        <w:ind w:left="0" w:firstLine="488"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2</w:t>
      </w:r>
      <w:r>
        <w:rPr>
          <w:rFonts w:hint="eastAsia" w:ascii="仿宋_GB2312" w:hAnsi="仿宋_GB2312" w:eastAsia="仿宋_GB2312" w:cs="仿宋_GB2312"/>
          <w:color w:val="auto"/>
          <w:spacing w:val="-6"/>
          <w:sz w:val="24"/>
          <w:szCs w:val="24"/>
          <w:highlight w:val="none"/>
          <w:lang w:val="en-US" w:eastAsia="en-US" w:bidi="ar-SA"/>
        </w:rPr>
        <w:t>、街道每年根据上级的考核要求，制定居家和社区养老服务、残疾人之家、</w:t>
      </w:r>
      <w:r>
        <w:rPr>
          <w:rFonts w:hint="eastAsia" w:ascii="仿宋_GB2312" w:hAnsi="仿宋_GB2312" w:eastAsia="仿宋_GB2312" w:cs="仿宋_GB2312"/>
          <w:color w:val="auto"/>
          <w:spacing w:val="-3"/>
          <w:sz w:val="24"/>
          <w:szCs w:val="24"/>
          <w:highlight w:val="none"/>
          <w:lang w:val="en-US" w:eastAsia="en-US" w:bidi="ar-SA"/>
        </w:rPr>
        <w:t>医养结合、城市独居老人探访等工作的考核目标，并对以上服务内容进行考核，</w:t>
      </w:r>
      <w:r>
        <w:rPr>
          <w:rFonts w:hint="eastAsia" w:ascii="仿宋_GB2312" w:hAnsi="仿宋_GB2312" w:eastAsia="仿宋_GB2312" w:cs="仿宋_GB2312"/>
          <w:color w:val="auto"/>
          <w:spacing w:val="1"/>
          <w:sz w:val="24"/>
          <w:szCs w:val="24"/>
          <w:highlight w:val="none"/>
          <w:lang w:val="en-US" w:eastAsia="en-US" w:bidi="ar-SA"/>
        </w:rPr>
        <w:t>根据考核结果予以奖励。</w:t>
      </w:r>
    </w:p>
    <w:p w14:paraId="3CCB95AB">
      <w:pPr>
        <w:keepNext w:val="0"/>
        <w:keepLines w:val="0"/>
        <w:pageBreakBefore w:val="0"/>
        <w:widowControl w:val="0"/>
        <w:kinsoku/>
        <w:wordWrap/>
        <w:overflowPunct/>
        <w:topLinePunct w:val="0"/>
        <w:autoSpaceDE/>
        <w:autoSpaceDN/>
        <w:bidi w:val="0"/>
        <w:adjustRightInd/>
        <w:snapToGrid/>
        <w:spacing w:line="360" w:lineRule="auto"/>
        <w:ind w:left="0" w:firstLine="488" w:firstLineChars="200"/>
        <w:jc w:val="left"/>
        <w:textAlignment w:val="auto"/>
        <w:rPr>
          <w:rFonts w:hint="eastAsia" w:ascii="仿宋_GB2312" w:hAnsi="仿宋_GB2312" w:eastAsia="仿宋_GB2312" w:cs="仿宋_GB2312"/>
          <w:color w:val="auto"/>
          <w:spacing w:val="-3"/>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3</w:t>
      </w:r>
      <w:r>
        <w:rPr>
          <w:rFonts w:hint="eastAsia" w:ascii="仿宋_GB2312" w:hAnsi="仿宋_GB2312" w:eastAsia="仿宋_GB2312" w:cs="仿宋_GB2312"/>
          <w:color w:val="auto"/>
          <w:spacing w:val="-3"/>
          <w:sz w:val="24"/>
          <w:szCs w:val="24"/>
          <w:highlight w:val="none"/>
          <w:lang w:val="en-US" w:eastAsia="en-US" w:bidi="ar-SA"/>
        </w:rPr>
        <w:t>、全年季度考核有</w:t>
      </w:r>
      <w:r>
        <w:rPr>
          <w:rFonts w:hint="eastAsia" w:ascii="仿宋_GB2312" w:hAnsi="仿宋_GB2312" w:eastAsia="仿宋_GB2312" w:cs="仿宋_GB2312"/>
          <w:color w:val="auto"/>
          <w:spacing w:val="4"/>
          <w:sz w:val="24"/>
          <w:szCs w:val="24"/>
          <w:highlight w:val="none"/>
          <w:lang w:val="en-US" w:eastAsia="en-US" w:bidi="ar-SA"/>
        </w:rPr>
        <w:t xml:space="preserve"> </w:t>
      </w:r>
      <w:r>
        <w:rPr>
          <w:rFonts w:hint="eastAsia" w:ascii="仿宋_GB2312" w:hAnsi="仿宋_GB2312" w:eastAsia="仿宋_GB2312" w:cs="仿宋_GB2312"/>
          <w:color w:val="auto"/>
          <w:spacing w:val="60"/>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次及以上</w:t>
      </w:r>
      <w:r>
        <w:rPr>
          <w:rFonts w:hint="eastAsia" w:ascii="仿宋_GB2312" w:hAnsi="仿宋_GB2312" w:eastAsia="仿宋_GB2312" w:cs="仿宋_GB2312"/>
          <w:color w:val="auto"/>
          <w:spacing w:val="35"/>
          <w:sz w:val="24"/>
          <w:szCs w:val="24"/>
          <w:highlight w:val="none"/>
          <w:lang w:val="en-US" w:eastAsia="en-US" w:bidi="ar-SA"/>
        </w:rPr>
        <w:t xml:space="preserve"> </w:t>
      </w:r>
      <w:r>
        <w:rPr>
          <w:rFonts w:hint="eastAsia" w:ascii="仿宋_GB2312" w:hAnsi="仿宋_GB2312" w:eastAsia="仿宋_GB2312" w:cs="仿宋_GB2312"/>
          <w:color w:val="auto"/>
          <w:spacing w:val="-3"/>
          <w:sz w:val="24"/>
          <w:szCs w:val="24"/>
          <w:highlight w:val="none"/>
          <w:lang w:val="en-US" w:eastAsia="en-US" w:bidi="ar-SA"/>
        </w:rPr>
        <w:t>“优秀”、其他季度以及上级年度考核“合</w:t>
      </w:r>
      <w:r>
        <w:rPr>
          <w:rFonts w:hint="eastAsia" w:ascii="仿宋_GB2312" w:hAnsi="仿宋_GB2312" w:eastAsia="仿宋_GB2312" w:cs="仿宋_GB2312"/>
          <w:color w:val="auto"/>
          <w:spacing w:val="1"/>
          <w:sz w:val="24"/>
          <w:szCs w:val="24"/>
          <w:highlight w:val="none"/>
          <w:lang w:val="en-US" w:eastAsia="en-US" w:bidi="ar-SA"/>
        </w:rPr>
        <w:t>格”以上的，续签下一年度合同；当年有</w:t>
      </w:r>
      <w:r>
        <w:rPr>
          <w:rFonts w:hint="eastAsia" w:ascii="仿宋_GB2312" w:hAnsi="仿宋_GB2312" w:eastAsia="仿宋_GB2312" w:cs="仿宋_GB2312"/>
          <w:color w:val="auto"/>
          <w:spacing w:val="2"/>
          <w:sz w:val="24"/>
          <w:szCs w:val="24"/>
          <w:highlight w:val="none"/>
          <w:lang w:val="en-US" w:eastAsia="en-US" w:bidi="ar-SA"/>
        </w:rPr>
        <w:t xml:space="preserve"> </w:t>
      </w:r>
      <w:r>
        <w:rPr>
          <w:rFonts w:hint="eastAsia" w:ascii="仿宋_GB2312" w:hAnsi="仿宋_GB2312" w:eastAsia="仿宋_GB2312" w:cs="仿宋_GB2312"/>
          <w:color w:val="auto"/>
          <w:spacing w:val="60"/>
          <w:sz w:val="24"/>
          <w:szCs w:val="24"/>
          <w:highlight w:val="none"/>
          <w:lang w:val="en-US" w:eastAsia="en-US" w:bidi="ar-SA"/>
        </w:rPr>
        <w:t>2</w:t>
      </w:r>
      <w:r>
        <w:rPr>
          <w:rFonts w:hint="eastAsia" w:ascii="仿宋_GB2312" w:hAnsi="仿宋_GB2312" w:eastAsia="仿宋_GB2312" w:cs="仿宋_GB2312"/>
          <w:color w:val="auto"/>
          <w:spacing w:val="-5"/>
          <w:sz w:val="24"/>
          <w:szCs w:val="24"/>
          <w:highlight w:val="none"/>
          <w:lang w:val="en-US" w:eastAsia="en-US" w:bidi="ar-SA"/>
        </w:rPr>
        <w:t>次（含）以上的街道季度考核</w:t>
      </w:r>
      <w:r>
        <w:rPr>
          <w:rFonts w:hint="eastAsia" w:ascii="仿宋_GB2312" w:hAnsi="仿宋_GB2312" w:eastAsia="仿宋_GB2312" w:cs="仿宋_GB2312"/>
          <w:color w:val="auto"/>
          <w:spacing w:val="29"/>
          <w:sz w:val="24"/>
          <w:szCs w:val="24"/>
          <w:highlight w:val="none"/>
          <w:lang w:val="en-US" w:eastAsia="en-US" w:bidi="ar-SA"/>
        </w:rPr>
        <w:t xml:space="preserve"> </w:t>
      </w:r>
      <w:r>
        <w:rPr>
          <w:rFonts w:hint="eastAsia" w:ascii="仿宋_GB2312" w:hAnsi="仿宋_GB2312" w:eastAsia="仿宋_GB2312" w:cs="仿宋_GB2312"/>
          <w:color w:val="auto"/>
          <w:spacing w:val="-8"/>
          <w:sz w:val="24"/>
          <w:szCs w:val="24"/>
          <w:highlight w:val="none"/>
          <w:lang w:val="en-US" w:eastAsia="en-US" w:bidi="ar-SA"/>
        </w:rPr>
        <w:t>“基本合格”，或有</w:t>
      </w:r>
      <w:r>
        <w:rPr>
          <w:rFonts w:hint="eastAsia" w:ascii="仿宋_GB2312" w:hAnsi="仿宋_GB2312" w:eastAsia="仿宋_GB2312" w:cs="仿宋_GB2312"/>
          <w:color w:val="auto"/>
          <w:spacing w:val="9"/>
          <w:sz w:val="24"/>
          <w:szCs w:val="24"/>
          <w:highlight w:val="none"/>
          <w:lang w:val="en-US" w:eastAsia="en-US" w:bidi="ar-SA"/>
        </w:rPr>
        <w:t xml:space="preserve"> </w:t>
      </w:r>
      <w:r>
        <w:rPr>
          <w:rFonts w:hint="eastAsia" w:ascii="仿宋_GB2312" w:hAnsi="仿宋_GB2312" w:eastAsia="仿宋_GB2312" w:cs="仿宋_GB2312"/>
          <w:color w:val="auto"/>
          <w:spacing w:val="62"/>
          <w:sz w:val="24"/>
          <w:szCs w:val="24"/>
          <w:highlight w:val="none"/>
          <w:lang w:val="en-US" w:eastAsia="en-US" w:bidi="ar-SA"/>
        </w:rPr>
        <w:t>1</w:t>
      </w:r>
      <w:r>
        <w:rPr>
          <w:rFonts w:hint="eastAsia" w:ascii="仿宋_GB2312" w:hAnsi="仿宋_GB2312" w:eastAsia="仿宋_GB2312" w:cs="仿宋_GB2312"/>
          <w:color w:val="auto"/>
          <w:spacing w:val="-6"/>
          <w:sz w:val="24"/>
          <w:szCs w:val="24"/>
          <w:highlight w:val="none"/>
          <w:lang w:val="en-US" w:eastAsia="en-US" w:bidi="ar-SA"/>
        </w:rPr>
        <w:t>次“不合格”</w:t>
      </w:r>
      <w:r>
        <w:rPr>
          <w:rFonts w:hint="eastAsia" w:ascii="仿宋_GB2312" w:hAnsi="仿宋_GB2312" w:eastAsia="仿宋_GB2312" w:cs="仿宋_GB2312"/>
          <w:color w:val="auto"/>
          <w:spacing w:val="4"/>
          <w:sz w:val="24"/>
          <w:szCs w:val="24"/>
          <w:highlight w:val="none"/>
          <w:lang w:val="en-US" w:eastAsia="en-US" w:bidi="ar-SA"/>
        </w:rPr>
        <w:t>的，或者上级考核全市排名靠后、受到通报批评等情形的，不再续签下一年度</w:t>
      </w:r>
      <w:r>
        <w:rPr>
          <w:rFonts w:hint="eastAsia" w:ascii="仿宋_GB2312" w:hAnsi="仿宋_GB2312" w:eastAsia="仿宋_GB2312" w:cs="仿宋_GB2312"/>
          <w:color w:val="auto"/>
          <w:spacing w:val="1"/>
          <w:sz w:val="24"/>
          <w:szCs w:val="24"/>
          <w:highlight w:val="none"/>
          <w:lang w:val="en-US" w:eastAsia="en-US" w:bidi="ar-SA"/>
        </w:rPr>
        <w:t>合同。</w:t>
      </w:r>
    </w:p>
    <w:p w14:paraId="7AE4C5E4">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3"/>
          <w:sz w:val="24"/>
          <w:szCs w:val="24"/>
          <w:highlight w:val="none"/>
          <w:lang w:val="en-US" w:eastAsia="en-US" w:bidi="ar-SA"/>
        </w:rPr>
        <w:t>（三）汇报总结。建立定期汇报机制，成交供应商须定期向采购人汇报有关</w:t>
      </w:r>
      <w:r>
        <w:rPr>
          <w:rFonts w:hint="eastAsia" w:ascii="仿宋_GB2312" w:hAnsi="仿宋_GB2312" w:eastAsia="仿宋_GB2312" w:cs="仿宋_GB2312"/>
          <w:color w:val="auto"/>
          <w:spacing w:val="4"/>
          <w:sz w:val="24"/>
          <w:szCs w:val="24"/>
          <w:highlight w:val="none"/>
          <w:lang w:val="en-US" w:eastAsia="en-US" w:bidi="ar-SA"/>
        </w:rPr>
        <w:t>工作进展，确保采购人全面掌握项目实施情况。如有特殊事宜，成交供应商须</w:t>
      </w:r>
      <w:r>
        <w:rPr>
          <w:rFonts w:hint="eastAsia" w:ascii="仿宋_GB2312" w:hAnsi="仿宋_GB2312" w:eastAsia="仿宋_GB2312" w:cs="仿宋_GB2312"/>
          <w:color w:val="auto"/>
          <w:spacing w:val="1"/>
          <w:sz w:val="24"/>
          <w:szCs w:val="24"/>
          <w:highlight w:val="none"/>
          <w:lang w:val="en-US" w:eastAsia="en-US" w:bidi="ar-SA"/>
        </w:rPr>
        <w:t>及时向采购人汇报解决。</w:t>
      </w:r>
    </w:p>
    <w:p w14:paraId="5758EE56">
      <w:pPr>
        <w:keepNext w:val="0"/>
        <w:keepLines w:val="0"/>
        <w:pageBreakBefore w:val="0"/>
        <w:widowControl w:val="0"/>
        <w:kinsoku/>
        <w:wordWrap/>
        <w:overflowPunct/>
        <w:topLinePunct w:val="0"/>
        <w:autoSpaceDE/>
        <w:autoSpaceDN/>
        <w:bidi w:val="0"/>
        <w:adjustRightInd/>
        <w:snapToGrid/>
        <w:spacing w:line="360" w:lineRule="auto"/>
        <w:ind w:left="0" w:firstLine="488"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、按上级部门相关文件进行考核。</w:t>
      </w:r>
    </w:p>
    <w:p w14:paraId="3D231680">
      <w:pPr>
        <w:keepNext w:val="0"/>
        <w:keepLines w:val="0"/>
        <w:pageBreakBefore w:val="0"/>
        <w:widowControl w:val="0"/>
        <w:kinsoku/>
        <w:wordWrap/>
        <w:overflowPunct/>
        <w:topLinePunct w:val="0"/>
        <w:autoSpaceDE/>
        <w:autoSpaceDN/>
        <w:bidi w:val="0"/>
        <w:adjustRightInd/>
        <w:snapToGrid/>
        <w:spacing w:line="360" w:lineRule="auto"/>
        <w:ind w:left="0" w:firstLine="488"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2</w:t>
      </w:r>
      <w:r>
        <w:rPr>
          <w:rFonts w:hint="eastAsia" w:ascii="仿宋_GB2312" w:hAnsi="仿宋_GB2312" w:eastAsia="仿宋_GB2312" w:cs="仿宋_GB2312"/>
          <w:color w:val="auto"/>
          <w:spacing w:val="-6"/>
          <w:sz w:val="24"/>
          <w:szCs w:val="24"/>
          <w:highlight w:val="none"/>
          <w:lang w:val="en-US" w:eastAsia="en-US" w:bidi="ar-SA"/>
        </w:rPr>
        <w:t>、街道每年根据上级的考核要求，制定居家和社区养老服务、残疾人之家、</w:t>
      </w:r>
      <w:r>
        <w:rPr>
          <w:rFonts w:hint="eastAsia" w:ascii="仿宋_GB2312" w:hAnsi="仿宋_GB2312" w:eastAsia="仿宋_GB2312" w:cs="仿宋_GB2312"/>
          <w:color w:val="auto"/>
          <w:spacing w:val="-3"/>
          <w:sz w:val="24"/>
          <w:szCs w:val="24"/>
          <w:highlight w:val="none"/>
          <w:lang w:val="en-US" w:eastAsia="en-US" w:bidi="ar-SA"/>
        </w:rPr>
        <w:t>医养结合、城市独居老人探访等工作的考核目标，并对以上服务内容进行考核，</w:t>
      </w:r>
      <w:r>
        <w:rPr>
          <w:rFonts w:hint="eastAsia" w:ascii="仿宋_GB2312" w:hAnsi="仿宋_GB2312" w:eastAsia="仿宋_GB2312" w:cs="仿宋_GB2312"/>
          <w:color w:val="auto"/>
          <w:spacing w:val="1"/>
          <w:sz w:val="24"/>
          <w:szCs w:val="24"/>
          <w:highlight w:val="none"/>
          <w:lang w:val="en-US" w:eastAsia="en-US" w:bidi="ar-SA"/>
        </w:rPr>
        <w:t>根据考核结果予以奖励。</w:t>
      </w:r>
    </w:p>
    <w:p w14:paraId="4093AC4B">
      <w:pPr>
        <w:keepNext w:val="0"/>
        <w:keepLines w:val="0"/>
        <w:pageBreakBefore w:val="0"/>
        <w:widowControl w:val="0"/>
        <w:kinsoku/>
        <w:wordWrap/>
        <w:overflowPunct/>
        <w:topLinePunct w:val="0"/>
        <w:autoSpaceDE/>
        <w:autoSpaceDN/>
        <w:bidi w:val="0"/>
        <w:adjustRightInd/>
        <w:snapToGrid/>
        <w:spacing w:line="360" w:lineRule="auto"/>
        <w:ind w:left="0" w:firstLine="488"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3</w:t>
      </w:r>
      <w:r>
        <w:rPr>
          <w:rFonts w:hint="eastAsia" w:ascii="仿宋_GB2312" w:hAnsi="仿宋_GB2312" w:eastAsia="仿宋_GB2312" w:cs="仿宋_GB2312"/>
          <w:color w:val="auto"/>
          <w:spacing w:val="-3"/>
          <w:sz w:val="24"/>
          <w:szCs w:val="24"/>
          <w:highlight w:val="none"/>
          <w:lang w:val="en-US" w:eastAsia="en-US" w:bidi="ar-SA"/>
        </w:rPr>
        <w:t>、全年季度考核有</w:t>
      </w:r>
      <w:r>
        <w:rPr>
          <w:rFonts w:hint="eastAsia" w:ascii="仿宋_GB2312" w:hAnsi="仿宋_GB2312" w:eastAsia="仿宋_GB2312" w:cs="仿宋_GB2312"/>
          <w:color w:val="auto"/>
          <w:spacing w:val="4"/>
          <w:sz w:val="24"/>
          <w:szCs w:val="24"/>
          <w:highlight w:val="none"/>
          <w:lang w:val="en-US" w:eastAsia="en-US" w:bidi="ar-SA"/>
        </w:rPr>
        <w:t xml:space="preserve"> </w:t>
      </w:r>
      <w:r>
        <w:rPr>
          <w:rFonts w:hint="eastAsia" w:ascii="仿宋_GB2312" w:hAnsi="仿宋_GB2312" w:eastAsia="仿宋_GB2312" w:cs="仿宋_GB2312"/>
          <w:color w:val="auto"/>
          <w:spacing w:val="60"/>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次及以上</w:t>
      </w:r>
      <w:r>
        <w:rPr>
          <w:rFonts w:hint="eastAsia" w:ascii="仿宋_GB2312" w:hAnsi="仿宋_GB2312" w:eastAsia="仿宋_GB2312" w:cs="仿宋_GB2312"/>
          <w:color w:val="auto"/>
          <w:spacing w:val="35"/>
          <w:sz w:val="24"/>
          <w:szCs w:val="24"/>
          <w:highlight w:val="none"/>
          <w:lang w:val="en-US" w:eastAsia="en-US" w:bidi="ar-SA"/>
        </w:rPr>
        <w:t xml:space="preserve"> </w:t>
      </w:r>
      <w:r>
        <w:rPr>
          <w:rFonts w:hint="eastAsia" w:ascii="仿宋_GB2312" w:hAnsi="仿宋_GB2312" w:eastAsia="仿宋_GB2312" w:cs="仿宋_GB2312"/>
          <w:color w:val="auto"/>
          <w:spacing w:val="-3"/>
          <w:sz w:val="24"/>
          <w:szCs w:val="24"/>
          <w:highlight w:val="none"/>
          <w:lang w:val="en-US" w:eastAsia="en-US" w:bidi="ar-SA"/>
        </w:rPr>
        <w:t>“优秀”、其他季度以及上级年度考核“合</w:t>
      </w:r>
      <w:r>
        <w:rPr>
          <w:rFonts w:hint="eastAsia" w:ascii="仿宋_GB2312" w:hAnsi="仿宋_GB2312" w:eastAsia="仿宋_GB2312" w:cs="仿宋_GB2312"/>
          <w:color w:val="auto"/>
          <w:spacing w:val="1"/>
          <w:sz w:val="24"/>
          <w:szCs w:val="24"/>
          <w:highlight w:val="none"/>
          <w:lang w:val="en-US" w:eastAsia="en-US" w:bidi="ar-SA"/>
        </w:rPr>
        <w:t>格”以上的，续签下一年度合同；当年有</w:t>
      </w:r>
      <w:r>
        <w:rPr>
          <w:rFonts w:hint="eastAsia" w:ascii="仿宋_GB2312" w:hAnsi="仿宋_GB2312" w:eastAsia="仿宋_GB2312" w:cs="仿宋_GB2312"/>
          <w:color w:val="auto"/>
          <w:spacing w:val="2"/>
          <w:sz w:val="24"/>
          <w:szCs w:val="24"/>
          <w:highlight w:val="none"/>
          <w:lang w:val="en-US" w:eastAsia="en-US" w:bidi="ar-SA"/>
        </w:rPr>
        <w:t xml:space="preserve"> </w:t>
      </w:r>
      <w:r>
        <w:rPr>
          <w:rFonts w:hint="eastAsia" w:ascii="仿宋_GB2312" w:hAnsi="仿宋_GB2312" w:eastAsia="仿宋_GB2312" w:cs="仿宋_GB2312"/>
          <w:color w:val="auto"/>
          <w:spacing w:val="60"/>
          <w:sz w:val="24"/>
          <w:szCs w:val="24"/>
          <w:highlight w:val="none"/>
          <w:lang w:val="en-US" w:eastAsia="en-US" w:bidi="ar-SA"/>
        </w:rPr>
        <w:t>2</w:t>
      </w:r>
      <w:r>
        <w:rPr>
          <w:rFonts w:hint="eastAsia" w:ascii="仿宋_GB2312" w:hAnsi="仿宋_GB2312" w:eastAsia="仿宋_GB2312" w:cs="仿宋_GB2312"/>
          <w:color w:val="auto"/>
          <w:spacing w:val="-5"/>
          <w:sz w:val="24"/>
          <w:szCs w:val="24"/>
          <w:highlight w:val="none"/>
          <w:lang w:val="en-US" w:eastAsia="en-US" w:bidi="ar-SA"/>
        </w:rPr>
        <w:t>次（含）以上的街道季度考核</w:t>
      </w:r>
      <w:r>
        <w:rPr>
          <w:rFonts w:hint="eastAsia" w:ascii="仿宋_GB2312" w:hAnsi="仿宋_GB2312" w:eastAsia="仿宋_GB2312" w:cs="仿宋_GB2312"/>
          <w:color w:val="auto"/>
          <w:spacing w:val="29"/>
          <w:sz w:val="24"/>
          <w:szCs w:val="24"/>
          <w:highlight w:val="none"/>
          <w:lang w:val="en-US" w:eastAsia="en-US" w:bidi="ar-SA"/>
        </w:rPr>
        <w:t xml:space="preserve"> </w:t>
      </w:r>
      <w:r>
        <w:rPr>
          <w:rFonts w:hint="eastAsia" w:ascii="仿宋_GB2312" w:hAnsi="仿宋_GB2312" w:eastAsia="仿宋_GB2312" w:cs="仿宋_GB2312"/>
          <w:color w:val="auto"/>
          <w:spacing w:val="-8"/>
          <w:sz w:val="24"/>
          <w:szCs w:val="24"/>
          <w:highlight w:val="none"/>
          <w:lang w:val="en-US" w:eastAsia="en-US" w:bidi="ar-SA"/>
        </w:rPr>
        <w:t>“基本合格”，或有</w:t>
      </w:r>
      <w:r>
        <w:rPr>
          <w:rFonts w:hint="eastAsia" w:ascii="仿宋_GB2312" w:hAnsi="仿宋_GB2312" w:eastAsia="仿宋_GB2312" w:cs="仿宋_GB2312"/>
          <w:color w:val="auto"/>
          <w:spacing w:val="9"/>
          <w:sz w:val="24"/>
          <w:szCs w:val="24"/>
          <w:highlight w:val="none"/>
          <w:lang w:val="en-US" w:eastAsia="en-US" w:bidi="ar-SA"/>
        </w:rPr>
        <w:t xml:space="preserve"> </w:t>
      </w:r>
      <w:r>
        <w:rPr>
          <w:rFonts w:hint="eastAsia" w:ascii="仿宋_GB2312" w:hAnsi="仿宋_GB2312" w:eastAsia="仿宋_GB2312" w:cs="仿宋_GB2312"/>
          <w:color w:val="auto"/>
          <w:spacing w:val="62"/>
          <w:sz w:val="24"/>
          <w:szCs w:val="24"/>
          <w:highlight w:val="none"/>
          <w:lang w:val="en-US" w:eastAsia="en-US" w:bidi="ar-SA"/>
        </w:rPr>
        <w:t>1</w:t>
      </w:r>
      <w:r>
        <w:rPr>
          <w:rFonts w:hint="eastAsia" w:ascii="仿宋_GB2312" w:hAnsi="仿宋_GB2312" w:eastAsia="仿宋_GB2312" w:cs="仿宋_GB2312"/>
          <w:color w:val="auto"/>
          <w:spacing w:val="-6"/>
          <w:sz w:val="24"/>
          <w:szCs w:val="24"/>
          <w:highlight w:val="none"/>
          <w:lang w:val="en-US" w:eastAsia="en-US" w:bidi="ar-SA"/>
        </w:rPr>
        <w:t>次“不合格”</w:t>
      </w:r>
      <w:r>
        <w:rPr>
          <w:rFonts w:hint="eastAsia" w:ascii="仿宋_GB2312" w:hAnsi="仿宋_GB2312" w:eastAsia="仿宋_GB2312" w:cs="仿宋_GB2312"/>
          <w:color w:val="auto"/>
          <w:spacing w:val="4"/>
          <w:sz w:val="24"/>
          <w:szCs w:val="24"/>
          <w:highlight w:val="none"/>
          <w:lang w:val="en-US" w:eastAsia="en-US" w:bidi="ar-SA"/>
        </w:rPr>
        <w:t>的，或者上级考核全市排名靠后、受到通报批评等情形的，不再续签下一年度</w:t>
      </w:r>
      <w:r>
        <w:rPr>
          <w:rFonts w:hint="eastAsia" w:ascii="仿宋_GB2312" w:hAnsi="仿宋_GB2312" w:eastAsia="仿宋_GB2312" w:cs="仿宋_GB2312"/>
          <w:color w:val="auto"/>
          <w:spacing w:val="1"/>
          <w:sz w:val="24"/>
          <w:szCs w:val="24"/>
          <w:highlight w:val="none"/>
          <w:lang w:val="en-US" w:eastAsia="en-US" w:bidi="ar-SA"/>
        </w:rPr>
        <w:t>合同。</w:t>
      </w:r>
    </w:p>
    <w:p w14:paraId="2869081D">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3"/>
          <w:sz w:val="24"/>
          <w:szCs w:val="24"/>
          <w:highlight w:val="none"/>
          <w:lang w:val="en-US" w:eastAsia="en-US" w:bidi="ar-SA"/>
        </w:rPr>
        <w:t>（三）汇报总结。建立定期汇报机制，成交供应商须定期向采购人汇报有关</w:t>
      </w:r>
      <w:r>
        <w:rPr>
          <w:rFonts w:hint="eastAsia" w:ascii="仿宋_GB2312" w:hAnsi="仿宋_GB2312" w:eastAsia="仿宋_GB2312" w:cs="仿宋_GB2312"/>
          <w:color w:val="auto"/>
          <w:spacing w:val="4"/>
          <w:sz w:val="24"/>
          <w:szCs w:val="24"/>
          <w:highlight w:val="none"/>
          <w:lang w:val="en-US" w:eastAsia="en-US" w:bidi="ar-SA"/>
        </w:rPr>
        <w:t>工作进展，确保采购人全面掌握项目实施情况。如有特殊事宜，成交供应商须</w:t>
      </w:r>
      <w:r>
        <w:rPr>
          <w:rFonts w:hint="eastAsia" w:ascii="仿宋_GB2312" w:hAnsi="仿宋_GB2312" w:eastAsia="仿宋_GB2312" w:cs="仿宋_GB2312"/>
          <w:color w:val="auto"/>
          <w:spacing w:val="1"/>
          <w:sz w:val="24"/>
          <w:szCs w:val="24"/>
          <w:highlight w:val="none"/>
          <w:lang w:val="en-US" w:eastAsia="en-US" w:bidi="ar-SA"/>
        </w:rPr>
        <w:t>及时向采购人汇报解决。</w:t>
      </w:r>
    </w:p>
    <w:p w14:paraId="566190E1">
      <w:pPr>
        <w:spacing w:before="274" w:line="291" w:lineRule="exact"/>
        <w:ind w:left="3373"/>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第六条</w:t>
      </w:r>
      <w:r>
        <w:rPr>
          <w:rFonts w:hint="eastAsia" w:ascii="仿宋_GB2312" w:hAnsi="仿宋_GB2312" w:eastAsia="仿宋_GB2312" w:cs="仿宋_GB2312"/>
          <w:color w:val="auto"/>
          <w:spacing w:val="72"/>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其他相关要求</w:t>
      </w:r>
    </w:p>
    <w:p w14:paraId="2E8F7A8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1、服务期间，如市、区相关政策调整，政府购买服务对象人数、标准发生变化，成交供应商必须无条件接受，并严格按此要求执行。（需提交承诺函）</w:t>
      </w:r>
    </w:p>
    <w:p w14:paraId="508BCBD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2、服务期间，如遇到国家规定的职工最低标准等发生调整，采购人不作任何调整，具体以市有关部门颁发的文件为准。</w:t>
      </w:r>
    </w:p>
    <w:p w14:paraId="4C1DF46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3、政府购买服务对象的人数以区核定的每季度人数为准。</w:t>
      </w:r>
    </w:p>
    <w:p w14:paraId="03A11F9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4、因成交供应商在年度内服务质量评估不合格，采购人有权解除合同并不</w:t>
      </w:r>
      <w:r>
        <w:rPr>
          <w:rFonts w:hint="eastAsia" w:ascii="仿宋_GB2312" w:hAnsi="仿宋_GB2312" w:eastAsia="仿宋_GB2312" w:cs="仿宋_GB2312"/>
          <w:color w:val="auto"/>
          <w:spacing w:val="-3"/>
          <w:sz w:val="24"/>
          <w:szCs w:val="24"/>
          <w:highlight w:val="none"/>
          <w:lang w:val="en-US" w:eastAsia="en-US" w:bidi="ar-SA"/>
        </w:rPr>
        <w:t>向成交供应商做任何赔偿或补偿。本合同解除或终止后，成交供应商投资改造的项目，除可移动的设施设备归其所有，其余均无偿归采购人所有；成交供应商应当在合同终止后一个月内撤场，将场地、设备、房屋及全套档案资料交付给采购方或采购方指定的第三方，逾期不能移交及撤场的，则自逾期之日起按照每日叁仟元支付违约金及房屋占用费。撤场期间应当维持本合同约定的基本服务，否则</w:t>
      </w:r>
      <w:r>
        <w:rPr>
          <w:rFonts w:hint="eastAsia" w:ascii="仿宋_GB2312" w:hAnsi="仿宋_GB2312" w:eastAsia="仿宋_GB2312" w:cs="仿宋_GB2312"/>
          <w:color w:val="auto"/>
          <w:sz w:val="24"/>
          <w:szCs w:val="24"/>
          <w:highlight w:val="none"/>
          <w:lang w:val="en-US" w:eastAsia="en-US" w:bidi="ar-SA"/>
        </w:rPr>
        <w:t>因成交供应商未能提供服务导致甲方向第三方寻求替代服务所产生的费用由成交供应商承担。</w:t>
      </w:r>
    </w:p>
    <w:p w14:paraId="5A9344F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5</w:t>
      </w:r>
      <w:r>
        <w:rPr>
          <w:rFonts w:hint="eastAsia" w:ascii="仿宋_GB2312" w:hAnsi="仿宋_GB2312" w:eastAsia="仿宋_GB2312" w:cs="仿宋_GB2312"/>
          <w:color w:val="auto"/>
          <w:spacing w:val="-6"/>
          <w:sz w:val="24"/>
          <w:szCs w:val="24"/>
          <w:highlight w:val="none"/>
          <w:lang w:val="en-US" w:eastAsia="en-US" w:bidi="ar-SA"/>
        </w:rPr>
        <w:t>、成交供应商的所有财务开支，必须符合省、市、区有关规定，并接受市、</w:t>
      </w:r>
      <w:r>
        <w:rPr>
          <w:rFonts w:hint="eastAsia" w:ascii="仿宋_GB2312" w:hAnsi="仿宋_GB2312" w:eastAsia="仿宋_GB2312" w:cs="仿宋_GB2312"/>
          <w:color w:val="auto"/>
          <w:sz w:val="24"/>
          <w:szCs w:val="24"/>
          <w:highlight w:val="none"/>
          <w:lang w:val="en-US" w:eastAsia="en-US" w:bidi="ar-SA"/>
        </w:rPr>
        <w:t>区有关部门的检查、审计。</w:t>
      </w:r>
    </w:p>
    <w:p w14:paraId="07862DB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color w:val="auto"/>
          <w:sz w:val="24"/>
          <w:szCs w:val="24"/>
          <w:highlight w:val="none"/>
          <w:lang w:val="en-US" w:eastAsia="en-US" w:bidi="ar-SA"/>
        </w:rPr>
      </w:pPr>
    </w:p>
    <w:p w14:paraId="22D15C5E">
      <w:pPr>
        <w:spacing w:line="291" w:lineRule="exact"/>
        <w:jc w:val="center"/>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第七条</w:t>
      </w:r>
      <w:r>
        <w:rPr>
          <w:rFonts w:hint="eastAsia" w:ascii="仿宋_GB2312" w:hAnsi="仿宋_GB2312" w:eastAsia="仿宋_GB2312" w:cs="仿宋_GB2312"/>
          <w:color w:val="auto"/>
          <w:spacing w:val="72"/>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甲方责任</w:t>
      </w:r>
    </w:p>
    <w:p w14:paraId="3D49F5BF">
      <w:pPr>
        <w:spacing w:before="277" w:line="250" w:lineRule="exact"/>
        <w:ind w:left="48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1、配合乙方做好服务范围内老人信息的交接工作，确保项目服务工作的顺利开展。</w:t>
      </w:r>
    </w:p>
    <w:p w14:paraId="2CDF9079">
      <w:pPr>
        <w:spacing w:before="218" w:line="250" w:lineRule="exact"/>
        <w:ind w:left="48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2、指导和监督乙方有效地履行本协议的各项条款。</w:t>
      </w:r>
    </w:p>
    <w:p w14:paraId="006A71AC">
      <w:pPr>
        <w:spacing w:before="218" w:line="250" w:lineRule="exact"/>
        <w:ind w:left="48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3、每季度定期组织人员对乙方进行考核。</w:t>
      </w:r>
    </w:p>
    <w:p w14:paraId="0BB3C058">
      <w:pPr>
        <w:spacing w:before="274" w:line="291" w:lineRule="exact"/>
        <w:ind w:left="3233"/>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第八条</w:t>
      </w:r>
      <w:r>
        <w:rPr>
          <w:rFonts w:hint="eastAsia" w:ascii="仿宋_GB2312" w:hAnsi="仿宋_GB2312" w:eastAsia="仿宋_GB2312" w:cs="仿宋_GB2312"/>
          <w:color w:val="auto"/>
          <w:spacing w:val="72"/>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乙方责任</w:t>
      </w:r>
    </w:p>
    <w:p w14:paraId="4899140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1、服务甲方提供名单上符合新开户籍内居住的老年人。</w:t>
      </w:r>
    </w:p>
    <w:p w14:paraId="46FA781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2、自觉遵守和执行国家的各项法律法规，并承担服务运营。</w:t>
      </w:r>
    </w:p>
    <w:p w14:paraId="19B455E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3、不得向第三方进行转包、担保、保证、抵押或其他有损害甲方权益的行为，由此引起的一切责任由乙方承担。</w:t>
      </w:r>
    </w:p>
    <w:p w14:paraId="3366348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4、确因甲方工作检查需要，乙方应无条件配合甲方完成一些突击工作。</w:t>
      </w:r>
    </w:p>
    <w:p w14:paraId="361217B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5、乙方必须采取一切严密的、符合安全标准的预防措施，确保所有经营及服务场所的安全，造成的一切后果由乙方负责。</w:t>
      </w:r>
    </w:p>
    <w:p w14:paraId="57342C80">
      <w:pPr>
        <w:spacing w:before="898" w:line="291" w:lineRule="exact"/>
        <w:ind w:left="3029"/>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第九条</w:t>
      </w:r>
      <w:r>
        <w:rPr>
          <w:rFonts w:hint="eastAsia" w:ascii="仿宋_GB2312" w:hAnsi="仿宋_GB2312" w:eastAsia="仿宋_GB2312" w:cs="仿宋_GB2312"/>
          <w:color w:val="auto"/>
          <w:spacing w:val="213"/>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支付方式</w:t>
      </w:r>
    </w:p>
    <w:p w14:paraId="53B19BC8">
      <w:pPr>
        <w:keepNext w:val="0"/>
        <w:keepLines w:val="0"/>
        <w:pageBreakBefore w:val="0"/>
        <w:widowControl w:val="0"/>
        <w:kinsoku/>
        <w:wordWrap/>
        <w:overflowPunct/>
        <w:topLinePunct w:val="0"/>
        <w:autoSpaceDE/>
        <w:autoSpaceDN/>
        <w:bidi w:val="0"/>
        <w:adjustRightInd/>
        <w:snapToGrid/>
        <w:spacing w:line="360" w:lineRule="auto"/>
        <w:ind w:left="0" w:firstLine="484"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（一）政府购买服务费，以当期区核定的购买服务对象人数以及实际发生的服务人次数为依据，按季结算拨付。</w:t>
      </w:r>
    </w:p>
    <w:p w14:paraId="7B6B2E6D">
      <w:pPr>
        <w:keepNext w:val="0"/>
        <w:keepLines w:val="0"/>
        <w:pageBreakBefore w:val="0"/>
        <w:widowControl w:val="0"/>
        <w:kinsoku/>
        <w:wordWrap/>
        <w:overflowPunct/>
        <w:topLinePunct w:val="0"/>
        <w:autoSpaceDE/>
        <w:autoSpaceDN/>
        <w:bidi w:val="0"/>
        <w:adjustRightInd/>
        <w:snapToGrid/>
        <w:spacing w:line="360" w:lineRule="auto"/>
        <w:ind w:left="0" w:firstLine="484"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（二）考核奖补资金，根据合同期内每季度考核结果，在当期合同期满向区申请资金后予以奖补。</w:t>
      </w:r>
    </w:p>
    <w:p w14:paraId="1C04420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上述费用，成交供应商需向采购方开具发票。</w:t>
      </w:r>
    </w:p>
    <w:p w14:paraId="1A3ED0A3">
      <w:pPr>
        <w:spacing w:before="274" w:line="291" w:lineRule="exact"/>
        <w:ind w:left="3099"/>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第十条</w:t>
      </w:r>
      <w:r>
        <w:rPr>
          <w:rFonts w:hint="eastAsia" w:ascii="仿宋_GB2312" w:hAnsi="仿宋_GB2312" w:eastAsia="仿宋_GB2312" w:cs="仿宋_GB2312"/>
          <w:color w:val="auto"/>
          <w:spacing w:val="72"/>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服务期限</w:t>
      </w:r>
    </w:p>
    <w:p w14:paraId="5C10E6DA">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3"/>
          <w:sz w:val="24"/>
          <w:szCs w:val="24"/>
          <w:highlight w:val="none"/>
          <w:lang w:val="en-US" w:eastAsia="en-US" w:bidi="ar-SA"/>
        </w:rPr>
        <w:t>合同签订之日起一年（合同先签订一年，如在预算保障的前提下，对于购买内容相对固定、连续性强、经费来源稳定、价格变化幅度小，中标单位服务质量高，业主满意程度高，可以续签合同，续签</w:t>
      </w:r>
      <w:r>
        <w:rPr>
          <w:rFonts w:hint="eastAsia" w:ascii="仿宋_GB2312" w:hAnsi="仿宋_GB2312" w:eastAsia="仿宋_GB2312" w:cs="仿宋_GB2312"/>
          <w:color w:val="auto"/>
          <w:spacing w:val="-3"/>
          <w:sz w:val="24"/>
          <w:szCs w:val="24"/>
          <w:highlight w:val="none"/>
          <w:lang w:val="en-US" w:eastAsia="zh-CN" w:bidi="ar-SA"/>
        </w:rPr>
        <w:t>次数不超过2次</w:t>
      </w:r>
      <w:r>
        <w:rPr>
          <w:rFonts w:hint="eastAsia" w:ascii="仿宋_GB2312" w:hAnsi="仿宋_GB2312" w:eastAsia="仿宋_GB2312" w:cs="仿宋_GB2312"/>
          <w:color w:val="auto"/>
          <w:spacing w:val="-3"/>
          <w:sz w:val="24"/>
          <w:szCs w:val="24"/>
          <w:highlight w:val="none"/>
          <w:lang w:val="en-US" w:eastAsia="en-US" w:bidi="ar-SA"/>
        </w:rPr>
        <w:t>，续签按奖惩机制规</w:t>
      </w:r>
      <w:r>
        <w:rPr>
          <w:rFonts w:hint="eastAsia" w:ascii="仿宋_GB2312" w:hAnsi="仿宋_GB2312" w:eastAsia="仿宋_GB2312" w:cs="仿宋_GB2312"/>
          <w:color w:val="auto"/>
          <w:sz w:val="24"/>
          <w:szCs w:val="24"/>
          <w:highlight w:val="none"/>
          <w:lang w:val="en-US" w:eastAsia="en-US" w:bidi="ar-SA"/>
        </w:rPr>
        <w:t>定执行）。</w:t>
      </w:r>
    </w:p>
    <w:p w14:paraId="69D334F0">
      <w:pPr>
        <w:spacing w:before="898" w:line="291" w:lineRule="exact"/>
        <w:ind w:left="2537"/>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第十一条</w:t>
      </w:r>
      <w:r>
        <w:rPr>
          <w:rFonts w:hint="eastAsia" w:ascii="仿宋_GB2312" w:hAnsi="仿宋_GB2312" w:eastAsia="仿宋_GB2312" w:cs="仿宋_GB2312"/>
          <w:color w:val="auto"/>
          <w:spacing w:val="71"/>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质量标准和要求</w:t>
      </w:r>
    </w:p>
    <w:p w14:paraId="38866A11">
      <w:pPr>
        <w:spacing w:line="221" w:lineRule="exact"/>
        <w:ind w:left="66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rPr>
        <w:drawing>
          <wp:anchor distT="0" distB="0" distL="114300" distR="114300" simplePos="0" relativeHeight="251660288" behindDoc="1" locked="0" layoutInCell="1" allowOverlap="1">
            <wp:simplePos x="0" y="0"/>
            <wp:positionH relativeFrom="page">
              <wp:posOffset>-12700</wp:posOffset>
            </wp:positionH>
            <wp:positionV relativeFrom="page">
              <wp:posOffset>-12700</wp:posOffset>
            </wp:positionV>
            <wp:extent cx="38100" cy="38100"/>
            <wp:effectExtent l="0" t="0" r="7620" b="762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38100" cy="38100"/>
                    </a:xfrm>
                    <a:prstGeom prst="rect">
                      <a:avLst/>
                    </a:prstGeom>
                    <a:noFill/>
                    <a:ln>
                      <a:noFill/>
                    </a:ln>
                  </pic:spPr>
                </pic:pic>
              </a:graphicData>
            </a:graphic>
          </wp:anchor>
        </w:drawing>
      </w:r>
      <w:r>
        <w:rPr>
          <w:rFonts w:hint="eastAsia" w:ascii="仿宋_GB2312" w:hAnsi="仿宋_GB2312" w:eastAsia="仿宋_GB2312" w:cs="仿宋_GB2312"/>
          <w:color w:val="auto"/>
          <w:spacing w:val="1"/>
          <w:sz w:val="24"/>
          <w:szCs w:val="24"/>
          <w:highlight w:val="none"/>
          <w:lang w:val="en-US" w:eastAsia="en-US" w:bidi="ar-SA"/>
        </w:rPr>
        <w:t>1</w:t>
      </w:r>
      <w:r>
        <w:rPr>
          <w:rFonts w:hint="eastAsia" w:ascii="仿宋_GB2312" w:hAnsi="仿宋_GB2312" w:eastAsia="仿宋_GB2312" w:cs="仿宋_GB2312"/>
          <w:color w:val="auto"/>
          <w:sz w:val="24"/>
          <w:szCs w:val="24"/>
          <w:highlight w:val="none"/>
          <w:lang w:val="en-US" w:eastAsia="en-US" w:bidi="ar-SA"/>
        </w:rPr>
        <w:t>．乙方所提供的服务的质量标准按照国家标准、行业标准或企业标准确定，上述标</w:t>
      </w:r>
    </w:p>
    <w:p w14:paraId="5DC7350F">
      <w:pPr>
        <w:spacing w:before="218" w:line="221" w:lineRule="exact"/>
        <w:ind w:left="24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准不一致的，以严格的标准为准。没有国家标准、行业标准和企业标准的，按照通常标</w:t>
      </w:r>
    </w:p>
    <w:p w14:paraId="59C66833">
      <w:pPr>
        <w:spacing w:before="220" w:line="221" w:lineRule="exact"/>
        <w:ind w:left="24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准或者符合合同目的特定标准确定。</w:t>
      </w:r>
    </w:p>
    <w:p w14:paraId="30343AB8">
      <w:pPr>
        <w:spacing w:before="217" w:line="222" w:lineRule="exact"/>
        <w:ind w:left="66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2</w:t>
      </w:r>
      <w:r>
        <w:rPr>
          <w:rFonts w:hint="eastAsia" w:ascii="仿宋_GB2312" w:hAnsi="仿宋_GB2312" w:eastAsia="仿宋_GB2312" w:cs="仿宋_GB2312"/>
          <w:color w:val="auto"/>
          <w:spacing w:val="2"/>
          <w:sz w:val="24"/>
          <w:szCs w:val="24"/>
          <w:highlight w:val="none"/>
          <w:lang w:val="en-US" w:eastAsia="en-US" w:bidi="ar-SA"/>
        </w:rPr>
        <w:t>．乙方所交付的</w:t>
      </w:r>
      <w:r>
        <w:rPr>
          <w:rFonts w:hint="eastAsia" w:ascii="仿宋_GB2312" w:hAnsi="仿宋_GB2312" w:eastAsia="仿宋_GB2312" w:cs="仿宋_GB2312"/>
          <w:color w:val="auto"/>
          <w:spacing w:val="2"/>
          <w:sz w:val="24"/>
          <w:szCs w:val="24"/>
          <w:highlight w:val="none"/>
          <w:u w:val="single"/>
          <w:lang w:val="en-US" w:eastAsia="en-US" w:bidi="ar-SA"/>
        </w:rPr>
        <w:t>社区居家养老</w:t>
      </w:r>
      <w:r>
        <w:rPr>
          <w:rFonts w:hint="eastAsia" w:ascii="仿宋_GB2312" w:hAnsi="仿宋_GB2312" w:eastAsia="仿宋_GB2312" w:cs="仿宋_GB2312"/>
          <w:color w:val="auto"/>
          <w:spacing w:val="2"/>
          <w:sz w:val="24"/>
          <w:szCs w:val="24"/>
          <w:highlight w:val="none"/>
          <w:lang w:val="en-US" w:eastAsia="en-US" w:bidi="ar-SA"/>
        </w:rPr>
        <w:t>服务还应符合国家和南通市有关安全、环保、医疗、</w:t>
      </w:r>
    </w:p>
    <w:p w14:paraId="7E781C44">
      <w:pPr>
        <w:spacing w:before="217" w:line="221" w:lineRule="exact"/>
        <w:ind w:left="24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卫生之规定。台帐资料按要求整理成册备查。</w:t>
      </w:r>
    </w:p>
    <w:p w14:paraId="57A9BEB0">
      <w:pPr>
        <w:spacing w:before="220" w:line="221" w:lineRule="exact"/>
        <w:ind w:left="66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3</w:t>
      </w:r>
      <w:r>
        <w:rPr>
          <w:rFonts w:hint="eastAsia" w:ascii="仿宋_GB2312" w:hAnsi="仿宋_GB2312" w:eastAsia="仿宋_GB2312" w:cs="仿宋_GB2312"/>
          <w:color w:val="auto"/>
          <w:sz w:val="24"/>
          <w:szCs w:val="24"/>
          <w:highlight w:val="none"/>
          <w:lang w:val="en-US" w:eastAsia="en-US" w:bidi="ar-SA"/>
        </w:rPr>
        <w:t>．若因乙方的原因在服务场所内发生安全事故，造成的相关损失，乙方承担一切责</w:t>
      </w:r>
    </w:p>
    <w:p w14:paraId="586612F6">
      <w:pPr>
        <w:spacing w:before="218" w:line="221" w:lineRule="exact"/>
        <w:ind w:left="24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任。</w:t>
      </w:r>
    </w:p>
    <w:p w14:paraId="36582A0E">
      <w:pPr>
        <w:spacing w:before="687" w:line="291" w:lineRule="exact"/>
        <w:ind w:left="2957"/>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第十二条</w:t>
      </w:r>
      <w:r>
        <w:rPr>
          <w:rFonts w:hint="eastAsia" w:ascii="仿宋_GB2312" w:hAnsi="仿宋_GB2312" w:eastAsia="仿宋_GB2312" w:cs="仿宋_GB2312"/>
          <w:color w:val="auto"/>
          <w:spacing w:val="71"/>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违约责任</w:t>
      </w:r>
    </w:p>
    <w:p w14:paraId="1C8F34E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1、甲方无正当理由，违反有关规定，使乙方未能完成规定管理目标的，乙</w:t>
      </w:r>
      <w:r>
        <w:rPr>
          <w:rFonts w:hint="eastAsia" w:ascii="仿宋_GB2312" w:hAnsi="仿宋_GB2312" w:eastAsia="仿宋_GB2312" w:cs="仿宋_GB2312"/>
          <w:color w:val="auto"/>
          <w:spacing w:val="-3"/>
          <w:sz w:val="24"/>
          <w:szCs w:val="24"/>
          <w:highlight w:val="none"/>
          <w:lang w:val="en-US" w:eastAsia="en-US" w:bidi="ar-SA"/>
        </w:rPr>
        <w:t>方有权要求甲方在一定期限内解决，逾期未解决，造成乙方经济损失的，由甲方</w:t>
      </w:r>
      <w:r>
        <w:rPr>
          <w:rFonts w:hint="eastAsia" w:ascii="仿宋_GB2312" w:hAnsi="仿宋_GB2312" w:eastAsia="仿宋_GB2312" w:cs="仿宋_GB2312"/>
          <w:color w:val="auto"/>
          <w:sz w:val="24"/>
          <w:szCs w:val="24"/>
          <w:highlight w:val="none"/>
          <w:lang w:val="en-US" w:eastAsia="en-US" w:bidi="ar-SA"/>
        </w:rPr>
        <w:t>向乙方偿付合同总价</w:t>
      </w:r>
      <w:r>
        <w:rPr>
          <w:rFonts w:hint="eastAsia" w:ascii="仿宋_GB2312" w:hAnsi="仿宋_GB2312" w:eastAsia="仿宋_GB2312" w:cs="仿宋_GB2312"/>
          <w:color w:val="auto"/>
          <w:spacing w:val="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5%的违约金。</w:t>
      </w:r>
    </w:p>
    <w:p w14:paraId="1CC2865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2、甲方未按合同规定的期限向乙方支付款项的，每逾期</w:t>
      </w:r>
      <w:r>
        <w:rPr>
          <w:rFonts w:hint="eastAsia" w:ascii="仿宋_GB2312" w:hAnsi="仿宋_GB2312" w:eastAsia="仿宋_GB2312" w:cs="仿宋_GB2312"/>
          <w:color w:val="auto"/>
          <w:spacing w:val="1"/>
          <w:sz w:val="24"/>
          <w:szCs w:val="24"/>
          <w:highlight w:val="none"/>
          <w:lang w:val="en-US" w:eastAsia="en-US" w:bidi="ar-SA"/>
        </w:rPr>
        <w:t xml:space="preserve"> </w:t>
      </w:r>
      <w:r>
        <w:rPr>
          <w:rFonts w:hint="eastAsia" w:ascii="仿宋_GB2312" w:hAnsi="仿宋_GB2312" w:eastAsia="仿宋_GB2312" w:cs="仿宋_GB2312"/>
          <w:color w:val="auto"/>
          <w:spacing w:val="60"/>
          <w:sz w:val="24"/>
          <w:szCs w:val="24"/>
          <w:highlight w:val="none"/>
          <w:lang w:val="en-US" w:eastAsia="en-US" w:bidi="ar-SA"/>
        </w:rPr>
        <w:t>1</w:t>
      </w:r>
      <w:r>
        <w:rPr>
          <w:rFonts w:hint="eastAsia" w:ascii="仿宋_GB2312" w:hAnsi="仿宋_GB2312" w:eastAsia="仿宋_GB2312" w:cs="仿宋_GB2312"/>
          <w:color w:val="auto"/>
          <w:sz w:val="24"/>
          <w:szCs w:val="24"/>
          <w:highlight w:val="none"/>
          <w:lang w:val="en-US" w:eastAsia="en-US" w:bidi="ar-SA"/>
        </w:rPr>
        <w:t>天甲方向乙方偿付欠款总额的 5‰滞纳金，但累计滞纳金总额不超过欠款总额的</w:t>
      </w:r>
      <w:r>
        <w:rPr>
          <w:rFonts w:hint="eastAsia" w:ascii="仿宋_GB2312" w:hAnsi="仿宋_GB2312" w:eastAsia="仿宋_GB2312" w:cs="仿宋_GB2312"/>
          <w:color w:val="auto"/>
          <w:spacing w:val="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5%</w:t>
      </w:r>
      <w:r>
        <w:rPr>
          <w:rFonts w:hint="eastAsia" w:ascii="仿宋_GB2312" w:hAnsi="仿宋_GB2312" w:eastAsia="仿宋_GB2312" w:cs="仿宋_GB2312"/>
          <w:color w:val="auto"/>
          <w:spacing w:val="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w:t>
      </w:r>
    </w:p>
    <w:p w14:paraId="728A834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 xml:space="preserve">3、乙方未按时服务合同范围内老人的，甲方有权要求乙方限期整改，逾期超过 </w:t>
      </w:r>
      <w:r>
        <w:rPr>
          <w:rFonts w:hint="eastAsia" w:ascii="仿宋_GB2312" w:hAnsi="仿宋_GB2312" w:eastAsia="仿宋_GB2312" w:cs="仿宋_GB2312"/>
          <w:color w:val="auto"/>
          <w:spacing w:val="60"/>
          <w:sz w:val="24"/>
          <w:szCs w:val="24"/>
          <w:highlight w:val="none"/>
          <w:lang w:val="en-US" w:eastAsia="en-US" w:bidi="ar-SA"/>
        </w:rPr>
        <w:t>3</w:t>
      </w:r>
      <w:r>
        <w:rPr>
          <w:rFonts w:hint="eastAsia" w:ascii="仿宋_GB2312" w:hAnsi="仿宋_GB2312" w:eastAsia="仿宋_GB2312" w:cs="仿宋_GB2312"/>
          <w:color w:val="auto"/>
          <w:spacing w:val="-7"/>
          <w:sz w:val="24"/>
          <w:szCs w:val="24"/>
          <w:highlight w:val="none"/>
          <w:lang w:val="en-US" w:eastAsia="en-US" w:bidi="ar-SA"/>
        </w:rPr>
        <w:t>个月的未整改，造成甲方经济损失的，甲方有权扣留乙方全部履约保证金，</w:t>
      </w:r>
      <w:r>
        <w:rPr>
          <w:rFonts w:hint="eastAsia" w:ascii="仿宋_GB2312" w:hAnsi="仿宋_GB2312" w:eastAsia="仿宋_GB2312" w:cs="仿宋_GB2312"/>
          <w:color w:val="auto"/>
          <w:spacing w:val="-3"/>
          <w:sz w:val="24"/>
          <w:szCs w:val="24"/>
          <w:highlight w:val="none"/>
          <w:lang w:val="en-US" w:eastAsia="en-US" w:bidi="ar-SA"/>
        </w:rPr>
        <w:t>乙方在服务期间所投入的相关设施设备、费用，甲方不作任何赔偿和补偿，同时</w:t>
      </w:r>
      <w:r>
        <w:rPr>
          <w:rFonts w:hint="eastAsia" w:ascii="仿宋_GB2312" w:hAnsi="仿宋_GB2312" w:eastAsia="仿宋_GB2312" w:cs="仿宋_GB2312"/>
          <w:color w:val="auto"/>
          <w:sz w:val="24"/>
          <w:szCs w:val="24"/>
          <w:highlight w:val="none"/>
          <w:lang w:val="en-US" w:eastAsia="en-US" w:bidi="ar-SA"/>
        </w:rPr>
        <w:t>乙方应向甲方支付合同总价</w:t>
      </w:r>
      <w:r>
        <w:rPr>
          <w:rFonts w:hint="eastAsia" w:ascii="仿宋_GB2312" w:hAnsi="仿宋_GB2312" w:eastAsia="仿宋_GB2312" w:cs="仿宋_GB2312"/>
          <w:color w:val="auto"/>
          <w:spacing w:val="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5%的违约金。</w:t>
      </w:r>
    </w:p>
    <w:p w14:paraId="59680DB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4、乙方无正当理由，违反有关规定，擅自收费或擅自提高收费标准的，对</w:t>
      </w:r>
      <w:r>
        <w:rPr>
          <w:rFonts w:hint="eastAsia" w:ascii="仿宋_GB2312" w:hAnsi="仿宋_GB2312" w:eastAsia="仿宋_GB2312" w:cs="仿宋_GB2312"/>
          <w:color w:val="auto"/>
          <w:spacing w:val="-3"/>
          <w:sz w:val="24"/>
          <w:szCs w:val="24"/>
          <w:highlight w:val="none"/>
          <w:lang w:val="en-US" w:eastAsia="en-US" w:bidi="ar-SA"/>
        </w:rPr>
        <w:t>擅自收费部分或超出标准的部分，甲方有权要求乙方双倍返还；造成甲方经济损</w:t>
      </w:r>
      <w:r>
        <w:rPr>
          <w:rFonts w:hint="eastAsia" w:ascii="仿宋_GB2312" w:hAnsi="仿宋_GB2312" w:eastAsia="仿宋_GB2312" w:cs="仿宋_GB2312"/>
          <w:color w:val="auto"/>
          <w:sz w:val="24"/>
          <w:szCs w:val="24"/>
          <w:highlight w:val="none"/>
          <w:lang w:val="en-US" w:eastAsia="en-US" w:bidi="ar-SA"/>
        </w:rPr>
        <w:t>失的，乙方应给予甲方经济赔偿。</w:t>
      </w:r>
    </w:p>
    <w:p w14:paraId="34F1EB0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5</w:t>
      </w:r>
      <w:r>
        <w:rPr>
          <w:rFonts w:hint="eastAsia" w:ascii="仿宋_GB2312" w:hAnsi="仿宋_GB2312" w:eastAsia="仿宋_GB2312" w:cs="仿宋_GB2312"/>
          <w:color w:val="auto"/>
          <w:spacing w:val="-4"/>
          <w:sz w:val="24"/>
          <w:szCs w:val="24"/>
          <w:highlight w:val="none"/>
          <w:lang w:val="en-US" w:eastAsia="en-US" w:bidi="ar-SA"/>
        </w:rPr>
        <w:t>、乙方在承担上述</w:t>
      </w:r>
      <w:r>
        <w:rPr>
          <w:rFonts w:hint="eastAsia" w:ascii="仿宋_GB2312" w:hAnsi="仿宋_GB2312" w:eastAsia="仿宋_GB2312" w:cs="仿宋_GB2312"/>
          <w:color w:val="auto"/>
          <w:spacing w:val="5"/>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3</w:t>
      </w:r>
      <w:r>
        <w:rPr>
          <w:rFonts w:hint="eastAsia" w:ascii="仿宋_GB2312" w:hAnsi="仿宋_GB2312" w:eastAsia="仿宋_GB2312" w:cs="仿宋_GB2312"/>
          <w:color w:val="auto"/>
          <w:spacing w:val="-31"/>
          <w:sz w:val="24"/>
          <w:szCs w:val="24"/>
          <w:highlight w:val="none"/>
          <w:lang w:val="en-US" w:eastAsia="en-US" w:bidi="ar-SA"/>
        </w:rPr>
        <w:t>、</w:t>
      </w:r>
      <w:r>
        <w:rPr>
          <w:rFonts w:hint="eastAsia" w:ascii="仿宋_GB2312" w:hAnsi="仿宋_GB2312" w:eastAsia="仿宋_GB2312" w:cs="仿宋_GB2312"/>
          <w:color w:val="auto"/>
          <w:spacing w:val="60"/>
          <w:sz w:val="24"/>
          <w:szCs w:val="24"/>
          <w:highlight w:val="none"/>
          <w:lang w:val="en-US" w:eastAsia="en-US" w:bidi="ar-SA"/>
        </w:rPr>
        <w:t>4</w:t>
      </w:r>
      <w:r>
        <w:rPr>
          <w:rFonts w:hint="eastAsia" w:ascii="仿宋_GB2312" w:hAnsi="仿宋_GB2312" w:eastAsia="仿宋_GB2312" w:cs="仿宋_GB2312"/>
          <w:color w:val="auto"/>
          <w:spacing w:val="-1"/>
          <w:sz w:val="24"/>
          <w:szCs w:val="24"/>
          <w:highlight w:val="none"/>
          <w:lang w:val="en-US" w:eastAsia="en-US" w:bidi="ar-SA"/>
        </w:rPr>
        <w:t>款一项或多项违约责任后，仍应继续履行合同规定</w:t>
      </w:r>
      <w:r>
        <w:rPr>
          <w:rFonts w:hint="eastAsia" w:ascii="仿宋_GB2312" w:hAnsi="仿宋_GB2312" w:eastAsia="仿宋_GB2312" w:cs="仿宋_GB2312"/>
          <w:color w:val="auto"/>
          <w:spacing w:val="-3"/>
          <w:sz w:val="24"/>
          <w:szCs w:val="24"/>
          <w:highlight w:val="none"/>
          <w:lang w:val="en-US" w:eastAsia="en-US" w:bidi="ar-SA"/>
        </w:rPr>
        <w:t>的义务（甲方解除合同的除外）。甲方未能及时追究乙方的任何一项违约责任并</w:t>
      </w:r>
      <w:r>
        <w:rPr>
          <w:rFonts w:hint="eastAsia" w:ascii="仿宋_GB2312" w:hAnsi="仿宋_GB2312" w:eastAsia="仿宋_GB2312" w:cs="仿宋_GB2312"/>
          <w:color w:val="auto"/>
          <w:sz w:val="24"/>
          <w:szCs w:val="24"/>
          <w:highlight w:val="none"/>
          <w:lang w:val="en-US" w:eastAsia="en-US" w:bidi="ar-SA"/>
        </w:rPr>
        <w:t>不表明甲方放弃追究乙方该项或其他违约责任。</w:t>
      </w:r>
    </w:p>
    <w:p w14:paraId="36A33B8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6、依据本合同，经公安机关确定是由于乙方所有服务人员进行本项目所有</w:t>
      </w:r>
      <w:r>
        <w:rPr>
          <w:rFonts w:hint="eastAsia" w:ascii="仿宋_GB2312" w:hAnsi="仿宋_GB2312" w:eastAsia="仿宋_GB2312" w:cs="仿宋_GB2312"/>
          <w:color w:val="auto"/>
          <w:spacing w:val="1"/>
          <w:sz w:val="24"/>
          <w:szCs w:val="24"/>
          <w:highlight w:val="none"/>
          <w:lang w:val="en-US" w:eastAsia="en-US" w:bidi="ar-SA"/>
        </w:rPr>
        <w:t>服务工作时的过失或故意行为，造成甲方经济损失的，乙方负责承担赔偿责任。</w:t>
      </w:r>
    </w:p>
    <w:p w14:paraId="0BB2896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7、乙方出现违反本合同约定的行为的，经甲方通知并给予合理期限给予整改仍未能完成整改的，则甲方有权解除本合同。</w:t>
      </w:r>
    </w:p>
    <w:p w14:paraId="57A973FB">
      <w:pPr>
        <w:spacing w:line="291" w:lineRule="exact"/>
        <w:ind w:left="2686"/>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rPr>
        <w:drawing>
          <wp:anchor distT="0" distB="0" distL="114300" distR="114300" simplePos="0" relativeHeight="251661312" behindDoc="1" locked="0" layoutInCell="1" allowOverlap="1">
            <wp:simplePos x="0" y="0"/>
            <wp:positionH relativeFrom="page">
              <wp:posOffset>3645535</wp:posOffset>
            </wp:positionH>
            <wp:positionV relativeFrom="page">
              <wp:posOffset>5474970</wp:posOffset>
            </wp:positionV>
            <wp:extent cx="482600" cy="33020"/>
            <wp:effectExtent l="0" t="0" r="5080" b="1270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8"/>
                    <a:stretch>
                      <a:fillRect/>
                    </a:stretch>
                  </pic:blipFill>
                  <pic:spPr>
                    <a:xfrm>
                      <a:off x="0" y="0"/>
                      <a:ext cx="482600" cy="33020"/>
                    </a:xfrm>
                    <a:prstGeom prst="rect">
                      <a:avLst/>
                    </a:prstGeom>
                    <a:noFill/>
                    <a:ln>
                      <a:noFill/>
                    </a:ln>
                  </pic:spPr>
                </pic:pic>
              </a:graphicData>
            </a:graphic>
          </wp:anchor>
        </w:drawing>
      </w:r>
      <w:r>
        <w:rPr>
          <w:rFonts w:hint="eastAsia" w:ascii="仿宋_GB2312" w:hAnsi="仿宋_GB2312" w:eastAsia="仿宋_GB2312" w:cs="仿宋_GB2312"/>
          <w:color w:val="auto"/>
          <w:spacing w:val="1"/>
          <w:sz w:val="24"/>
          <w:szCs w:val="24"/>
          <w:highlight w:val="none"/>
          <w:lang w:val="en-US" w:eastAsia="en-US" w:bidi="ar-SA"/>
        </w:rPr>
        <w:t>第十三条</w:t>
      </w:r>
      <w:r>
        <w:rPr>
          <w:rFonts w:hint="eastAsia" w:ascii="仿宋_GB2312" w:hAnsi="仿宋_GB2312" w:eastAsia="仿宋_GB2312" w:cs="仿宋_GB2312"/>
          <w:color w:val="auto"/>
          <w:spacing w:val="72"/>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合同的变更及终止</w:t>
      </w:r>
    </w:p>
    <w:p w14:paraId="53C89FC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1、除《政府采购法》第</w:t>
      </w:r>
      <w:r>
        <w:rPr>
          <w:rFonts w:hint="eastAsia" w:ascii="仿宋_GB2312" w:hAnsi="仿宋_GB2312" w:eastAsia="仿宋_GB2312" w:cs="仿宋_GB2312"/>
          <w:color w:val="auto"/>
          <w:spacing w:val="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49条、第 50条第二款规定的情形外，本合同一经签订，甲乙双方不得擅自变更、中止或终止合同。</w:t>
      </w:r>
    </w:p>
    <w:p w14:paraId="4B82721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2、本合同终止时，乙方应协助甲方作好居家养老服务的交接和善后工作，移交或配合甲方移交工作用房和全部档案资料等。</w:t>
      </w:r>
    </w:p>
    <w:p w14:paraId="1A28823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3、因成交供应商在年度内服务质量评估不合格，采购人有权解除合同并不</w:t>
      </w:r>
      <w:r>
        <w:rPr>
          <w:rFonts w:hint="eastAsia" w:ascii="仿宋_GB2312" w:hAnsi="仿宋_GB2312" w:eastAsia="仿宋_GB2312" w:cs="仿宋_GB2312"/>
          <w:color w:val="auto"/>
          <w:spacing w:val="1"/>
          <w:sz w:val="24"/>
          <w:szCs w:val="24"/>
          <w:highlight w:val="none"/>
          <w:lang w:val="en-US" w:eastAsia="en-US" w:bidi="ar-SA"/>
        </w:rPr>
        <w:t>向成交供应商做任何赔偿或补偿。本合同解除或终止后，乙方投资改造的项目，</w:t>
      </w:r>
      <w:r>
        <w:rPr>
          <w:rFonts w:hint="eastAsia" w:ascii="仿宋_GB2312" w:hAnsi="仿宋_GB2312" w:eastAsia="仿宋_GB2312" w:cs="仿宋_GB2312"/>
          <w:color w:val="auto"/>
          <w:spacing w:val="-3"/>
          <w:sz w:val="24"/>
          <w:szCs w:val="24"/>
          <w:highlight w:val="none"/>
          <w:lang w:val="en-US" w:eastAsia="en-US" w:bidi="ar-SA"/>
        </w:rPr>
        <w:t>除可移动的设施设备归其所有，其余均无偿归采购人所有；乙方应当在合同终止</w:t>
      </w:r>
      <w:r>
        <w:rPr>
          <w:rFonts w:hint="eastAsia" w:ascii="仿宋_GB2312" w:hAnsi="仿宋_GB2312" w:eastAsia="仿宋_GB2312" w:cs="仿宋_GB2312"/>
          <w:color w:val="auto"/>
          <w:sz w:val="24"/>
          <w:szCs w:val="24"/>
          <w:highlight w:val="none"/>
          <w:lang w:val="en-US" w:eastAsia="en-US" w:bidi="ar-SA"/>
        </w:rPr>
        <w:t>后 10天内撤场，将场地、设备、房屋及全套档案资料交付给甲方或甲方指定的</w:t>
      </w:r>
      <w:r>
        <w:rPr>
          <w:rFonts w:hint="eastAsia" w:ascii="仿宋_GB2312" w:hAnsi="仿宋_GB2312" w:eastAsia="仿宋_GB2312" w:cs="仿宋_GB2312"/>
          <w:color w:val="auto"/>
          <w:spacing w:val="-3"/>
          <w:sz w:val="24"/>
          <w:szCs w:val="24"/>
          <w:highlight w:val="none"/>
          <w:lang w:val="en-US" w:eastAsia="en-US" w:bidi="ar-SA"/>
        </w:rPr>
        <w:t>第三方，逾期不能移交及撤场的，则自逾期之日起按照每日叁仟元支付违约金及房屋占用费，甲方有权予以处理。撤场期间应当维持本合同约定的基本服务，否</w:t>
      </w:r>
      <w:r>
        <w:rPr>
          <w:rFonts w:hint="eastAsia" w:ascii="仿宋_GB2312" w:hAnsi="仿宋_GB2312" w:eastAsia="仿宋_GB2312" w:cs="仿宋_GB2312"/>
          <w:color w:val="auto"/>
          <w:sz w:val="24"/>
          <w:szCs w:val="24"/>
          <w:highlight w:val="none"/>
          <w:lang w:val="en-US" w:eastAsia="en-US" w:bidi="ar-SA"/>
        </w:rPr>
        <w:t>则因乙方未能提供服务导致甲方向第三方寻求替代服务所产生的费用由乙方承担。</w:t>
      </w:r>
    </w:p>
    <w:p w14:paraId="7E529B17">
      <w:pPr>
        <w:spacing w:before="274" w:line="291" w:lineRule="exact"/>
        <w:ind w:left="2761"/>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第十四条</w:t>
      </w:r>
      <w:r>
        <w:rPr>
          <w:rFonts w:hint="eastAsia" w:ascii="仿宋_GB2312" w:hAnsi="仿宋_GB2312" w:eastAsia="仿宋_GB2312" w:cs="仿宋_GB2312"/>
          <w:color w:val="auto"/>
          <w:spacing w:val="71"/>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合同生效及其他</w:t>
      </w:r>
    </w:p>
    <w:p w14:paraId="5FE52E0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1、本项目成交后的履约保证金为</w:t>
      </w:r>
      <w:r>
        <w:rPr>
          <w:rFonts w:hint="eastAsia" w:ascii="仿宋_GB2312" w:hAnsi="仿宋_GB2312" w:eastAsia="仿宋_GB2312" w:cs="仿宋_GB2312"/>
          <w:color w:val="auto"/>
          <w:sz w:val="24"/>
          <w:szCs w:val="24"/>
          <w:highlight w:val="none"/>
          <w:u w:val="single"/>
          <w:lang w:val="en-US" w:eastAsia="zh-CN" w:bidi="ar-SA"/>
        </w:rPr>
        <w:t xml:space="preserve">        </w:t>
      </w:r>
      <w:r>
        <w:rPr>
          <w:rFonts w:hint="eastAsia" w:ascii="仿宋_GB2312" w:hAnsi="仿宋_GB2312" w:eastAsia="仿宋_GB2312" w:cs="仿宋_GB2312"/>
          <w:color w:val="auto"/>
          <w:sz w:val="24"/>
          <w:szCs w:val="24"/>
          <w:highlight w:val="none"/>
          <w:lang w:val="en-US" w:eastAsia="en-US" w:bidi="ar-SA"/>
        </w:rPr>
        <w:t xml:space="preserve">元。乙方的履约保证金须在成交通知书发出 </w:t>
      </w:r>
      <w:r>
        <w:rPr>
          <w:rFonts w:hint="eastAsia" w:ascii="仿宋_GB2312" w:hAnsi="仿宋_GB2312" w:eastAsia="仿宋_GB2312" w:cs="仿宋_GB2312"/>
          <w:color w:val="auto"/>
          <w:spacing w:val="60"/>
          <w:sz w:val="24"/>
          <w:szCs w:val="24"/>
          <w:highlight w:val="none"/>
          <w:lang w:val="en-US" w:eastAsia="en-US" w:bidi="ar-SA"/>
        </w:rPr>
        <w:t>5</w:t>
      </w:r>
      <w:r>
        <w:rPr>
          <w:rFonts w:hint="eastAsia" w:ascii="仿宋_GB2312" w:hAnsi="仿宋_GB2312" w:eastAsia="仿宋_GB2312" w:cs="仿宋_GB2312"/>
          <w:color w:val="auto"/>
          <w:sz w:val="24"/>
          <w:szCs w:val="24"/>
          <w:highlight w:val="none"/>
          <w:lang w:val="en-US" w:eastAsia="en-US" w:bidi="ar-SA"/>
        </w:rPr>
        <w:t>个工作日内汇入采购单位账户，成交通知书发出后</w:t>
      </w:r>
      <w:r>
        <w:rPr>
          <w:rFonts w:hint="eastAsia" w:ascii="仿宋_GB2312" w:hAnsi="仿宋_GB2312" w:eastAsia="仿宋_GB2312" w:cs="仿宋_GB2312"/>
          <w:color w:val="auto"/>
          <w:spacing w:val="1"/>
          <w:sz w:val="24"/>
          <w:szCs w:val="24"/>
          <w:highlight w:val="none"/>
          <w:lang w:val="en-US" w:eastAsia="en-US" w:bidi="ar-SA"/>
        </w:rPr>
        <w:t xml:space="preserve"> </w:t>
      </w:r>
      <w:r>
        <w:rPr>
          <w:rFonts w:hint="eastAsia" w:ascii="仿宋_GB2312" w:hAnsi="仿宋_GB2312" w:eastAsia="仿宋_GB2312" w:cs="仿宋_GB2312"/>
          <w:color w:val="auto"/>
          <w:sz w:val="24"/>
          <w:szCs w:val="24"/>
          <w:highlight w:val="none"/>
          <w:lang w:val="en-US" w:eastAsia="en-US" w:bidi="ar-SA"/>
        </w:rPr>
        <w:t>30日内按照磋商</w:t>
      </w:r>
      <w:r>
        <w:rPr>
          <w:rFonts w:hint="eastAsia" w:ascii="仿宋_GB2312" w:hAnsi="仿宋_GB2312" w:eastAsia="仿宋_GB2312" w:cs="仿宋_GB2312"/>
          <w:color w:val="auto"/>
          <w:spacing w:val="-3"/>
          <w:sz w:val="24"/>
          <w:szCs w:val="24"/>
          <w:highlight w:val="none"/>
          <w:lang w:val="en-US" w:eastAsia="en-US" w:bidi="ar-SA"/>
        </w:rPr>
        <w:t>文件确定的事项与采购单位签订合同。超期或未有协商，则视为自动放弃成交资</w:t>
      </w:r>
      <w:r>
        <w:rPr>
          <w:rFonts w:hint="eastAsia" w:ascii="仿宋_GB2312" w:hAnsi="仿宋_GB2312" w:eastAsia="仿宋_GB2312" w:cs="仿宋_GB2312"/>
          <w:color w:val="auto"/>
          <w:sz w:val="24"/>
          <w:szCs w:val="24"/>
          <w:highlight w:val="none"/>
          <w:lang w:val="en-US" w:eastAsia="en-US" w:bidi="ar-SA"/>
        </w:rPr>
        <w:t>格。</w:t>
      </w:r>
      <w:r>
        <w:rPr>
          <w:rFonts w:hint="eastAsia" w:ascii="仿宋_GB2312" w:hAnsi="仿宋_GB2312" w:eastAsia="仿宋_GB2312" w:cs="仿宋_GB2312"/>
          <w:color w:val="auto"/>
          <w:spacing w:val="-3"/>
          <w:sz w:val="24"/>
          <w:szCs w:val="24"/>
          <w:highlight w:val="none"/>
          <w:lang w:val="en-US" w:eastAsia="en-US" w:bidi="ar-SA"/>
        </w:rPr>
        <w:t>乙方在按要求保质保量的完成该项目合同并通过考核验收后，甲方凭乙方提交的申请，一次性无息退还该合同项目的履约保证金。由于乙方原因，在签订合同后出现不按合同履行的情况，甲方有权将履约保证金作为违约金，全额不予退</w:t>
      </w:r>
      <w:r>
        <w:rPr>
          <w:rFonts w:hint="eastAsia" w:ascii="仿宋_GB2312" w:hAnsi="仿宋_GB2312" w:eastAsia="仿宋_GB2312" w:cs="仿宋_GB2312"/>
          <w:color w:val="auto"/>
          <w:sz w:val="24"/>
          <w:szCs w:val="24"/>
          <w:highlight w:val="none"/>
          <w:lang w:val="en-US" w:eastAsia="en-US" w:bidi="ar-SA"/>
        </w:rPr>
        <w:t>还，同时甲方亦有权终止合同，乙方还须承担相应的法律赔偿责任。</w:t>
      </w:r>
    </w:p>
    <w:p w14:paraId="56066BD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2、甲乙双方因合同发生争议，应在甲方的主持下进行调解，协商不成，任何一方可以向甲方所在地人民法院起诉。</w:t>
      </w:r>
    </w:p>
    <w:p w14:paraId="1555414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3、合同在执行过程中出现的未尽事宜，双方在不违背本合同和招标文件的</w:t>
      </w:r>
      <w:r>
        <w:rPr>
          <w:rFonts w:hint="eastAsia" w:ascii="仿宋_GB2312" w:hAnsi="仿宋_GB2312" w:eastAsia="仿宋_GB2312" w:cs="仿宋_GB2312"/>
          <w:color w:val="auto"/>
          <w:spacing w:val="-3"/>
          <w:sz w:val="24"/>
          <w:szCs w:val="24"/>
          <w:highlight w:val="none"/>
          <w:lang w:val="en-US" w:eastAsia="en-US" w:bidi="ar-SA"/>
        </w:rPr>
        <w:t>原则下协商解决，协商结果以书面形式签订补充协议，且补充协议与本合同具有</w:t>
      </w:r>
      <w:r>
        <w:rPr>
          <w:rFonts w:hint="eastAsia" w:ascii="仿宋_GB2312" w:hAnsi="仿宋_GB2312" w:eastAsia="仿宋_GB2312" w:cs="仿宋_GB2312"/>
          <w:color w:val="auto"/>
          <w:sz w:val="24"/>
          <w:szCs w:val="24"/>
          <w:highlight w:val="none"/>
          <w:lang w:val="en-US" w:eastAsia="en-US" w:bidi="ar-SA"/>
        </w:rPr>
        <w:t>同等效力。</w:t>
      </w:r>
    </w:p>
    <w:p w14:paraId="43C5761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4、甲乙双方确认：对本合同条款及后果均已知悉，一致确认不存在欺诈、</w:t>
      </w:r>
      <w:r>
        <w:rPr>
          <w:rFonts w:hint="eastAsia" w:ascii="仿宋_GB2312" w:hAnsi="仿宋_GB2312" w:eastAsia="仿宋_GB2312" w:cs="仿宋_GB2312"/>
          <w:color w:val="auto"/>
          <w:spacing w:val="-9"/>
          <w:sz w:val="24"/>
          <w:szCs w:val="24"/>
          <w:highlight w:val="none"/>
          <w:lang w:val="en-US" w:eastAsia="en-US" w:bidi="ar-SA"/>
        </w:rPr>
        <w:t>胁迫、乘人之危、重大误解、显失公平等任何可能导致合同无效或被撤销的情形。</w:t>
      </w:r>
    </w:p>
    <w:p w14:paraId="673A2B1E">
      <w:pPr>
        <w:spacing w:line="291" w:lineRule="exact"/>
        <w:ind w:left="2957"/>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第十五条</w:t>
      </w:r>
      <w:r>
        <w:rPr>
          <w:rFonts w:hint="eastAsia" w:ascii="仿宋_GB2312" w:hAnsi="仿宋_GB2312" w:eastAsia="仿宋_GB2312" w:cs="仿宋_GB2312"/>
          <w:color w:val="auto"/>
          <w:spacing w:val="71"/>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未尽事宜</w:t>
      </w:r>
    </w:p>
    <w:p w14:paraId="043868A5">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3"/>
          <w:sz w:val="24"/>
          <w:szCs w:val="24"/>
          <w:highlight w:val="none"/>
          <w:lang w:val="en-US" w:eastAsia="en-US" w:bidi="ar-SA"/>
        </w:rPr>
        <w:t>本合同未尽事宜应按照《中华人民共和国合同法》、《中华人民共和国政府</w:t>
      </w:r>
      <w:r>
        <w:rPr>
          <w:rFonts w:hint="eastAsia" w:ascii="仿宋_GB2312" w:hAnsi="仿宋_GB2312" w:eastAsia="仿宋_GB2312" w:cs="仿宋_GB2312"/>
          <w:color w:val="auto"/>
          <w:sz w:val="24"/>
          <w:szCs w:val="24"/>
          <w:highlight w:val="none"/>
          <w:lang w:val="en-US" w:eastAsia="en-US" w:bidi="ar-SA"/>
        </w:rPr>
        <w:t>采购法》及其他有关法律、行政法规解释。</w:t>
      </w:r>
    </w:p>
    <w:p w14:paraId="40E2E3B3">
      <w:pPr>
        <w:spacing w:before="274" w:line="291" w:lineRule="exact"/>
        <w:ind w:left="2537"/>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2"/>
          <w:sz w:val="24"/>
          <w:szCs w:val="24"/>
          <w:highlight w:val="none"/>
          <w:lang w:val="en-US" w:eastAsia="en-US" w:bidi="ar-SA"/>
        </w:rPr>
        <w:t>第十六条</w:t>
      </w:r>
      <w:r>
        <w:rPr>
          <w:rFonts w:hint="eastAsia" w:ascii="仿宋_GB2312" w:hAnsi="仿宋_GB2312" w:eastAsia="仿宋_GB2312" w:cs="仿宋_GB2312"/>
          <w:color w:val="auto"/>
          <w:spacing w:val="71"/>
          <w:sz w:val="24"/>
          <w:szCs w:val="24"/>
          <w:highlight w:val="none"/>
          <w:lang w:val="en-US" w:eastAsia="en-US" w:bidi="ar-SA"/>
        </w:rPr>
        <w:t xml:space="preserve"> </w:t>
      </w:r>
      <w:r>
        <w:rPr>
          <w:rFonts w:hint="eastAsia" w:ascii="仿宋_GB2312" w:hAnsi="仿宋_GB2312" w:eastAsia="仿宋_GB2312" w:cs="仿宋_GB2312"/>
          <w:color w:val="auto"/>
          <w:spacing w:val="1"/>
          <w:sz w:val="24"/>
          <w:szCs w:val="24"/>
          <w:highlight w:val="none"/>
          <w:lang w:val="en-US" w:eastAsia="en-US" w:bidi="ar-SA"/>
        </w:rPr>
        <w:t>合同生效及份数</w:t>
      </w:r>
    </w:p>
    <w:p w14:paraId="447B4FE9">
      <w:pPr>
        <w:spacing w:before="277" w:line="250" w:lineRule="exact"/>
        <w:ind w:left="48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1、合同份数：合同一式陆份，采购人、供应商各执叁份。</w:t>
      </w:r>
    </w:p>
    <w:p w14:paraId="60437E77">
      <w:pPr>
        <w:spacing w:before="218" w:line="250" w:lineRule="exact"/>
        <w:ind w:left="48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2、本合同文件使用中文书写、解释和说明。</w:t>
      </w:r>
    </w:p>
    <w:p w14:paraId="2EBB290E">
      <w:pPr>
        <w:spacing w:before="1390" w:line="250" w:lineRule="exact"/>
        <w:ind w:left="48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
          <w:sz w:val="24"/>
          <w:szCs w:val="24"/>
          <w:highlight w:val="none"/>
          <w:lang w:val="en-US" w:eastAsia="en-US" w:bidi="ar-SA"/>
        </w:rPr>
        <w:t>甲方：南通市</w:t>
      </w:r>
      <w:r>
        <w:rPr>
          <w:rFonts w:hint="eastAsia" w:ascii="仿宋_GB2312" w:hAnsi="仿宋_GB2312" w:eastAsia="仿宋_GB2312" w:cs="仿宋_GB2312"/>
          <w:color w:val="auto"/>
          <w:spacing w:val="1"/>
          <w:sz w:val="24"/>
          <w:szCs w:val="24"/>
          <w:highlight w:val="none"/>
          <w:lang w:val="en-US" w:eastAsia="zh-CN" w:bidi="ar-SA"/>
        </w:rPr>
        <w:t>中兴</w:t>
      </w:r>
      <w:r>
        <w:rPr>
          <w:rFonts w:hint="eastAsia" w:ascii="仿宋_GB2312" w:hAnsi="仿宋_GB2312" w:eastAsia="仿宋_GB2312" w:cs="仿宋_GB2312"/>
          <w:color w:val="auto"/>
          <w:spacing w:val="1"/>
          <w:sz w:val="24"/>
          <w:szCs w:val="24"/>
          <w:highlight w:val="none"/>
          <w:lang w:val="en-US" w:eastAsia="en-US" w:bidi="ar-SA"/>
        </w:rPr>
        <w:t>街道办事处</w:t>
      </w:r>
      <w:r>
        <w:rPr>
          <w:rFonts w:hint="eastAsia" w:ascii="仿宋_GB2312" w:hAnsi="仿宋_GB2312" w:eastAsia="仿宋_GB2312" w:cs="仿宋_GB2312"/>
          <w:color w:val="auto"/>
          <w:spacing w:val="1"/>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val="en-US" w:eastAsia="en-US" w:bidi="ar-SA"/>
        </w:rPr>
        <w:t>乙方：</w:t>
      </w:r>
    </w:p>
    <w:p w14:paraId="2101B3CE">
      <w:pPr>
        <w:spacing w:before="249" w:line="250" w:lineRule="exact"/>
        <w:ind w:left="48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地址：</w:t>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val="en-US" w:eastAsia="en-US" w:bidi="ar-SA"/>
        </w:rPr>
        <w:t>地址：</w:t>
      </w:r>
    </w:p>
    <w:p w14:paraId="6E1CCC02">
      <w:pPr>
        <w:spacing w:before="252" w:line="250" w:lineRule="exact"/>
        <w:ind w:left="48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8"/>
          <w:sz w:val="24"/>
          <w:szCs w:val="24"/>
          <w:highlight w:val="none"/>
          <w:lang w:val="en-US" w:eastAsia="en-US" w:bidi="ar-SA"/>
        </w:rPr>
        <w:t>法定代表人（签字或盖章）：</w:t>
      </w:r>
      <w:r>
        <w:rPr>
          <w:rFonts w:hint="eastAsia" w:ascii="仿宋_GB2312" w:hAnsi="仿宋_GB2312" w:eastAsia="仿宋_GB2312" w:cs="仿宋_GB2312"/>
          <w:color w:val="auto"/>
          <w:spacing w:val="-18"/>
          <w:sz w:val="24"/>
          <w:szCs w:val="24"/>
          <w:highlight w:val="none"/>
          <w:lang w:val="en-US" w:eastAsia="zh-CN" w:bidi="ar-SA"/>
        </w:rPr>
        <w:t xml:space="preserve">                              </w:t>
      </w:r>
      <w:r>
        <w:rPr>
          <w:rFonts w:hint="eastAsia" w:ascii="仿宋_GB2312" w:hAnsi="仿宋_GB2312" w:eastAsia="仿宋_GB2312" w:cs="仿宋_GB2312"/>
          <w:color w:val="auto"/>
          <w:spacing w:val="-18"/>
          <w:sz w:val="24"/>
          <w:szCs w:val="24"/>
          <w:highlight w:val="none"/>
          <w:lang w:val="en-US" w:eastAsia="en-US" w:bidi="ar-SA"/>
        </w:rPr>
        <w:t>法定代表人（签字或盖章）：</w:t>
      </w:r>
    </w:p>
    <w:p w14:paraId="6E95DA8F">
      <w:pPr>
        <w:spacing w:before="249" w:line="250" w:lineRule="exact"/>
        <w:ind w:left="48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pacing w:val="-18"/>
          <w:sz w:val="24"/>
          <w:szCs w:val="24"/>
          <w:highlight w:val="none"/>
          <w:lang w:val="en-US" w:eastAsia="en-US" w:bidi="ar-SA"/>
        </w:rPr>
        <w:t>委托代理人（签字或盖章）：</w:t>
      </w:r>
      <w:r>
        <w:rPr>
          <w:rFonts w:hint="eastAsia" w:ascii="仿宋_GB2312" w:hAnsi="仿宋_GB2312" w:eastAsia="仿宋_GB2312" w:cs="仿宋_GB2312"/>
          <w:color w:val="auto"/>
          <w:spacing w:val="-18"/>
          <w:sz w:val="24"/>
          <w:szCs w:val="24"/>
          <w:highlight w:val="none"/>
          <w:lang w:val="en-US" w:eastAsia="zh-CN" w:bidi="ar-SA"/>
        </w:rPr>
        <w:t xml:space="preserve">                              </w:t>
      </w:r>
      <w:r>
        <w:rPr>
          <w:rFonts w:hint="eastAsia" w:ascii="仿宋_GB2312" w:hAnsi="仿宋_GB2312" w:eastAsia="仿宋_GB2312" w:cs="仿宋_GB2312"/>
          <w:color w:val="auto"/>
          <w:spacing w:val="-18"/>
          <w:sz w:val="24"/>
          <w:szCs w:val="24"/>
          <w:highlight w:val="none"/>
          <w:lang w:val="en-US" w:eastAsia="en-US" w:bidi="ar-SA"/>
        </w:rPr>
        <w:t>委托代理人（签字或盖章）：</w:t>
      </w:r>
    </w:p>
    <w:p w14:paraId="09FED9AD">
      <w:pPr>
        <w:spacing w:before="249" w:line="250" w:lineRule="exact"/>
        <w:ind w:left="480"/>
        <w:rPr>
          <w:rFonts w:hAnsi="Calibri"/>
          <w:color w:val="auto"/>
          <w:szCs w:val="22"/>
          <w:highlight w:val="none"/>
          <w:lang w:val="en-US" w:eastAsia="en-US" w:bidi="ar-SA"/>
        </w:rPr>
      </w:pPr>
      <w:r>
        <w:rPr>
          <w:rFonts w:ascii="宋体" w:hAnsi="宋体" w:cs="宋体"/>
          <w:color w:val="auto"/>
          <w:szCs w:val="22"/>
          <w:highlight w:val="none"/>
          <w:lang w:val="en-US" w:eastAsia="en-US" w:bidi="ar-SA"/>
        </w:rPr>
        <w:t>电话：</w:t>
      </w:r>
      <w:r>
        <w:rPr>
          <w:rFonts w:hint="eastAsia" w:ascii="宋体" w:hAnsi="宋体" w:cs="宋体"/>
          <w:color w:val="auto"/>
          <w:szCs w:val="22"/>
          <w:highlight w:val="none"/>
          <w:lang w:val="en-US" w:eastAsia="zh-CN" w:bidi="ar-SA"/>
        </w:rPr>
        <w:t xml:space="preserve">                                                    </w:t>
      </w:r>
      <w:r>
        <w:rPr>
          <w:rFonts w:ascii="宋体" w:hAnsi="宋体" w:cs="宋体"/>
          <w:color w:val="auto"/>
          <w:szCs w:val="22"/>
          <w:highlight w:val="none"/>
          <w:lang w:val="en-US" w:eastAsia="en-US" w:bidi="ar-SA"/>
        </w:rPr>
        <w:t>电话：</w:t>
      </w:r>
    </w:p>
    <w:p w14:paraId="18D392EA">
      <w:pPr>
        <w:spacing w:before="252" w:line="250" w:lineRule="exact"/>
        <w:ind w:left="480"/>
        <w:rPr>
          <w:rFonts w:hAnsi="Calibri"/>
          <w:color w:val="auto"/>
          <w:szCs w:val="22"/>
          <w:highlight w:val="none"/>
          <w:lang w:val="en-US" w:eastAsia="en-US" w:bidi="ar-SA"/>
        </w:rPr>
      </w:pPr>
      <w:r>
        <w:rPr>
          <w:rFonts w:ascii="宋体" w:hAnsi="宋体" w:cs="宋体"/>
          <w:color w:val="auto"/>
          <w:szCs w:val="22"/>
          <w:highlight w:val="none"/>
          <w:lang w:val="en-US" w:eastAsia="en-US" w:bidi="ar-SA"/>
        </w:rPr>
        <w:t>时间：</w:t>
      </w:r>
      <w:r>
        <w:rPr>
          <w:rFonts w:hint="eastAsia" w:ascii="宋体" w:hAnsi="宋体" w:cs="宋体"/>
          <w:color w:val="auto"/>
          <w:szCs w:val="22"/>
          <w:highlight w:val="none"/>
          <w:lang w:val="en-US" w:eastAsia="zh-CN" w:bidi="ar-SA"/>
        </w:rPr>
        <w:t xml:space="preserve">                                                    </w:t>
      </w:r>
      <w:r>
        <w:rPr>
          <w:rFonts w:ascii="宋体" w:hAnsi="宋体" w:cs="宋体"/>
          <w:color w:val="auto"/>
          <w:szCs w:val="22"/>
          <w:highlight w:val="none"/>
          <w:lang w:val="en-US" w:eastAsia="en-US" w:bidi="ar-SA"/>
        </w:rPr>
        <w:t>时间：</w:t>
      </w:r>
    </w:p>
    <w:p w14:paraId="02035538">
      <w:pPr>
        <w:rPr>
          <w:color w:val="auto"/>
          <w:highlight w:val="none"/>
        </w:rPr>
      </w:pPr>
    </w:p>
    <w:p w14:paraId="2D320904">
      <w:pPr>
        <w:rPr>
          <w:color w:val="auto"/>
          <w:highlight w:val="none"/>
        </w:rPr>
      </w:pPr>
    </w:p>
    <w:p w14:paraId="6DC25372">
      <w:pPr>
        <w:rPr>
          <w:rFonts w:hint="eastAsia" w:ascii="黑体" w:hAnsi="黑体" w:eastAsia="黑体" w:cs="黑体"/>
          <w:color w:val="auto"/>
          <w:highlight w:val="none"/>
          <w:lang w:eastAsia="zh-CN"/>
        </w:rPr>
      </w:pPr>
    </w:p>
    <w:p w14:paraId="5FC67111">
      <w:pPr>
        <w:autoSpaceDE w:val="0"/>
        <w:autoSpaceDN w:val="0"/>
        <w:adjustRightInd w:val="0"/>
        <w:spacing w:line="360" w:lineRule="auto"/>
        <w:jc w:val="center"/>
        <w:rPr>
          <w:rFonts w:hint="eastAsia" w:ascii="仿宋" w:hAnsi="仿宋" w:eastAsia="仿宋"/>
          <w:color w:val="auto"/>
          <w:sz w:val="28"/>
          <w:szCs w:val="28"/>
          <w:highlight w:val="none"/>
          <w:lang w:eastAsia="zh-CN"/>
        </w:rPr>
      </w:pPr>
    </w:p>
    <w:p w14:paraId="5D7C2369">
      <w:pPr>
        <w:autoSpaceDE w:val="0"/>
        <w:autoSpaceDN w:val="0"/>
        <w:adjustRightInd w:val="0"/>
        <w:spacing w:line="360" w:lineRule="auto"/>
        <w:jc w:val="center"/>
        <w:rPr>
          <w:rFonts w:hint="eastAsia" w:ascii="仿宋" w:hAnsi="仿宋" w:eastAsia="仿宋"/>
          <w:color w:val="auto"/>
          <w:sz w:val="28"/>
          <w:szCs w:val="28"/>
          <w:highlight w:val="none"/>
          <w:lang w:eastAsia="zh-CN"/>
        </w:rPr>
      </w:pPr>
    </w:p>
    <w:p w14:paraId="361A0D35">
      <w:pPr>
        <w:autoSpaceDE w:val="0"/>
        <w:autoSpaceDN w:val="0"/>
        <w:adjustRightInd w:val="0"/>
        <w:spacing w:line="360" w:lineRule="auto"/>
        <w:jc w:val="center"/>
        <w:rPr>
          <w:rFonts w:hint="eastAsia" w:ascii="仿宋" w:hAnsi="仿宋" w:eastAsia="仿宋"/>
          <w:color w:val="auto"/>
          <w:sz w:val="28"/>
          <w:szCs w:val="28"/>
          <w:highlight w:val="none"/>
          <w:lang w:eastAsia="zh-CN"/>
        </w:rPr>
      </w:pPr>
    </w:p>
    <w:p w14:paraId="23C0722F">
      <w:pPr>
        <w:autoSpaceDE w:val="0"/>
        <w:autoSpaceDN w:val="0"/>
        <w:adjustRightInd w:val="0"/>
        <w:spacing w:line="360" w:lineRule="auto"/>
        <w:jc w:val="center"/>
        <w:rPr>
          <w:rFonts w:hint="eastAsia" w:ascii="仿宋" w:hAnsi="仿宋" w:eastAsia="仿宋"/>
          <w:color w:val="auto"/>
          <w:sz w:val="28"/>
          <w:szCs w:val="28"/>
          <w:highlight w:val="none"/>
          <w:lang w:eastAsia="zh-CN"/>
        </w:rPr>
      </w:pPr>
    </w:p>
    <w:p w14:paraId="3F881824">
      <w:pPr>
        <w:autoSpaceDE w:val="0"/>
        <w:autoSpaceDN w:val="0"/>
        <w:adjustRightInd w:val="0"/>
        <w:spacing w:line="360" w:lineRule="auto"/>
        <w:jc w:val="center"/>
        <w:rPr>
          <w:rFonts w:hint="eastAsia" w:ascii="仿宋" w:hAnsi="仿宋" w:eastAsia="仿宋"/>
          <w:color w:val="auto"/>
          <w:sz w:val="28"/>
          <w:szCs w:val="28"/>
          <w:highlight w:val="none"/>
          <w:lang w:eastAsia="zh-CN"/>
        </w:rPr>
      </w:pPr>
    </w:p>
    <w:p w14:paraId="1696F1AD">
      <w:pPr>
        <w:autoSpaceDE w:val="0"/>
        <w:autoSpaceDN w:val="0"/>
        <w:adjustRightInd w:val="0"/>
        <w:spacing w:line="360" w:lineRule="auto"/>
        <w:jc w:val="center"/>
        <w:rPr>
          <w:rFonts w:hint="eastAsia" w:ascii="仿宋" w:hAnsi="仿宋" w:eastAsia="仿宋"/>
          <w:color w:val="auto"/>
          <w:sz w:val="28"/>
          <w:szCs w:val="28"/>
          <w:highlight w:val="none"/>
          <w:lang w:eastAsia="zh-CN"/>
        </w:rPr>
      </w:pPr>
    </w:p>
    <w:p w14:paraId="40F4EDD2">
      <w:pPr>
        <w:autoSpaceDE w:val="0"/>
        <w:autoSpaceDN w:val="0"/>
        <w:adjustRightInd w:val="0"/>
        <w:spacing w:line="360" w:lineRule="auto"/>
        <w:jc w:val="center"/>
        <w:rPr>
          <w:rFonts w:hint="eastAsia" w:ascii="仿宋" w:hAnsi="仿宋" w:eastAsia="仿宋"/>
          <w:color w:val="auto"/>
          <w:sz w:val="28"/>
          <w:szCs w:val="28"/>
          <w:highlight w:val="none"/>
          <w:lang w:eastAsia="zh-CN"/>
        </w:rPr>
      </w:pPr>
    </w:p>
    <w:p w14:paraId="73082A16">
      <w:pPr>
        <w:autoSpaceDE w:val="0"/>
        <w:autoSpaceDN w:val="0"/>
        <w:adjustRightInd w:val="0"/>
        <w:spacing w:line="360" w:lineRule="auto"/>
        <w:jc w:val="center"/>
        <w:rPr>
          <w:rFonts w:hint="eastAsia" w:ascii="仿宋" w:hAnsi="仿宋" w:eastAsia="仿宋"/>
          <w:color w:val="auto"/>
          <w:sz w:val="28"/>
          <w:szCs w:val="28"/>
          <w:highlight w:val="none"/>
          <w:lang w:eastAsia="zh-CN"/>
        </w:rPr>
      </w:pPr>
    </w:p>
    <w:p w14:paraId="3C8D078A">
      <w:pPr>
        <w:autoSpaceDE w:val="0"/>
        <w:autoSpaceDN w:val="0"/>
        <w:adjustRightInd w:val="0"/>
        <w:spacing w:line="360" w:lineRule="auto"/>
        <w:jc w:val="center"/>
        <w:rPr>
          <w:rFonts w:hint="eastAsia" w:ascii="仿宋" w:hAnsi="仿宋" w:eastAsia="仿宋"/>
          <w:color w:val="auto"/>
          <w:sz w:val="28"/>
          <w:szCs w:val="28"/>
          <w:highlight w:val="none"/>
          <w:lang w:eastAsia="zh-CN"/>
        </w:rPr>
      </w:pPr>
    </w:p>
    <w:p w14:paraId="2BA91F12">
      <w:pPr>
        <w:autoSpaceDE w:val="0"/>
        <w:autoSpaceDN w:val="0"/>
        <w:adjustRightInd w:val="0"/>
        <w:spacing w:line="360" w:lineRule="auto"/>
        <w:jc w:val="center"/>
        <w:rPr>
          <w:rFonts w:hint="eastAsia" w:ascii="仿宋" w:hAnsi="仿宋" w:eastAsia="仿宋"/>
          <w:color w:val="auto"/>
          <w:sz w:val="28"/>
          <w:szCs w:val="28"/>
          <w:highlight w:val="none"/>
          <w:lang w:eastAsia="zh-CN"/>
        </w:rPr>
      </w:pPr>
    </w:p>
    <w:p w14:paraId="368A3FD7">
      <w:pPr>
        <w:autoSpaceDE w:val="0"/>
        <w:autoSpaceDN w:val="0"/>
        <w:adjustRightInd w:val="0"/>
        <w:spacing w:line="360" w:lineRule="auto"/>
        <w:jc w:val="center"/>
        <w:rPr>
          <w:rFonts w:hint="eastAsia" w:ascii="仿宋" w:hAnsi="仿宋" w:eastAsia="仿宋"/>
          <w:color w:val="auto"/>
          <w:sz w:val="28"/>
          <w:szCs w:val="28"/>
          <w:highlight w:val="none"/>
          <w:lang w:eastAsia="zh-CN"/>
        </w:rPr>
      </w:pPr>
    </w:p>
    <w:p w14:paraId="1EE4FCCE">
      <w:pPr>
        <w:autoSpaceDE w:val="0"/>
        <w:autoSpaceDN w:val="0"/>
        <w:adjustRightInd w:val="0"/>
        <w:spacing w:line="360" w:lineRule="auto"/>
        <w:jc w:val="center"/>
        <w:rPr>
          <w:rFonts w:hint="eastAsia" w:ascii="仿宋" w:hAnsi="仿宋" w:eastAsia="仿宋"/>
          <w:color w:val="auto"/>
          <w:sz w:val="28"/>
          <w:szCs w:val="28"/>
          <w:highlight w:val="none"/>
          <w:lang w:eastAsia="zh-CN"/>
        </w:rPr>
      </w:pPr>
    </w:p>
    <w:p w14:paraId="246610EA">
      <w:pPr>
        <w:pBdr>
          <w:top w:val="none" w:color="000000" w:sz="0" w:space="0"/>
          <w:left w:val="none" w:color="000000" w:sz="0" w:space="0"/>
          <w:bottom w:val="none" w:color="000000" w:sz="0" w:space="0"/>
          <w:right w:val="none" w:color="000000" w:sz="0" w:space="0"/>
        </w:pBdr>
        <w:spacing w:after="0" w:line="439" w:lineRule="atLeast"/>
        <w:ind w:firstLine="723"/>
        <w:jc w:val="center"/>
        <w:rPr>
          <w:rFonts w:ascii="Times New Roman" w:hAnsi="Times New Roman" w:eastAsia="Times New Roman" w:cs="Times New Roman"/>
          <w:color w:val="auto"/>
          <w:highlight w:val="none"/>
          <w:lang w:eastAsia="zh-CN"/>
        </w:rPr>
      </w:pPr>
    </w:p>
    <w:p w14:paraId="5568681F">
      <w:pPr>
        <w:pStyle w:val="16"/>
        <w:rPr>
          <w:color w:val="auto"/>
          <w:highlight w:val="none"/>
          <w:lang w:eastAsia="zh-CN"/>
        </w:rPr>
      </w:pPr>
    </w:p>
    <w:p w14:paraId="780BBEB6">
      <w:pPr>
        <w:pBdr>
          <w:top w:val="none" w:color="000000" w:sz="0" w:space="0"/>
          <w:left w:val="none" w:color="000000" w:sz="0" w:space="0"/>
          <w:bottom w:val="none" w:color="000000" w:sz="0" w:space="0"/>
          <w:right w:val="none" w:color="000000" w:sz="0" w:space="0"/>
        </w:pBdr>
        <w:spacing w:after="0" w:line="439" w:lineRule="atLeast"/>
        <w:jc w:val="center"/>
        <w:rPr>
          <w:rFonts w:hint="eastAsia" w:ascii="宋体" w:hAnsi="宋体" w:eastAsia="宋体" w:cs="宋体"/>
          <w:b/>
          <w:bCs/>
          <w:color w:val="auto"/>
          <w:sz w:val="36"/>
          <w:szCs w:val="36"/>
          <w:highlight w:val="none"/>
          <w:lang w:eastAsia="zh-CN"/>
        </w:rPr>
      </w:pPr>
      <w:r>
        <w:rPr>
          <w:rFonts w:ascii="宋体" w:hAnsi="宋体" w:eastAsia="宋体" w:cs="宋体"/>
          <w:b/>
          <w:color w:val="auto"/>
          <w:sz w:val="36"/>
          <w:highlight w:val="none"/>
          <w:lang w:eastAsia="zh-CN"/>
        </w:rPr>
        <w:t>第七章  竞争性磋商响应文件组成</w:t>
      </w:r>
    </w:p>
    <w:p w14:paraId="048750F4">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lang w:eastAsia="zh-CN"/>
        </w:rPr>
      </w:pPr>
      <w:r>
        <w:rPr>
          <w:rFonts w:ascii="仿宋" w:hAnsi="仿宋" w:eastAsia="仿宋" w:cs="仿宋"/>
          <w:b/>
          <w:color w:val="auto"/>
          <w:sz w:val="32"/>
          <w:highlight w:val="none"/>
          <w:lang w:eastAsia="zh-CN"/>
        </w:rPr>
        <w:t> </w:t>
      </w:r>
    </w:p>
    <w:p w14:paraId="0FD4BDDB">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lang w:eastAsia="zh-CN"/>
        </w:rPr>
      </w:pPr>
    </w:p>
    <w:p w14:paraId="76469373">
      <w:pPr>
        <w:pBdr>
          <w:top w:val="none" w:color="000000" w:sz="0" w:space="0"/>
          <w:left w:val="none" w:color="000000" w:sz="0" w:space="0"/>
          <w:bottom w:val="none" w:color="000000" w:sz="0" w:space="0"/>
          <w:right w:val="none" w:color="000000" w:sz="0" w:space="0"/>
        </w:pBdr>
        <w:spacing w:after="0" w:line="460" w:lineRule="atLeast"/>
        <w:jc w:val="center"/>
        <w:rPr>
          <w:rFonts w:hint="eastAsia" w:ascii="仿宋" w:hAnsi="仿宋" w:eastAsia="仿宋" w:cs="仿宋"/>
          <w:b/>
          <w:bCs/>
          <w:color w:val="auto"/>
          <w:sz w:val="36"/>
          <w:szCs w:val="36"/>
          <w:highlight w:val="none"/>
          <w:lang w:eastAsia="zh-CN"/>
        </w:rPr>
      </w:pPr>
      <w:r>
        <w:rPr>
          <w:rFonts w:ascii="仿宋" w:hAnsi="仿宋" w:eastAsia="仿宋" w:cs="仿宋"/>
          <w:b/>
          <w:color w:val="auto"/>
          <w:sz w:val="36"/>
          <w:highlight w:val="none"/>
          <w:lang w:eastAsia="zh-CN"/>
        </w:rPr>
        <w:t>封面</w:t>
      </w:r>
    </w:p>
    <w:p w14:paraId="69E1F1AD">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lang w:eastAsia="zh-CN"/>
        </w:rPr>
      </w:pPr>
      <w:r>
        <w:rPr>
          <w:rFonts w:ascii="仿宋" w:hAnsi="仿宋" w:eastAsia="仿宋" w:cs="仿宋"/>
          <w:b/>
          <w:color w:val="auto"/>
          <w:sz w:val="36"/>
          <w:highlight w:val="none"/>
          <w:lang w:eastAsia="zh-CN"/>
        </w:rPr>
        <w:t>竞争性磋商响应文件</w:t>
      </w:r>
    </w:p>
    <w:p w14:paraId="4DB5B141">
      <w:pPr>
        <w:pBdr>
          <w:top w:val="none" w:color="000000" w:sz="0" w:space="0"/>
          <w:left w:val="none" w:color="000000" w:sz="0" w:space="0"/>
          <w:bottom w:val="none" w:color="000000" w:sz="0" w:space="0"/>
          <w:right w:val="none" w:color="000000" w:sz="0" w:space="0"/>
        </w:pBdr>
        <w:spacing w:after="0" w:line="460" w:lineRule="atLeast"/>
        <w:rPr>
          <w:color w:val="auto"/>
          <w:highlight w:val="none"/>
          <w:lang w:eastAsia="zh-CN"/>
        </w:rPr>
      </w:pPr>
      <w:r>
        <w:rPr>
          <w:rFonts w:ascii="仿宋" w:hAnsi="仿宋" w:eastAsia="仿宋" w:cs="仿宋"/>
          <w:b/>
          <w:color w:val="auto"/>
          <w:sz w:val="24"/>
          <w:highlight w:val="none"/>
          <w:lang w:eastAsia="zh-CN"/>
        </w:rPr>
        <w:t> </w:t>
      </w:r>
    </w:p>
    <w:p w14:paraId="465811E2">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0EB88BF1">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5F055CCE">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5F454D71">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44EC5644">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Times New Roman" w:hAnsi="Times New Roman" w:eastAsia="Times New Roman" w:cs="Times New Roman"/>
          <w:color w:val="auto"/>
          <w:sz w:val="28"/>
          <w:highlight w:val="none"/>
          <w:lang w:eastAsia="zh-CN"/>
        </w:rPr>
        <w:t> </w:t>
      </w:r>
    </w:p>
    <w:p w14:paraId="0A0C0740">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Times New Roman" w:hAnsi="Times New Roman" w:eastAsia="Times New Roman" w:cs="Times New Roman"/>
          <w:color w:val="auto"/>
          <w:highlight w:val="none"/>
          <w:lang w:eastAsia="zh-CN"/>
        </w:rPr>
        <w:t> </w:t>
      </w:r>
    </w:p>
    <w:p w14:paraId="16398F84">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Times New Roman" w:hAnsi="Times New Roman" w:eastAsia="Times New Roman" w:cs="Times New Roman"/>
          <w:color w:val="auto"/>
          <w:sz w:val="28"/>
          <w:highlight w:val="none"/>
          <w:lang w:eastAsia="zh-CN"/>
        </w:rPr>
        <w:t> </w:t>
      </w:r>
    </w:p>
    <w:p w14:paraId="20E4636B">
      <w:pPr>
        <w:pBdr>
          <w:top w:val="none" w:color="000000" w:sz="0" w:space="0"/>
          <w:left w:val="none" w:color="000000" w:sz="0" w:space="0"/>
          <w:bottom w:val="none" w:color="000000" w:sz="0" w:space="0"/>
          <w:right w:val="none" w:color="000000" w:sz="0" w:space="0"/>
        </w:pBdr>
        <w:spacing w:before="120" w:after="120" w:line="460" w:lineRule="atLeast"/>
        <w:jc w:val="center"/>
        <w:rPr>
          <w:color w:val="auto"/>
          <w:highlight w:val="none"/>
          <w:lang w:eastAsia="zh-CN"/>
        </w:rPr>
      </w:pPr>
      <w:r>
        <w:rPr>
          <w:rFonts w:ascii="仿宋" w:hAnsi="仿宋" w:eastAsia="仿宋" w:cs="仿宋"/>
          <w:color w:val="auto"/>
          <w:sz w:val="36"/>
          <w:highlight w:val="none"/>
          <w:u w:val="single"/>
          <w:lang w:eastAsia="zh-CN"/>
        </w:rPr>
        <w:t>资格证明材料包/技术标包/价格标包</w:t>
      </w:r>
    </w:p>
    <w:p w14:paraId="43AD1CD5">
      <w:pPr>
        <w:pBdr>
          <w:top w:val="none" w:color="000000" w:sz="0" w:space="0"/>
          <w:left w:val="none" w:color="000000" w:sz="0" w:space="0"/>
          <w:bottom w:val="none" w:color="000000" w:sz="0" w:space="0"/>
          <w:right w:val="none" w:color="000000" w:sz="0" w:space="0"/>
        </w:pBdr>
        <w:spacing w:after="0" w:line="460" w:lineRule="atLeast"/>
        <w:rPr>
          <w:color w:val="auto"/>
          <w:highlight w:val="none"/>
          <w:lang w:eastAsia="zh-CN"/>
        </w:rPr>
      </w:pPr>
      <w:r>
        <w:rPr>
          <w:rFonts w:ascii="仿宋" w:hAnsi="仿宋" w:eastAsia="仿宋" w:cs="仿宋"/>
          <w:b/>
          <w:color w:val="auto"/>
          <w:sz w:val="28"/>
          <w:highlight w:val="none"/>
          <w:lang w:eastAsia="zh-CN"/>
        </w:rPr>
        <w:t> </w:t>
      </w:r>
    </w:p>
    <w:p w14:paraId="5F4057CE">
      <w:pPr>
        <w:pBdr>
          <w:top w:val="none" w:color="000000" w:sz="0" w:space="0"/>
          <w:left w:val="none" w:color="000000" w:sz="0" w:space="0"/>
          <w:bottom w:val="none" w:color="000000" w:sz="0" w:space="0"/>
          <w:right w:val="none" w:color="000000" w:sz="0" w:space="0"/>
        </w:pBdr>
        <w:spacing w:after="0" w:line="460" w:lineRule="atLeast"/>
        <w:rPr>
          <w:color w:val="auto"/>
          <w:highlight w:val="none"/>
          <w:lang w:eastAsia="zh-CN"/>
        </w:rPr>
      </w:pPr>
      <w:r>
        <w:rPr>
          <w:rFonts w:ascii="仿宋" w:hAnsi="仿宋" w:eastAsia="仿宋" w:cs="仿宋"/>
          <w:b/>
          <w:color w:val="auto"/>
          <w:sz w:val="28"/>
          <w:highlight w:val="none"/>
          <w:lang w:eastAsia="zh-CN"/>
        </w:rPr>
        <w:t> </w:t>
      </w:r>
    </w:p>
    <w:p w14:paraId="6360E8D3">
      <w:pPr>
        <w:pBdr>
          <w:top w:val="none" w:color="000000" w:sz="0" w:space="0"/>
          <w:left w:val="none" w:color="000000" w:sz="0" w:space="0"/>
          <w:bottom w:val="none" w:color="000000" w:sz="0" w:space="0"/>
          <w:right w:val="none" w:color="000000" w:sz="0" w:space="0"/>
        </w:pBdr>
        <w:spacing w:after="0" w:line="460" w:lineRule="atLeast"/>
        <w:ind w:firstLine="843"/>
        <w:jc w:val="both"/>
        <w:rPr>
          <w:color w:val="auto"/>
          <w:highlight w:val="none"/>
          <w:lang w:eastAsia="zh-CN"/>
        </w:rPr>
      </w:pPr>
      <w:r>
        <w:rPr>
          <w:rFonts w:ascii="仿宋" w:hAnsi="仿宋" w:eastAsia="仿宋" w:cs="仿宋"/>
          <w:b/>
          <w:color w:val="auto"/>
          <w:sz w:val="28"/>
          <w:highlight w:val="none"/>
          <w:lang w:eastAsia="zh-CN"/>
        </w:rPr>
        <w:t> </w:t>
      </w:r>
    </w:p>
    <w:p w14:paraId="19AE7B33">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8"/>
          <w:highlight w:val="none"/>
          <w:lang w:eastAsia="zh-CN"/>
        </w:rPr>
        <w:t> </w:t>
      </w:r>
    </w:p>
    <w:p w14:paraId="0AB99FD5">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8"/>
          <w:highlight w:val="none"/>
          <w:lang w:eastAsia="zh-CN"/>
        </w:rPr>
        <w:t> </w:t>
      </w:r>
    </w:p>
    <w:p w14:paraId="3AD97A13">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b/>
          <w:color w:val="auto"/>
          <w:sz w:val="28"/>
          <w:highlight w:val="none"/>
          <w:lang w:eastAsia="zh-CN"/>
        </w:rPr>
        <w:t> </w:t>
      </w:r>
    </w:p>
    <w:p w14:paraId="682DC93D">
      <w:pPr>
        <w:pBdr>
          <w:top w:val="none" w:color="000000" w:sz="0" w:space="0"/>
          <w:left w:val="none" w:color="000000" w:sz="0" w:space="0"/>
          <w:bottom w:val="none" w:color="000000" w:sz="0" w:space="0"/>
          <w:right w:val="none" w:color="000000" w:sz="0" w:space="0"/>
        </w:pBdr>
        <w:spacing w:after="0" w:line="85" w:lineRule="atLeast"/>
        <w:ind w:firstLine="964"/>
        <w:jc w:val="both"/>
        <w:rPr>
          <w:color w:val="auto"/>
          <w:highlight w:val="none"/>
          <w:lang w:eastAsia="zh-CN"/>
        </w:rPr>
      </w:pPr>
      <w:r>
        <w:rPr>
          <w:rFonts w:ascii="仿宋" w:hAnsi="仿宋" w:eastAsia="仿宋" w:cs="仿宋"/>
          <w:b/>
          <w:color w:val="auto"/>
          <w:sz w:val="32"/>
          <w:highlight w:val="none"/>
          <w:lang w:eastAsia="zh-CN"/>
        </w:rPr>
        <w:t> </w:t>
      </w:r>
    </w:p>
    <w:p w14:paraId="6782B9DC">
      <w:pPr>
        <w:pBdr>
          <w:top w:val="none" w:color="000000" w:sz="0" w:space="0"/>
          <w:left w:val="none" w:color="000000" w:sz="0" w:space="0"/>
          <w:bottom w:val="none" w:color="000000" w:sz="0" w:space="0"/>
          <w:right w:val="none" w:color="000000" w:sz="0" w:space="0"/>
        </w:pBdr>
        <w:spacing w:after="0" w:line="480" w:lineRule="auto"/>
        <w:ind w:left="420"/>
        <w:jc w:val="both"/>
        <w:rPr>
          <w:color w:val="auto"/>
          <w:highlight w:val="none"/>
          <w:lang w:eastAsia="zh-CN"/>
        </w:rPr>
      </w:pPr>
      <w:r>
        <w:rPr>
          <w:rFonts w:ascii="仿宋" w:hAnsi="仿宋" w:eastAsia="仿宋" w:cs="仿宋"/>
          <w:b/>
          <w:color w:val="auto"/>
          <w:sz w:val="32"/>
          <w:highlight w:val="none"/>
          <w:lang w:eastAsia="zh-CN"/>
        </w:rPr>
        <w:t xml:space="preserve">项目名称： </w:t>
      </w:r>
    </w:p>
    <w:p w14:paraId="1AA9FB2F">
      <w:pPr>
        <w:pBdr>
          <w:top w:val="none" w:color="000000" w:sz="0" w:space="0"/>
          <w:left w:val="none" w:color="000000" w:sz="0" w:space="0"/>
          <w:bottom w:val="none" w:color="000000" w:sz="0" w:space="0"/>
          <w:right w:val="none" w:color="000000" w:sz="0" w:space="0"/>
        </w:pBdr>
        <w:spacing w:after="0" w:line="480" w:lineRule="auto"/>
        <w:ind w:left="420"/>
        <w:jc w:val="both"/>
        <w:rPr>
          <w:color w:val="auto"/>
          <w:highlight w:val="none"/>
          <w:lang w:eastAsia="zh-CN"/>
        </w:rPr>
      </w:pPr>
      <w:r>
        <w:rPr>
          <w:rFonts w:ascii="仿宋" w:hAnsi="仿宋" w:eastAsia="仿宋" w:cs="仿宋"/>
          <w:b/>
          <w:color w:val="auto"/>
          <w:sz w:val="32"/>
          <w:highlight w:val="none"/>
          <w:lang w:eastAsia="zh-CN"/>
        </w:rPr>
        <w:t>磋商供应商名称：</w:t>
      </w:r>
    </w:p>
    <w:p w14:paraId="6FF29BBB">
      <w:pPr>
        <w:pBdr>
          <w:top w:val="none" w:color="000000" w:sz="0" w:space="0"/>
          <w:left w:val="none" w:color="000000" w:sz="0" w:space="0"/>
          <w:bottom w:val="none" w:color="000000" w:sz="0" w:space="0"/>
          <w:right w:val="none" w:color="000000" w:sz="0" w:space="0"/>
        </w:pBdr>
        <w:spacing w:after="0" w:line="480" w:lineRule="auto"/>
        <w:ind w:left="420"/>
        <w:jc w:val="both"/>
        <w:rPr>
          <w:color w:val="auto"/>
          <w:highlight w:val="none"/>
          <w:lang w:eastAsia="zh-CN"/>
        </w:rPr>
      </w:pPr>
      <w:r>
        <w:rPr>
          <w:rFonts w:ascii="仿宋" w:hAnsi="仿宋" w:eastAsia="仿宋" w:cs="仿宋"/>
          <w:b/>
          <w:color w:val="auto"/>
          <w:sz w:val="32"/>
          <w:highlight w:val="none"/>
          <w:lang w:eastAsia="zh-CN"/>
        </w:rPr>
        <w:t>日  期：</w:t>
      </w:r>
    </w:p>
    <w:p w14:paraId="5F40E28C">
      <w:pPr>
        <w:pBdr>
          <w:top w:val="none" w:color="000000" w:sz="0" w:space="0"/>
          <w:left w:val="none" w:color="000000" w:sz="0" w:space="0"/>
          <w:bottom w:val="none" w:color="000000" w:sz="0" w:space="0"/>
          <w:right w:val="none" w:color="000000" w:sz="0" w:space="0"/>
        </w:pBdr>
        <w:spacing w:before="120" w:after="120" w:line="480" w:lineRule="auto"/>
        <w:ind w:firstLine="1848"/>
        <w:rPr>
          <w:color w:val="auto"/>
          <w:highlight w:val="none"/>
          <w:lang w:eastAsia="zh-CN"/>
        </w:rPr>
      </w:pPr>
      <w:r>
        <w:rPr>
          <w:rFonts w:ascii="仿宋" w:hAnsi="仿宋" w:eastAsia="仿宋" w:cs="仿宋"/>
          <w:color w:val="auto"/>
          <w:sz w:val="24"/>
          <w:highlight w:val="none"/>
          <w:lang w:eastAsia="zh-CN"/>
        </w:rPr>
        <w:t> </w:t>
      </w:r>
    </w:p>
    <w:p w14:paraId="2B6C34C5">
      <w:pPr>
        <w:pBdr>
          <w:top w:val="none" w:color="000000" w:sz="0" w:space="0"/>
          <w:left w:val="none" w:color="000000" w:sz="0" w:space="0"/>
          <w:bottom w:val="none" w:color="000000" w:sz="0" w:space="0"/>
          <w:right w:val="none" w:color="000000" w:sz="0" w:space="0"/>
        </w:pBdr>
        <w:spacing w:before="120" w:after="120" w:line="460" w:lineRule="atLeast"/>
        <w:ind w:firstLine="1848"/>
        <w:rPr>
          <w:color w:val="auto"/>
          <w:highlight w:val="none"/>
          <w:lang w:eastAsia="zh-CN"/>
        </w:rPr>
      </w:pPr>
      <w:r>
        <w:rPr>
          <w:rFonts w:ascii="仿宋" w:hAnsi="仿宋" w:eastAsia="仿宋" w:cs="仿宋"/>
          <w:color w:val="auto"/>
          <w:sz w:val="24"/>
          <w:highlight w:val="none"/>
          <w:lang w:eastAsia="zh-CN"/>
        </w:rPr>
        <w:t> </w:t>
      </w:r>
    </w:p>
    <w:p w14:paraId="4E2B9C3B">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lang w:eastAsia="zh-CN"/>
        </w:rPr>
      </w:pPr>
      <w:r>
        <w:rPr>
          <w:rFonts w:ascii="仿宋" w:hAnsi="仿宋" w:eastAsia="仿宋" w:cs="仿宋"/>
          <w:color w:val="auto"/>
          <w:sz w:val="24"/>
          <w:highlight w:val="none"/>
          <w:lang w:eastAsia="zh-CN"/>
        </w:rPr>
        <w:t> </w:t>
      </w:r>
    </w:p>
    <w:p w14:paraId="7DE59941">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lang w:eastAsia="zh-CN"/>
        </w:rPr>
      </w:pPr>
      <w:r>
        <w:rPr>
          <w:rFonts w:ascii="仿宋" w:hAnsi="仿宋" w:eastAsia="仿宋" w:cs="仿宋"/>
          <w:color w:val="auto"/>
          <w:sz w:val="24"/>
          <w:highlight w:val="none"/>
          <w:lang w:eastAsia="zh-CN"/>
        </w:rPr>
        <w:t> </w:t>
      </w:r>
    </w:p>
    <w:p w14:paraId="6260F5A2">
      <w:pPr>
        <w:pBdr>
          <w:top w:val="none" w:color="000000" w:sz="0" w:space="0"/>
          <w:left w:val="none" w:color="000000" w:sz="0" w:space="0"/>
          <w:bottom w:val="none" w:color="000000" w:sz="0" w:space="0"/>
          <w:right w:val="none" w:color="000000" w:sz="0" w:space="0"/>
        </w:pBdr>
        <w:spacing w:after="0"/>
        <w:rPr>
          <w:color w:val="auto"/>
          <w:highlight w:val="none"/>
          <w:lang w:eastAsia="zh-CN"/>
        </w:rPr>
      </w:pPr>
      <w:r>
        <w:rPr>
          <w:color w:val="auto"/>
          <w:highlight w:val="none"/>
          <w:lang w:eastAsia="zh-CN"/>
        </w:rPr>
        <w:br w:type="page" w:clear="all"/>
      </w:r>
    </w:p>
    <w:p w14:paraId="5EE4D53A">
      <w:pPr>
        <w:pBdr>
          <w:top w:val="none" w:color="000000" w:sz="0" w:space="0"/>
          <w:left w:val="none" w:color="000000" w:sz="0" w:space="0"/>
          <w:bottom w:val="none" w:color="000000" w:sz="0" w:space="0"/>
          <w:right w:val="none" w:color="000000" w:sz="0" w:space="0"/>
        </w:pBdr>
        <w:spacing w:after="0"/>
        <w:rPr>
          <w:color w:val="auto"/>
          <w:highlight w:val="none"/>
          <w:lang w:eastAsia="zh-CN"/>
        </w:rPr>
      </w:pPr>
      <w:r>
        <w:rPr>
          <w:rFonts w:ascii="仿宋" w:hAnsi="仿宋" w:eastAsia="仿宋" w:cs="仿宋"/>
          <w:color w:val="auto"/>
          <w:sz w:val="28"/>
          <w:highlight w:val="none"/>
          <w:lang w:eastAsia="zh-CN"/>
        </w:rPr>
        <w:t xml:space="preserve"> </w:t>
      </w:r>
    </w:p>
    <w:p w14:paraId="40E0590A">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lang w:eastAsia="zh-CN"/>
        </w:rPr>
      </w:pPr>
      <w:r>
        <w:rPr>
          <w:rFonts w:ascii="仿宋" w:hAnsi="仿宋" w:eastAsia="仿宋" w:cs="仿宋"/>
          <w:color w:val="auto"/>
          <w:sz w:val="28"/>
          <w:highlight w:val="none"/>
          <w:lang w:eastAsia="zh-CN"/>
        </w:rPr>
        <w:t>第一部分  资格审查材料内容（单独密封）</w:t>
      </w:r>
    </w:p>
    <w:p w14:paraId="625AB21B">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rPr>
      </w:pPr>
      <w:r>
        <w:rPr>
          <w:rFonts w:ascii="仿宋" w:hAnsi="仿宋" w:eastAsia="仿宋" w:cs="仿宋"/>
          <w:b/>
          <w:color w:val="auto"/>
          <w:sz w:val="36"/>
          <w:highlight w:val="none"/>
        </w:rPr>
        <w:t>目录</w:t>
      </w:r>
    </w:p>
    <w:tbl>
      <w:tblPr>
        <w:tblStyle w:val="37"/>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697"/>
        <w:gridCol w:w="6673"/>
        <w:gridCol w:w="1701"/>
      </w:tblGrid>
      <w:tr w14:paraId="42B86C0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70" w:hRule="atLeast"/>
        </w:trPr>
        <w:tc>
          <w:tcPr>
            <w:tcW w:w="69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1D180A3">
            <w:pPr>
              <w:pBdr>
                <w:top w:val="none" w:color="000000" w:sz="0" w:space="0"/>
                <w:left w:val="none" w:color="000000" w:sz="0" w:space="0"/>
                <w:bottom w:val="none" w:color="000000" w:sz="0" w:space="0"/>
                <w:right w:val="none" w:color="000000" w:sz="0" w:space="0"/>
              </w:pBdr>
              <w:spacing w:after="0" w:line="439" w:lineRule="atLeast"/>
              <w:jc w:val="center"/>
              <w:rPr>
                <w:color w:val="auto"/>
                <w:highlight w:val="none"/>
              </w:rPr>
            </w:pPr>
            <w:r>
              <w:rPr>
                <w:rFonts w:ascii="仿宋" w:hAnsi="仿宋" w:eastAsia="仿宋" w:cs="仿宋"/>
                <w:color w:val="auto"/>
                <w:sz w:val="24"/>
                <w:highlight w:val="none"/>
              </w:rPr>
              <w:t>序号</w:t>
            </w:r>
          </w:p>
        </w:tc>
        <w:tc>
          <w:tcPr>
            <w:tcW w:w="667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13BE93E5">
            <w:pPr>
              <w:pBdr>
                <w:top w:val="none" w:color="000000" w:sz="0" w:space="0"/>
                <w:left w:val="none" w:color="000000" w:sz="0" w:space="0"/>
                <w:bottom w:val="none" w:color="000000" w:sz="0" w:space="0"/>
                <w:right w:val="none" w:color="000000" w:sz="0" w:space="0"/>
              </w:pBdr>
              <w:spacing w:after="0" w:line="439" w:lineRule="atLeast"/>
              <w:jc w:val="center"/>
              <w:rPr>
                <w:color w:val="auto"/>
                <w:highlight w:val="none"/>
              </w:rPr>
            </w:pPr>
            <w:r>
              <w:rPr>
                <w:rFonts w:ascii="仿宋" w:hAnsi="仿宋" w:eastAsia="仿宋" w:cs="仿宋"/>
                <w:color w:val="auto"/>
                <w:sz w:val="24"/>
                <w:highlight w:val="none"/>
              </w:rPr>
              <w:t>材料明细</w:t>
            </w:r>
          </w:p>
        </w:tc>
        <w:tc>
          <w:tcPr>
            <w:tcW w:w="170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0458DE49">
            <w:pPr>
              <w:pBdr>
                <w:top w:val="none" w:color="000000" w:sz="0" w:space="0"/>
                <w:left w:val="none" w:color="000000" w:sz="0" w:space="0"/>
                <w:bottom w:val="none" w:color="000000" w:sz="0" w:space="0"/>
                <w:right w:val="none" w:color="000000" w:sz="0" w:space="0"/>
              </w:pBdr>
              <w:spacing w:after="0" w:line="439" w:lineRule="atLeast"/>
              <w:jc w:val="center"/>
              <w:rPr>
                <w:color w:val="auto"/>
                <w:highlight w:val="none"/>
              </w:rPr>
            </w:pPr>
            <w:r>
              <w:rPr>
                <w:rFonts w:ascii="仿宋" w:hAnsi="仿宋" w:eastAsia="仿宋" w:cs="仿宋"/>
                <w:color w:val="auto"/>
                <w:sz w:val="24"/>
                <w:highlight w:val="none"/>
              </w:rPr>
              <w:t>是否符合</w:t>
            </w:r>
          </w:p>
          <w:p w14:paraId="1A99901D">
            <w:pPr>
              <w:pBdr>
                <w:top w:val="none" w:color="000000" w:sz="0" w:space="0"/>
                <w:left w:val="none" w:color="000000" w:sz="0" w:space="0"/>
                <w:bottom w:val="none" w:color="000000" w:sz="0" w:space="0"/>
                <w:right w:val="none" w:color="000000" w:sz="0" w:space="0"/>
              </w:pBdr>
              <w:spacing w:after="0" w:line="439" w:lineRule="atLeast"/>
              <w:jc w:val="center"/>
              <w:rPr>
                <w:color w:val="auto"/>
                <w:highlight w:val="none"/>
              </w:rPr>
            </w:pPr>
            <w:r>
              <w:rPr>
                <w:rFonts w:ascii="仿宋" w:hAnsi="仿宋" w:eastAsia="仿宋" w:cs="仿宋"/>
                <w:color w:val="auto"/>
                <w:sz w:val="24"/>
                <w:highlight w:val="none"/>
              </w:rPr>
              <w:t>（符合打√）</w:t>
            </w:r>
          </w:p>
        </w:tc>
      </w:tr>
      <w:tr w14:paraId="5906BFE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25" w:hRule="atLeast"/>
        </w:trPr>
        <w:tc>
          <w:tcPr>
            <w:tcW w:w="69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B676E13">
            <w:pPr>
              <w:pBdr>
                <w:top w:val="none" w:color="000000" w:sz="0" w:space="0"/>
                <w:left w:val="none" w:color="000000" w:sz="0" w:space="0"/>
                <w:bottom w:val="none" w:color="000000" w:sz="0" w:space="0"/>
                <w:right w:val="none" w:color="000000" w:sz="0" w:space="0"/>
              </w:pBdr>
              <w:spacing w:after="0" w:line="439" w:lineRule="atLeast"/>
              <w:jc w:val="center"/>
              <w:rPr>
                <w:color w:val="auto"/>
                <w:highlight w:val="none"/>
              </w:rPr>
            </w:pPr>
            <w:r>
              <w:rPr>
                <w:rFonts w:ascii="仿宋" w:hAnsi="仿宋" w:eastAsia="仿宋" w:cs="仿宋"/>
                <w:color w:val="auto"/>
                <w:sz w:val="24"/>
                <w:highlight w:val="none"/>
              </w:rPr>
              <w:t>1</w:t>
            </w:r>
          </w:p>
        </w:tc>
        <w:tc>
          <w:tcPr>
            <w:tcW w:w="66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89E6B27">
            <w:pPr>
              <w:pBdr>
                <w:top w:val="none" w:color="000000" w:sz="0" w:space="0"/>
                <w:left w:val="none" w:color="000000" w:sz="0" w:space="0"/>
                <w:bottom w:val="none" w:color="000000" w:sz="0" w:space="0"/>
                <w:right w:val="none" w:color="000000" w:sz="0" w:space="0"/>
              </w:pBdr>
              <w:spacing w:after="0" w:line="400" w:lineRule="atLeast"/>
              <w:rPr>
                <w:color w:val="auto"/>
                <w:highlight w:val="none"/>
                <w:lang w:eastAsia="zh-CN"/>
              </w:rPr>
            </w:pPr>
            <w:r>
              <w:rPr>
                <w:rFonts w:ascii="仿宋" w:hAnsi="仿宋" w:eastAsia="仿宋" w:cs="仿宋"/>
                <w:color w:val="auto"/>
                <w:sz w:val="24"/>
                <w:highlight w:val="none"/>
                <w:lang w:eastAsia="zh-CN"/>
              </w:rPr>
              <w:t>法定代表人参加磋商的，必须提供法人身份证明原件及本人身份证复印件；非法定代表人参加的，必须提供法定代表人签名或盖章的授权委托书原件及被委托授权人身份证复印件这两项（须加盖公章）（格式见第七章）。</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42B5EDD">
            <w:pPr>
              <w:pBdr>
                <w:top w:val="none" w:color="000000" w:sz="0" w:space="0"/>
                <w:left w:val="none" w:color="000000" w:sz="0" w:space="0"/>
                <w:bottom w:val="none" w:color="000000" w:sz="0" w:space="0"/>
                <w:right w:val="none" w:color="000000" w:sz="0" w:space="0"/>
              </w:pBdr>
              <w:spacing w:after="0" w:line="439" w:lineRule="atLeast"/>
              <w:jc w:val="center"/>
              <w:rPr>
                <w:color w:val="auto"/>
                <w:highlight w:val="none"/>
                <w:lang w:eastAsia="zh-CN"/>
              </w:rPr>
            </w:pPr>
            <w:r>
              <w:rPr>
                <w:rFonts w:ascii="仿宋" w:hAnsi="仿宋" w:eastAsia="仿宋" w:cs="仿宋"/>
                <w:color w:val="auto"/>
                <w:sz w:val="24"/>
                <w:highlight w:val="none"/>
                <w:lang w:eastAsia="zh-CN"/>
              </w:rPr>
              <w:t> </w:t>
            </w:r>
          </w:p>
        </w:tc>
      </w:tr>
      <w:tr w14:paraId="1DDDBD8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5" w:hRule="atLeast"/>
        </w:trPr>
        <w:tc>
          <w:tcPr>
            <w:tcW w:w="69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D9218AC">
            <w:pPr>
              <w:pBdr>
                <w:top w:val="none" w:color="000000" w:sz="0" w:space="0"/>
                <w:left w:val="none" w:color="000000" w:sz="0" w:space="0"/>
                <w:bottom w:val="none" w:color="000000" w:sz="0" w:space="0"/>
                <w:right w:val="none" w:color="000000" w:sz="0" w:space="0"/>
              </w:pBdr>
              <w:spacing w:after="0" w:line="439" w:lineRule="atLeast"/>
              <w:jc w:val="center"/>
              <w:rPr>
                <w:color w:val="auto"/>
                <w:highlight w:val="none"/>
              </w:rPr>
            </w:pPr>
            <w:r>
              <w:rPr>
                <w:rFonts w:ascii="仿宋" w:hAnsi="仿宋" w:eastAsia="仿宋" w:cs="仿宋"/>
                <w:color w:val="auto"/>
                <w:sz w:val="24"/>
                <w:highlight w:val="none"/>
              </w:rPr>
              <w:t>2</w:t>
            </w:r>
          </w:p>
        </w:tc>
        <w:tc>
          <w:tcPr>
            <w:tcW w:w="66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66755C5">
            <w:pPr>
              <w:pBdr>
                <w:top w:val="none" w:color="000000" w:sz="0" w:space="0"/>
                <w:left w:val="none" w:color="000000" w:sz="0" w:space="0"/>
                <w:bottom w:val="none" w:color="000000" w:sz="0" w:space="0"/>
                <w:right w:val="none" w:color="000000" w:sz="0" w:space="0"/>
              </w:pBdr>
              <w:spacing w:after="0" w:line="400" w:lineRule="atLeast"/>
              <w:rPr>
                <w:color w:val="auto"/>
                <w:highlight w:val="none"/>
                <w:lang w:eastAsia="zh-CN"/>
              </w:rPr>
            </w:pPr>
            <w:r>
              <w:rPr>
                <w:rFonts w:ascii="仿宋" w:hAnsi="仿宋" w:eastAsia="仿宋" w:cs="仿宋"/>
                <w:color w:val="auto"/>
                <w:sz w:val="24"/>
                <w:highlight w:val="none"/>
                <w:lang w:eastAsia="zh-CN"/>
              </w:rPr>
              <w:t>营业执照（提供法人或者其他组织的营业执照等证明文件</w:t>
            </w:r>
            <w:r>
              <w:rPr>
                <w:rFonts w:hint="eastAsia" w:ascii="仿宋" w:hAnsi="仿宋" w:eastAsia="仿宋" w:cs="仿宋"/>
                <w:color w:val="auto"/>
                <w:sz w:val="24"/>
                <w:highlight w:val="none"/>
                <w:lang w:eastAsia="zh-CN"/>
              </w:rPr>
              <w:t>原件复印件加盖公章</w:t>
            </w:r>
            <w:r>
              <w:rPr>
                <w:rFonts w:ascii="仿宋" w:hAnsi="仿宋" w:eastAsia="仿宋" w:cs="仿宋"/>
                <w:color w:val="auto"/>
                <w:sz w:val="24"/>
                <w:highlight w:val="none"/>
                <w:lang w:eastAsia="zh-CN"/>
              </w:rPr>
              <w:t>）。</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DAD2E23">
            <w:pPr>
              <w:pBdr>
                <w:top w:val="none" w:color="000000" w:sz="0" w:space="0"/>
                <w:left w:val="none" w:color="000000" w:sz="0" w:space="0"/>
                <w:bottom w:val="none" w:color="000000" w:sz="0" w:space="0"/>
                <w:right w:val="none" w:color="000000" w:sz="0" w:space="0"/>
              </w:pBdr>
              <w:spacing w:after="0" w:line="439" w:lineRule="atLeast"/>
              <w:jc w:val="center"/>
              <w:rPr>
                <w:color w:val="auto"/>
                <w:highlight w:val="none"/>
                <w:lang w:eastAsia="zh-CN"/>
              </w:rPr>
            </w:pPr>
            <w:r>
              <w:rPr>
                <w:rFonts w:ascii="仿宋" w:hAnsi="仿宋" w:eastAsia="仿宋" w:cs="仿宋"/>
                <w:color w:val="auto"/>
                <w:sz w:val="24"/>
                <w:highlight w:val="none"/>
                <w:lang w:eastAsia="zh-CN"/>
              </w:rPr>
              <w:t> </w:t>
            </w:r>
          </w:p>
        </w:tc>
      </w:tr>
      <w:tr w14:paraId="6023A42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5" w:hRule="atLeast"/>
        </w:trPr>
        <w:tc>
          <w:tcPr>
            <w:tcW w:w="69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1FA3F59">
            <w:pPr>
              <w:pBdr>
                <w:top w:val="none" w:color="000000" w:sz="0" w:space="0"/>
                <w:left w:val="none" w:color="000000" w:sz="0" w:space="0"/>
                <w:bottom w:val="none" w:color="000000" w:sz="0" w:space="0"/>
                <w:right w:val="none" w:color="000000" w:sz="0" w:space="0"/>
              </w:pBdr>
              <w:spacing w:after="0" w:line="439"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w:t>
            </w:r>
          </w:p>
        </w:tc>
        <w:tc>
          <w:tcPr>
            <w:tcW w:w="66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7F11E92">
            <w:pPr>
              <w:pBdr>
                <w:top w:val="none" w:color="000000" w:sz="0" w:space="0"/>
                <w:left w:val="none" w:color="000000" w:sz="0" w:space="0"/>
                <w:bottom w:val="none" w:color="000000" w:sz="0" w:space="0"/>
                <w:right w:val="none" w:color="000000" w:sz="0" w:space="0"/>
              </w:pBdr>
              <w:spacing w:after="0" w:line="400" w:lineRule="atLeas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提供满足本项目需求的人员一览表，且项目经理具有大专及以上文化水平，提供学历证书复印件</w:t>
            </w:r>
            <w:r>
              <w:rPr>
                <w:rFonts w:hint="eastAsia" w:ascii="仿宋" w:hAnsi="仿宋" w:eastAsia="仿宋" w:cs="仿宋"/>
                <w:color w:val="auto"/>
                <w:sz w:val="24"/>
                <w:highlight w:val="none"/>
                <w:lang w:eastAsia="zh-CN"/>
              </w:rPr>
              <w:t>（以上提供原件复印件加盖公章）</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4C4206D">
            <w:pPr>
              <w:pBdr>
                <w:top w:val="none" w:color="000000" w:sz="0" w:space="0"/>
                <w:left w:val="none" w:color="000000" w:sz="0" w:space="0"/>
                <w:bottom w:val="none" w:color="000000" w:sz="0" w:space="0"/>
                <w:right w:val="none" w:color="000000" w:sz="0" w:space="0"/>
              </w:pBdr>
              <w:spacing w:after="0" w:line="439" w:lineRule="atLeast"/>
              <w:jc w:val="center"/>
              <w:rPr>
                <w:rFonts w:hint="eastAsia" w:ascii="仿宋" w:hAnsi="仿宋" w:eastAsia="仿宋" w:cs="仿宋"/>
                <w:color w:val="auto"/>
                <w:sz w:val="24"/>
                <w:highlight w:val="none"/>
                <w:lang w:eastAsia="zh-CN"/>
              </w:rPr>
            </w:pPr>
          </w:p>
        </w:tc>
      </w:tr>
      <w:tr w14:paraId="740C5E5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5" w:hRule="atLeast"/>
        </w:trPr>
        <w:tc>
          <w:tcPr>
            <w:tcW w:w="69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91A0DA6">
            <w:pPr>
              <w:pBdr>
                <w:top w:val="none" w:color="000000" w:sz="0" w:space="0"/>
                <w:left w:val="none" w:color="000000" w:sz="0" w:space="0"/>
                <w:bottom w:val="none" w:color="000000" w:sz="0" w:space="0"/>
                <w:right w:val="none" w:color="000000" w:sz="0" w:space="0"/>
              </w:pBdr>
              <w:spacing w:after="0" w:line="439" w:lineRule="atLeast"/>
              <w:jc w:val="center"/>
              <w:rPr>
                <w:rFonts w:eastAsia="宋体"/>
                <w:color w:val="auto"/>
                <w:highlight w:val="none"/>
                <w:lang w:eastAsia="zh-CN"/>
              </w:rPr>
            </w:pPr>
            <w:r>
              <w:rPr>
                <w:rFonts w:hint="eastAsia" w:ascii="仿宋" w:hAnsi="仿宋" w:eastAsia="仿宋" w:cs="仿宋"/>
                <w:color w:val="auto"/>
                <w:sz w:val="24"/>
                <w:highlight w:val="none"/>
                <w:lang w:val="en-US" w:eastAsia="zh-CN"/>
              </w:rPr>
              <w:t>4</w:t>
            </w:r>
          </w:p>
        </w:tc>
        <w:tc>
          <w:tcPr>
            <w:tcW w:w="66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56FC4E5">
            <w:pPr>
              <w:pBdr>
                <w:top w:val="none" w:color="000000" w:sz="0" w:space="0"/>
                <w:left w:val="none" w:color="000000" w:sz="0" w:space="0"/>
                <w:bottom w:val="none" w:color="000000" w:sz="0" w:space="0"/>
                <w:right w:val="none" w:color="000000" w:sz="0" w:space="0"/>
              </w:pBdr>
              <w:spacing w:after="0" w:line="400" w:lineRule="atLeast"/>
              <w:rPr>
                <w:color w:val="auto"/>
                <w:highlight w:val="none"/>
                <w:lang w:eastAsia="zh-CN"/>
              </w:rPr>
            </w:pPr>
            <w:r>
              <w:rPr>
                <w:rFonts w:ascii="仿宋" w:hAnsi="仿宋" w:eastAsia="仿宋" w:cs="仿宋"/>
                <w:color w:val="auto"/>
                <w:sz w:val="24"/>
                <w:highlight w:val="none"/>
                <w:lang w:eastAsia="zh-CN"/>
              </w:rPr>
              <w:t>满足《中华人民共和国政府采购法》第二十二条规定声明函。</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C7C3C46">
            <w:pPr>
              <w:pBdr>
                <w:top w:val="none" w:color="000000" w:sz="0" w:space="0"/>
                <w:left w:val="none" w:color="000000" w:sz="0" w:space="0"/>
                <w:bottom w:val="none" w:color="000000" w:sz="0" w:space="0"/>
                <w:right w:val="none" w:color="000000" w:sz="0" w:space="0"/>
              </w:pBdr>
              <w:spacing w:after="0" w:line="439" w:lineRule="atLeast"/>
              <w:jc w:val="center"/>
              <w:rPr>
                <w:color w:val="auto"/>
                <w:highlight w:val="none"/>
                <w:lang w:eastAsia="zh-CN"/>
              </w:rPr>
            </w:pPr>
            <w:r>
              <w:rPr>
                <w:rFonts w:ascii="仿宋" w:hAnsi="仿宋" w:eastAsia="仿宋" w:cs="仿宋"/>
                <w:color w:val="auto"/>
                <w:sz w:val="24"/>
                <w:highlight w:val="none"/>
                <w:lang w:eastAsia="zh-CN"/>
              </w:rPr>
              <w:t> </w:t>
            </w:r>
          </w:p>
        </w:tc>
      </w:tr>
      <w:tr w14:paraId="68C6A97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516" w:hRule="atLeast"/>
        </w:trPr>
        <w:tc>
          <w:tcPr>
            <w:tcW w:w="69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7EDA8AF">
            <w:pPr>
              <w:pBdr>
                <w:top w:val="none" w:color="000000" w:sz="0" w:space="0"/>
                <w:left w:val="none" w:color="000000" w:sz="0" w:space="0"/>
                <w:bottom w:val="none" w:color="000000" w:sz="0" w:space="0"/>
                <w:right w:val="none" w:color="000000" w:sz="0" w:space="0"/>
              </w:pBdr>
              <w:spacing w:after="0" w:line="439" w:lineRule="atLeast"/>
              <w:jc w:val="center"/>
              <w:rPr>
                <w:color w:val="auto"/>
                <w:highlight w:val="none"/>
              </w:rPr>
            </w:pPr>
            <w:r>
              <w:rPr>
                <w:rFonts w:hint="eastAsia" w:ascii="仿宋" w:hAnsi="仿宋" w:eastAsia="仿宋" w:cs="仿宋"/>
                <w:color w:val="auto"/>
                <w:sz w:val="24"/>
                <w:highlight w:val="none"/>
                <w:lang w:val="en-US" w:eastAsia="zh-CN"/>
              </w:rPr>
              <w:t>5</w:t>
            </w:r>
          </w:p>
        </w:tc>
        <w:tc>
          <w:tcPr>
            <w:tcW w:w="6673" w:type="dxa"/>
            <w:tcBorders>
              <w:top w:val="nil"/>
              <w:left w:val="nil"/>
              <w:bottom w:val="nil"/>
              <w:right w:val="single" w:color="000000" w:sz="8" w:space="0"/>
            </w:tcBorders>
            <w:tcMar>
              <w:top w:w="0" w:type="dxa"/>
              <w:left w:w="108" w:type="dxa"/>
              <w:bottom w:w="0" w:type="dxa"/>
              <w:right w:w="108" w:type="dxa"/>
            </w:tcMar>
            <w:vAlign w:val="center"/>
          </w:tcPr>
          <w:p w14:paraId="6715C3BB">
            <w:pPr>
              <w:pBdr>
                <w:top w:val="none" w:color="000000" w:sz="0" w:space="0"/>
                <w:left w:val="none" w:color="000000" w:sz="0" w:space="0"/>
                <w:bottom w:val="none" w:color="000000" w:sz="0" w:space="0"/>
                <w:right w:val="none" w:color="000000" w:sz="0" w:space="0"/>
              </w:pBdr>
              <w:spacing w:after="0" w:line="400" w:lineRule="atLeast"/>
              <w:rPr>
                <w:color w:val="auto"/>
                <w:highlight w:val="none"/>
                <w:lang w:eastAsia="zh-CN"/>
              </w:rPr>
            </w:pPr>
            <w:r>
              <w:rPr>
                <w:rFonts w:ascii="仿宋" w:hAnsi="仿宋" w:eastAsia="仿宋" w:cs="仿宋"/>
                <w:color w:val="auto"/>
                <w:sz w:val="24"/>
                <w:highlight w:val="none"/>
                <w:lang w:eastAsia="zh-CN"/>
              </w:rPr>
              <w:t>供应商需提供企业信用查询结果（“信用中国”网站、中国政府采购网和国家企业信用信息公示系统进入查询自行打印)，查询结果有效期须在自本项目公告发布之日起至本项目磋商投标截止日内有效。提供以上网页的投标单位企业信用的截图，未提供截图或失信的供应商资格审查均不予通过。</w:t>
            </w:r>
          </w:p>
        </w:tc>
        <w:tc>
          <w:tcPr>
            <w:tcW w:w="1701" w:type="dxa"/>
            <w:tcBorders>
              <w:top w:val="nil"/>
              <w:left w:val="nil"/>
              <w:bottom w:val="nil"/>
              <w:right w:val="single" w:color="000000" w:sz="8" w:space="0"/>
            </w:tcBorders>
            <w:tcMar>
              <w:top w:w="0" w:type="dxa"/>
              <w:left w:w="108" w:type="dxa"/>
              <w:bottom w:w="0" w:type="dxa"/>
              <w:right w:w="108" w:type="dxa"/>
            </w:tcMar>
            <w:vAlign w:val="center"/>
          </w:tcPr>
          <w:p w14:paraId="4F7E2334">
            <w:pPr>
              <w:pBdr>
                <w:top w:val="none" w:color="000000" w:sz="0" w:space="0"/>
                <w:left w:val="none" w:color="000000" w:sz="0" w:space="0"/>
                <w:bottom w:val="none" w:color="000000" w:sz="0" w:space="0"/>
                <w:right w:val="none" w:color="000000" w:sz="0" w:space="0"/>
              </w:pBdr>
              <w:spacing w:after="0" w:line="439" w:lineRule="atLeast"/>
              <w:jc w:val="center"/>
              <w:rPr>
                <w:color w:val="auto"/>
                <w:highlight w:val="none"/>
                <w:lang w:eastAsia="zh-CN"/>
              </w:rPr>
            </w:pPr>
            <w:r>
              <w:rPr>
                <w:rFonts w:ascii="仿宋" w:hAnsi="仿宋" w:eastAsia="仿宋" w:cs="仿宋"/>
                <w:color w:val="auto"/>
                <w:sz w:val="24"/>
                <w:highlight w:val="none"/>
                <w:lang w:eastAsia="zh-CN"/>
              </w:rPr>
              <w:t> </w:t>
            </w:r>
          </w:p>
        </w:tc>
      </w:tr>
      <w:tr w14:paraId="5A3758A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24" w:hRule="atLeast"/>
        </w:trPr>
        <w:tc>
          <w:tcPr>
            <w:tcW w:w="69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1868515">
            <w:pPr>
              <w:pBdr>
                <w:top w:val="none" w:color="000000" w:sz="0" w:space="0"/>
                <w:left w:val="none" w:color="000000" w:sz="0" w:space="0"/>
                <w:bottom w:val="none" w:color="000000" w:sz="0" w:space="0"/>
                <w:right w:val="none" w:color="000000" w:sz="0" w:space="0"/>
              </w:pBdr>
              <w:spacing w:after="0" w:line="439" w:lineRule="atLeast"/>
              <w:jc w:val="center"/>
              <w:rPr>
                <w:rFonts w:eastAsia="宋体"/>
                <w:color w:val="auto"/>
                <w:highlight w:val="none"/>
                <w:lang w:eastAsia="zh-CN"/>
              </w:rPr>
            </w:pPr>
            <w:r>
              <w:rPr>
                <w:rFonts w:hint="eastAsia" w:ascii="仿宋" w:hAnsi="仿宋" w:eastAsia="仿宋" w:cs="仿宋"/>
                <w:color w:val="auto"/>
                <w:sz w:val="24"/>
                <w:highlight w:val="none"/>
                <w:lang w:val="en-US" w:eastAsia="zh-CN"/>
              </w:rPr>
              <w:t>6</w:t>
            </w:r>
          </w:p>
        </w:tc>
        <w:tc>
          <w:tcPr>
            <w:tcW w:w="667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044F6167">
            <w:pPr>
              <w:pBdr>
                <w:top w:val="none" w:color="000000" w:sz="0" w:space="0"/>
                <w:left w:val="none" w:color="000000" w:sz="0" w:space="0"/>
                <w:bottom w:val="none" w:color="000000" w:sz="0" w:space="0"/>
                <w:right w:val="none" w:color="000000" w:sz="0" w:space="0"/>
              </w:pBdr>
              <w:spacing w:after="0" w:line="400" w:lineRule="atLeast"/>
              <w:rPr>
                <w:color w:val="auto"/>
                <w:highlight w:val="none"/>
                <w:lang w:eastAsia="zh-CN"/>
              </w:rPr>
            </w:pPr>
            <w:r>
              <w:rPr>
                <w:rFonts w:ascii="仿宋" w:hAnsi="仿宋" w:eastAsia="仿宋" w:cs="仿宋"/>
                <w:color w:val="auto"/>
                <w:sz w:val="24"/>
                <w:highlight w:val="none"/>
                <w:lang w:eastAsia="zh-CN"/>
              </w:rPr>
              <w:t>关于资格文件的声明函（格式见第七章）。</w:t>
            </w:r>
          </w:p>
        </w:tc>
        <w:tc>
          <w:tcPr>
            <w:tcW w:w="170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5BAB44E1">
            <w:pPr>
              <w:pBdr>
                <w:top w:val="none" w:color="000000" w:sz="0" w:space="0"/>
                <w:left w:val="none" w:color="000000" w:sz="0" w:space="0"/>
                <w:bottom w:val="none" w:color="000000" w:sz="0" w:space="0"/>
                <w:right w:val="none" w:color="000000" w:sz="0" w:space="0"/>
              </w:pBdr>
              <w:spacing w:after="0" w:line="439" w:lineRule="atLeast"/>
              <w:jc w:val="center"/>
              <w:rPr>
                <w:color w:val="auto"/>
                <w:highlight w:val="none"/>
                <w:lang w:eastAsia="zh-CN"/>
              </w:rPr>
            </w:pPr>
            <w:r>
              <w:rPr>
                <w:rFonts w:ascii="仿宋" w:hAnsi="仿宋" w:eastAsia="仿宋" w:cs="仿宋"/>
                <w:color w:val="auto"/>
                <w:sz w:val="24"/>
                <w:highlight w:val="none"/>
                <w:lang w:eastAsia="zh-CN"/>
              </w:rPr>
              <w:t> </w:t>
            </w:r>
          </w:p>
        </w:tc>
      </w:tr>
      <w:tr w14:paraId="31D8E65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80" w:hRule="atLeast"/>
        </w:trPr>
        <w:tc>
          <w:tcPr>
            <w:tcW w:w="69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52ABD13">
            <w:pPr>
              <w:pBdr>
                <w:top w:val="none" w:color="000000" w:sz="0" w:space="0"/>
                <w:left w:val="none" w:color="000000" w:sz="0" w:space="0"/>
                <w:bottom w:val="none" w:color="000000" w:sz="0" w:space="0"/>
                <w:right w:val="none" w:color="000000" w:sz="0" w:space="0"/>
              </w:pBdr>
              <w:spacing w:after="0" w:line="439" w:lineRule="atLeast"/>
              <w:jc w:val="center"/>
              <w:rPr>
                <w:rFonts w:eastAsia="宋体"/>
                <w:color w:val="auto"/>
                <w:highlight w:val="none"/>
                <w:lang w:eastAsia="zh-CN"/>
              </w:rPr>
            </w:pPr>
            <w:r>
              <w:rPr>
                <w:rFonts w:hint="eastAsia" w:ascii="仿宋" w:hAnsi="仿宋" w:eastAsia="仿宋" w:cs="仿宋"/>
                <w:color w:val="auto"/>
                <w:sz w:val="24"/>
                <w:highlight w:val="none"/>
                <w:lang w:val="en-US" w:eastAsia="zh-CN"/>
              </w:rPr>
              <w:t>7</w:t>
            </w:r>
          </w:p>
        </w:tc>
        <w:tc>
          <w:tcPr>
            <w:tcW w:w="66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C65C116">
            <w:pPr>
              <w:pBdr>
                <w:top w:val="none" w:color="000000" w:sz="0" w:space="0"/>
                <w:left w:val="none" w:color="000000" w:sz="0" w:space="0"/>
                <w:bottom w:val="none" w:color="000000" w:sz="0" w:space="0"/>
                <w:right w:val="none" w:color="000000" w:sz="0" w:space="0"/>
              </w:pBdr>
              <w:spacing w:after="0" w:line="400" w:lineRule="atLeast"/>
              <w:rPr>
                <w:color w:val="auto"/>
                <w:highlight w:val="none"/>
                <w:lang w:eastAsia="zh-CN"/>
              </w:rPr>
            </w:pPr>
            <w:r>
              <w:rPr>
                <w:rFonts w:ascii="仿宋" w:hAnsi="仿宋" w:eastAsia="仿宋" w:cs="仿宋"/>
                <w:color w:val="auto"/>
                <w:sz w:val="24"/>
                <w:highlight w:val="none"/>
                <w:lang w:eastAsia="zh-CN"/>
              </w:rPr>
              <w:t>供应商响应文件函（格式见第七章）。</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5862369">
            <w:pPr>
              <w:pBdr>
                <w:top w:val="none" w:color="000000" w:sz="0" w:space="0"/>
                <w:left w:val="none" w:color="000000" w:sz="0" w:space="0"/>
                <w:bottom w:val="none" w:color="000000" w:sz="0" w:space="0"/>
                <w:right w:val="none" w:color="000000" w:sz="0" w:space="0"/>
              </w:pBdr>
              <w:spacing w:after="0" w:line="439" w:lineRule="atLeast"/>
              <w:jc w:val="center"/>
              <w:rPr>
                <w:color w:val="auto"/>
                <w:highlight w:val="none"/>
                <w:lang w:eastAsia="zh-CN"/>
              </w:rPr>
            </w:pPr>
            <w:r>
              <w:rPr>
                <w:rFonts w:ascii="仿宋" w:hAnsi="仿宋" w:eastAsia="仿宋" w:cs="仿宋"/>
                <w:color w:val="auto"/>
                <w:sz w:val="24"/>
                <w:highlight w:val="none"/>
                <w:lang w:eastAsia="zh-CN"/>
              </w:rPr>
              <w:t> </w:t>
            </w:r>
          </w:p>
        </w:tc>
      </w:tr>
      <w:tr w14:paraId="47E1380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65" w:hRule="atLeast"/>
        </w:trPr>
        <w:tc>
          <w:tcPr>
            <w:tcW w:w="69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92DA593">
            <w:pPr>
              <w:pBdr>
                <w:top w:val="none" w:color="000000" w:sz="0" w:space="0"/>
                <w:left w:val="none" w:color="000000" w:sz="0" w:space="0"/>
                <w:bottom w:val="none" w:color="000000" w:sz="0" w:space="0"/>
                <w:right w:val="none" w:color="000000" w:sz="0" w:space="0"/>
              </w:pBdr>
              <w:spacing w:after="0" w:line="439" w:lineRule="atLeast"/>
              <w:ind w:firstLine="240" w:firstLineChars="1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66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39D2275">
            <w:pPr>
              <w:pBdr>
                <w:top w:val="none" w:color="000000" w:sz="0" w:space="0"/>
                <w:left w:val="none" w:color="000000" w:sz="0" w:space="0"/>
                <w:bottom w:val="none" w:color="000000" w:sz="0" w:space="0"/>
                <w:right w:val="none" w:color="000000" w:sz="0" w:space="0"/>
              </w:pBdr>
              <w:spacing w:after="0" w:line="439" w:lineRule="atLeas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中小企业声明函（</w:t>
            </w:r>
            <w:r>
              <w:rPr>
                <w:rFonts w:ascii="仿宋" w:hAnsi="仿宋" w:eastAsia="仿宋" w:cs="仿宋"/>
                <w:color w:val="auto"/>
                <w:sz w:val="24"/>
                <w:highlight w:val="none"/>
                <w:lang w:eastAsia="zh-CN"/>
              </w:rPr>
              <w:t>格式见第七章</w:t>
            </w:r>
            <w:r>
              <w:rPr>
                <w:rFonts w:hint="eastAsia" w:ascii="仿宋" w:hAnsi="仿宋" w:eastAsia="仿宋" w:cs="仿宋"/>
                <w:color w:val="auto"/>
                <w:sz w:val="24"/>
                <w:highlight w:val="none"/>
                <w:lang w:eastAsia="zh-CN"/>
              </w:rPr>
              <w:t>）</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F496639">
            <w:pPr>
              <w:tabs>
                <w:tab w:val="left" w:pos="2521"/>
              </w:tabs>
              <w:spacing w:line="360" w:lineRule="auto"/>
              <w:jc w:val="left"/>
              <w:rPr>
                <w:rFonts w:hint="eastAsia" w:ascii="仿宋" w:hAnsi="仿宋" w:eastAsia="仿宋" w:cs="仿宋"/>
                <w:color w:val="auto"/>
                <w:sz w:val="22"/>
                <w:szCs w:val="22"/>
                <w:highlight w:val="none"/>
                <w:lang w:val="en-US" w:eastAsia="zh-CN" w:bidi="ar-SA"/>
              </w:rPr>
            </w:pPr>
          </w:p>
        </w:tc>
      </w:tr>
      <w:tr w14:paraId="3CC925E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5" w:hRule="atLeast"/>
        </w:trPr>
        <w:tc>
          <w:tcPr>
            <w:tcW w:w="69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749736C">
            <w:pPr>
              <w:pBdr>
                <w:top w:val="none" w:color="000000" w:sz="0" w:space="0"/>
                <w:left w:val="none" w:color="000000" w:sz="0" w:space="0"/>
                <w:bottom w:val="none" w:color="000000" w:sz="0" w:space="0"/>
                <w:right w:val="none" w:color="000000" w:sz="0" w:space="0"/>
              </w:pBdr>
              <w:spacing w:after="0" w:line="439" w:lineRule="atLeast"/>
              <w:jc w:val="center"/>
              <w:rPr>
                <w:rFonts w:eastAsia="宋体"/>
                <w:color w:val="auto"/>
                <w:highlight w:val="none"/>
                <w:lang w:eastAsia="zh-CN"/>
              </w:rPr>
            </w:pPr>
            <w:r>
              <w:rPr>
                <w:rFonts w:hint="eastAsia" w:ascii="仿宋" w:hAnsi="仿宋" w:eastAsia="仿宋" w:cs="仿宋"/>
                <w:color w:val="auto"/>
                <w:sz w:val="24"/>
                <w:highlight w:val="none"/>
                <w:lang w:eastAsia="zh-CN"/>
              </w:rPr>
              <w:t>9</w:t>
            </w:r>
          </w:p>
        </w:tc>
        <w:tc>
          <w:tcPr>
            <w:tcW w:w="66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37DACB7">
            <w:pPr>
              <w:pBdr>
                <w:top w:val="none" w:color="000000" w:sz="0" w:space="0"/>
                <w:left w:val="none" w:color="000000" w:sz="0" w:space="0"/>
                <w:bottom w:val="none" w:color="000000" w:sz="0" w:space="0"/>
                <w:right w:val="none" w:color="000000" w:sz="0" w:space="0"/>
              </w:pBdr>
              <w:spacing w:after="0" w:line="400" w:lineRule="atLeast"/>
              <w:rPr>
                <w:color w:val="auto"/>
                <w:highlight w:val="none"/>
                <w:lang w:eastAsia="zh-CN"/>
              </w:rPr>
            </w:pPr>
            <w:r>
              <w:rPr>
                <w:rFonts w:ascii="仿宋" w:hAnsi="仿宋" w:eastAsia="仿宋" w:cs="仿宋"/>
                <w:color w:val="auto"/>
                <w:sz w:val="24"/>
                <w:highlight w:val="none"/>
                <w:lang w:eastAsia="zh-CN"/>
              </w:rPr>
              <w:t>磋商供应商认为其他必要的材料</w:t>
            </w:r>
            <w:r>
              <w:rPr>
                <w:rFonts w:hint="eastAsia" w:ascii="仿宋" w:hAnsi="仿宋" w:eastAsia="仿宋" w:cs="仿宋"/>
                <w:color w:val="auto"/>
                <w:sz w:val="24"/>
                <w:highlight w:val="none"/>
                <w:lang w:eastAsia="zh-CN"/>
              </w:rPr>
              <w:t>、磋商文件要求的其他材料</w:t>
            </w:r>
            <w:r>
              <w:rPr>
                <w:rFonts w:ascii="仿宋" w:hAnsi="仿宋" w:eastAsia="仿宋" w:cs="仿宋"/>
                <w:color w:val="auto"/>
                <w:sz w:val="24"/>
                <w:highlight w:val="none"/>
                <w:lang w:eastAsia="zh-CN"/>
              </w:rPr>
              <w:t>。</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3D55B41">
            <w:pPr>
              <w:pBdr>
                <w:top w:val="none" w:color="000000" w:sz="0" w:space="0"/>
                <w:left w:val="none" w:color="000000" w:sz="0" w:space="0"/>
                <w:bottom w:val="none" w:color="000000" w:sz="0" w:space="0"/>
                <w:right w:val="none" w:color="000000" w:sz="0" w:space="0"/>
              </w:pBdr>
              <w:spacing w:after="0" w:line="439" w:lineRule="atLeast"/>
              <w:jc w:val="center"/>
              <w:rPr>
                <w:color w:val="auto"/>
                <w:highlight w:val="none"/>
                <w:lang w:eastAsia="zh-CN"/>
              </w:rPr>
            </w:pPr>
            <w:r>
              <w:rPr>
                <w:rFonts w:ascii="仿宋" w:hAnsi="仿宋" w:eastAsia="仿宋" w:cs="仿宋"/>
                <w:color w:val="auto"/>
                <w:sz w:val="24"/>
                <w:highlight w:val="none"/>
                <w:lang w:eastAsia="zh-CN"/>
              </w:rPr>
              <w:t> </w:t>
            </w:r>
          </w:p>
        </w:tc>
      </w:tr>
    </w:tbl>
    <w:p w14:paraId="3F08849B">
      <w:pPr>
        <w:pBdr>
          <w:top w:val="none" w:color="000000" w:sz="0" w:space="0"/>
          <w:left w:val="none" w:color="000000" w:sz="0" w:space="0"/>
          <w:bottom w:val="none" w:color="000000" w:sz="0" w:space="0"/>
          <w:right w:val="none" w:color="000000" w:sz="0" w:space="0"/>
        </w:pBdr>
        <w:spacing w:after="0" w:line="439" w:lineRule="atLeast"/>
        <w:jc w:val="both"/>
        <w:rPr>
          <w:color w:val="auto"/>
          <w:highlight w:val="none"/>
          <w:lang w:eastAsia="zh-CN"/>
        </w:rPr>
      </w:pPr>
      <w:r>
        <w:rPr>
          <w:rFonts w:ascii="仿宋" w:hAnsi="仿宋" w:eastAsia="仿宋" w:cs="仿宋"/>
          <w:color w:val="auto"/>
          <w:sz w:val="24"/>
          <w:highlight w:val="none"/>
          <w:lang w:eastAsia="zh-CN"/>
        </w:rPr>
        <w:t>法定代表人或其委托人签字：</w:t>
      </w:r>
    </w:p>
    <w:p w14:paraId="2216F52A">
      <w:pPr>
        <w:pBdr>
          <w:top w:val="none" w:color="000000" w:sz="0" w:space="0"/>
          <w:left w:val="none" w:color="000000" w:sz="0" w:space="0"/>
          <w:bottom w:val="none" w:color="000000" w:sz="0" w:space="0"/>
          <w:right w:val="none" w:color="000000" w:sz="0" w:space="0"/>
        </w:pBdr>
        <w:spacing w:after="0" w:line="439" w:lineRule="atLeast"/>
        <w:jc w:val="both"/>
        <w:rPr>
          <w:color w:val="auto"/>
          <w:highlight w:val="none"/>
          <w:lang w:eastAsia="zh-CN"/>
        </w:rPr>
      </w:pPr>
      <w:r>
        <w:rPr>
          <w:rFonts w:ascii="仿宋" w:hAnsi="仿宋" w:eastAsia="仿宋" w:cs="仿宋"/>
          <w:color w:val="auto"/>
          <w:sz w:val="24"/>
          <w:highlight w:val="none"/>
          <w:lang w:eastAsia="zh-CN"/>
        </w:rPr>
        <w:t>磋商供应商盖章：</w:t>
      </w:r>
    </w:p>
    <w:p w14:paraId="01395A6D">
      <w:pPr>
        <w:pBdr>
          <w:top w:val="none" w:color="000000" w:sz="0" w:space="0"/>
          <w:left w:val="none" w:color="000000" w:sz="0" w:space="0"/>
          <w:bottom w:val="none" w:color="000000" w:sz="0" w:space="0"/>
          <w:right w:val="none" w:color="000000" w:sz="0" w:space="0"/>
        </w:pBdr>
        <w:spacing w:after="0" w:line="439" w:lineRule="atLeast"/>
        <w:jc w:val="both"/>
        <w:rPr>
          <w:color w:val="auto"/>
          <w:highlight w:val="none"/>
          <w:lang w:eastAsia="zh-CN"/>
        </w:rPr>
      </w:pPr>
      <w:r>
        <w:rPr>
          <w:rFonts w:ascii="仿宋" w:hAnsi="仿宋" w:eastAsia="仿宋" w:cs="仿宋"/>
          <w:b/>
          <w:color w:val="auto"/>
          <w:sz w:val="24"/>
          <w:highlight w:val="none"/>
          <w:lang w:eastAsia="zh-CN"/>
        </w:rPr>
        <w:t>注：以上表格由磋商供应商填写。</w:t>
      </w:r>
    </w:p>
    <w:p w14:paraId="223172B8">
      <w:pPr>
        <w:pBdr>
          <w:top w:val="none" w:color="000000" w:sz="0" w:space="0"/>
          <w:left w:val="none" w:color="000000" w:sz="0" w:space="0"/>
          <w:bottom w:val="none" w:color="000000" w:sz="0" w:space="0"/>
          <w:right w:val="none" w:color="000000" w:sz="0" w:space="0"/>
        </w:pBdr>
        <w:spacing w:after="0" w:line="439" w:lineRule="atLeast"/>
        <w:jc w:val="both"/>
        <w:rPr>
          <w:color w:val="auto"/>
          <w:highlight w:val="none"/>
          <w:lang w:eastAsia="zh-CN"/>
        </w:rPr>
      </w:pPr>
      <w:r>
        <w:rPr>
          <w:rFonts w:ascii="仿宋" w:hAnsi="仿宋" w:eastAsia="仿宋" w:cs="仿宋"/>
          <w:b/>
          <w:color w:val="auto"/>
          <w:sz w:val="24"/>
          <w:highlight w:val="none"/>
          <w:lang w:eastAsia="zh-CN"/>
        </w:rPr>
        <w:t>注明：资格评审标准中要求的证书或证明材料请提供清晰的复印件并加盖响应公章，未按以上要求提供资格审查材料或缺项漏项或证明材料不清晰的，由此引起的后果由供应商自负。</w:t>
      </w:r>
      <w:r>
        <w:rPr>
          <w:color w:val="auto"/>
          <w:highlight w:val="none"/>
          <w:lang w:eastAsia="zh-CN"/>
        </w:rPr>
        <w:br w:type="page" w:clear="all"/>
      </w:r>
    </w:p>
    <w:p w14:paraId="4BC3D7B1">
      <w:pPr>
        <w:pBdr>
          <w:top w:val="none" w:color="000000" w:sz="0" w:space="0"/>
          <w:left w:val="none" w:color="000000" w:sz="0" w:space="0"/>
          <w:bottom w:val="none" w:color="000000" w:sz="0" w:space="0"/>
          <w:right w:val="none" w:color="000000" w:sz="0" w:space="0"/>
        </w:pBdr>
        <w:spacing w:after="0"/>
        <w:rPr>
          <w:color w:val="auto"/>
          <w:highlight w:val="none"/>
          <w:lang w:eastAsia="zh-CN"/>
        </w:rPr>
      </w:pPr>
      <w:r>
        <w:rPr>
          <w:rFonts w:ascii="仿宋" w:hAnsi="仿宋" w:eastAsia="仿宋" w:cs="仿宋"/>
          <w:b/>
          <w:color w:val="auto"/>
          <w:sz w:val="28"/>
          <w:highlight w:val="none"/>
          <w:lang w:eastAsia="zh-CN"/>
        </w:rPr>
        <w:t xml:space="preserve"> </w:t>
      </w:r>
    </w:p>
    <w:p w14:paraId="22A9B945">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lang w:eastAsia="zh-CN"/>
        </w:rPr>
      </w:pPr>
      <w:r>
        <w:rPr>
          <w:rFonts w:ascii="仿宋" w:hAnsi="仿宋" w:eastAsia="仿宋" w:cs="仿宋"/>
          <w:b/>
          <w:color w:val="auto"/>
          <w:sz w:val="28"/>
          <w:highlight w:val="none"/>
          <w:lang w:eastAsia="zh-CN"/>
        </w:rPr>
        <w:t>1、法定代表人身份证明</w:t>
      </w:r>
    </w:p>
    <w:p w14:paraId="54A2A81C">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 </w:t>
      </w:r>
    </w:p>
    <w:p w14:paraId="222D5C60">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u w:val="single"/>
          <w:lang w:eastAsia="zh-CN"/>
        </w:rPr>
        <w:t>（采购人）</w:t>
      </w:r>
      <w:r>
        <w:rPr>
          <w:rFonts w:ascii="仿宋" w:hAnsi="仿宋" w:eastAsia="仿宋" w:cs="仿宋"/>
          <w:color w:val="auto"/>
          <w:sz w:val="24"/>
          <w:highlight w:val="none"/>
          <w:lang w:eastAsia="zh-CN"/>
        </w:rPr>
        <w:t>：</w:t>
      </w:r>
    </w:p>
    <w:p w14:paraId="2C596F0A">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我公司法定代表人参加贵单位组织的</w:t>
      </w:r>
      <w:r>
        <w:rPr>
          <w:rFonts w:ascii="仿宋" w:hAnsi="仿宋" w:eastAsia="仿宋" w:cs="仿宋"/>
          <w:color w:val="auto"/>
          <w:sz w:val="24"/>
          <w:highlight w:val="none"/>
          <w:u w:val="single"/>
          <w:lang w:eastAsia="zh-CN"/>
        </w:rPr>
        <w:t>（磋商项目名称)</w:t>
      </w:r>
      <w:r>
        <w:rPr>
          <w:rFonts w:ascii="仿宋" w:hAnsi="仿宋" w:eastAsia="仿宋" w:cs="仿宋"/>
          <w:color w:val="auto"/>
          <w:sz w:val="24"/>
          <w:highlight w:val="none"/>
          <w:lang w:eastAsia="zh-CN"/>
        </w:rPr>
        <w:t>项目竞争性磋商采购活动，全权代表我公司处理投标的有关事宜。</w:t>
      </w:r>
    </w:p>
    <w:p w14:paraId="6AE587E0">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附：法定代表人情况：</w:t>
      </w:r>
    </w:p>
    <w:p w14:paraId="60148926">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姓名：         性别：          年龄：            职务：</w:t>
      </w:r>
    </w:p>
    <w:p w14:paraId="7C4C8C96">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身份证号码：</w:t>
      </w:r>
    </w:p>
    <w:p w14:paraId="710BB424">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手机：         传真：</w:t>
      </w:r>
    </w:p>
    <w:p w14:paraId="0FE980A8">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 </w:t>
      </w:r>
    </w:p>
    <w:p w14:paraId="5040317C">
      <w:pPr>
        <w:pBdr>
          <w:top w:val="none" w:color="000000" w:sz="0" w:space="0"/>
          <w:left w:val="none" w:color="000000" w:sz="0" w:space="0"/>
          <w:bottom w:val="none" w:color="000000" w:sz="0" w:space="0"/>
          <w:right w:val="none" w:color="000000" w:sz="0" w:space="0"/>
        </w:pBdr>
        <w:spacing w:after="0" w:line="460" w:lineRule="atLeast"/>
        <w:ind w:firstLine="240"/>
        <w:jc w:val="both"/>
        <w:rPr>
          <w:color w:val="auto"/>
          <w:highlight w:val="none"/>
          <w:lang w:eastAsia="zh-CN"/>
        </w:rPr>
      </w:pPr>
      <w:r>
        <w:rPr>
          <w:rFonts w:ascii="仿宋" w:hAnsi="仿宋" w:eastAsia="仿宋" w:cs="仿宋"/>
          <w:color w:val="auto"/>
          <w:sz w:val="24"/>
          <w:highlight w:val="none"/>
          <w:lang w:eastAsia="zh-CN"/>
        </w:rPr>
        <w:t>单位名称（公章）                              法定代表人（签字或盖章）</w:t>
      </w:r>
    </w:p>
    <w:p w14:paraId="74FDAC03">
      <w:pPr>
        <w:pBdr>
          <w:top w:val="none" w:color="000000" w:sz="0" w:space="0"/>
          <w:left w:val="none" w:color="000000" w:sz="0" w:space="0"/>
          <w:bottom w:val="none" w:color="000000" w:sz="0" w:space="0"/>
          <w:right w:val="none" w:color="000000" w:sz="0" w:space="0"/>
        </w:pBdr>
        <w:spacing w:after="0" w:line="460" w:lineRule="atLeast"/>
        <w:ind w:firstLine="720"/>
        <w:jc w:val="both"/>
        <w:rPr>
          <w:color w:val="auto"/>
          <w:highlight w:val="none"/>
          <w:lang w:eastAsia="zh-CN"/>
        </w:rPr>
      </w:pPr>
      <w:r>
        <w:rPr>
          <w:rFonts w:ascii="仿宋" w:hAnsi="仿宋" w:eastAsia="仿宋" w:cs="仿宋"/>
          <w:color w:val="auto"/>
          <w:sz w:val="24"/>
          <w:highlight w:val="none"/>
          <w:lang w:eastAsia="zh-CN"/>
        </w:rPr>
        <w:t>年  月  日                                    年  月  日</w:t>
      </w:r>
    </w:p>
    <w:p w14:paraId="043F0C55">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 </w:t>
      </w:r>
    </w:p>
    <w:p w14:paraId="32C84EA7">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 </w:t>
      </w:r>
    </w:p>
    <w:p w14:paraId="7E685691">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 </w:t>
      </w:r>
    </w:p>
    <w:p w14:paraId="2B3359BC">
      <w:pPr>
        <w:pBdr>
          <w:top w:val="none" w:color="000000" w:sz="0" w:space="0"/>
          <w:left w:val="none" w:color="000000" w:sz="0" w:space="0"/>
          <w:bottom w:val="none" w:color="000000" w:sz="0" w:space="0"/>
          <w:right w:val="none" w:color="000000" w:sz="0" w:space="0"/>
        </w:pBdr>
        <w:spacing w:after="1872" w:line="460" w:lineRule="atLeast"/>
        <w:jc w:val="both"/>
        <w:rPr>
          <w:color w:val="auto"/>
          <w:highlight w:val="none"/>
          <w:lang w:eastAsia="zh-CN"/>
        </w:rPr>
      </w:pPr>
      <w:r>
        <w:rPr>
          <w:rFonts w:ascii="仿宋" w:hAnsi="仿宋" w:eastAsia="仿宋" w:cs="仿宋"/>
          <w:color w:val="auto"/>
          <w:sz w:val="24"/>
          <w:highlight w:val="none"/>
          <w:lang w:eastAsia="zh-CN"/>
        </w:rPr>
        <w:t>注：法定代表人身份证扫描件正反两面（并加盖公章）</w:t>
      </w:r>
    </w:p>
    <w:p w14:paraId="109E8E7F">
      <w:pPr>
        <w:pBdr>
          <w:top w:val="none" w:color="000000" w:sz="0" w:space="0"/>
          <w:left w:val="none" w:color="000000" w:sz="0" w:space="0"/>
          <w:bottom w:val="none" w:color="000000" w:sz="0" w:space="0"/>
          <w:right w:val="none" w:color="000000" w:sz="0" w:space="0"/>
        </w:pBdr>
        <w:spacing w:after="0" w:line="460" w:lineRule="atLeast"/>
        <w:rPr>
          <w:color w:val="auto"/>
          <w:highlight w:val="none"/>
          <w:lang w:eastAsia="zh-CN"/>
        </w:rPr>
      </w:pPr>
      <w:r>
        <w:rPr>
          <w:rFonts w:ascii="仿宋" w:hAnsi="仿宋" w:eastAsia="仿宋" w:cs="仿宋"/>
          <w:b/>
          <w:color w:val="auto"/>
          <w:sz w:val="24"/>
          <w:highlight w:val="none"/>
          <w:lang w:eastAsia="zh-CN"/>
        </w:rPr>
        <w:t> </w:t>
      </w:r>
    </w:p>
    <w:p w14:paraId="33F10335">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5AA3F2C6">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46A77C08">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2F43AC9E">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131E8AAC">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64C5522B">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595FDF96">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3ECE19C2">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74A95A60">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0A333034">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611356F9">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31738272">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5813B725">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b/>
          <w:color w:val="auto"/>
          <w:sz w:val="28"/>
          <w:highlight w:val="none"/>
          <w:lang w:eastAsia="zh-CN"/>
        </w:rPr>
        <w:t> </w:t>
      </w:r>
    </w:p>
    <w:p w14:paraId="20A99AFE">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lang w:eastAsia="zh-CN"/>
        </w:rPr>
      </w:pPr>
      <w:r>
        <w:rPr>
          <w:rFonts w:ascii="仿宋" w:hAnsi="仿宋" w:eastAsia="仿宋" w:cs="仿宋"/>
          <w:b/>
          <w:color w:val="auto"/>
          <w:sz w:val="28"/>
          <w:highlight w:val="none"/>
          <w:lang w:eastAsia="zh-CN"/>
        </w:rPr>
        <w:t>2、法定代表人授权委托书</w:t>
      </w:r>
    </w:p>
    <w:p w14:paraId="7B710F2B">
      <w:pPr>
        <w:pBdr>
          <w:top w:val="none" w:color="000000" w:sz="0" w:space="0"/>
          <w:left w:val="none" w:color="000000" w:sz="0" w:space="0"/>
          <w:bottom w:val="none" w:color="000000" w:sz="0" w:space="0"/>
          <w:right w:val="none" w:color="000000" w:sz="0" w:space="0"/>
        </w:pBdr>
        <w:spacing w:after="0" w:line="460" w:lineRule="atLeast"/>
        <w:ind w:firstLine="720"/>
        <w:jc w:val="both"/>
        <w:rPr>
          <w:color w:val="auto"/>
          <w:highlight w:val="none"/>
          <w:lang w:eastAsia="zh-CN"/>
        </w:rPr>
      </w:pPr>
      <w:r>
        <w:rPr>
          <w:rFonts w:ascii="仿宋" w:hAnsi="仿宋" w:eastAsia="仿宋" w:cs="仿宋"/>
          <w:color w:val="auto"/>
          <w:sz w:val="24"/>
          <w:highlight w:val="none"/>
          <w:lang w:eastAsia="zh-CN"/>
        </w:rPr>
        <w:t>本授权书声明：</w:t>
      </w:r>
      <w:r>
        <w:rPr>
          <w:rFonts w:ascii="仿宋" w:hAnsi="仿宋" w:eastAsia="仿宋" w:cs="仿宋"/>
          <w:color w:val="auto"/>
          <w:sz w:val="24"/>
          <w:highlight w:val="none"/>
          <w:u w:val="single"/>
          <w:lang w:eastAsia="zh-CN"/>
        </w:rPr>
        <w:t>        （供应商名称）</w:t>
      </w:r>
      <w:r>
        <w:rPr>
          <w:rFonts w:ascii="仿宋" w:hAnsi="仿宋" w:eastAsia="仿宋" w:cs="仿宋"/>
          <w:color w:val="auto"/>
          <w:sz w:val="24"/>
          <w:highlight w:val="none"/>
          <w:lang w:eastAsia="zh-CN"/>
        </w:rPr>
        <w:t>授权</w:t>
      </w:r>
      <w:r>
        <w:rPr>
          <w:rFonts w:ascii="仿宋" w:hAnsi="仿宋" w:eastAsia="仿宋" w:cs="仿宋"/>
          <w:color w:val="auto"/>
          <w:sz w:val="24"/>
          <w:highlight w:val="none"/>
          <w:u w:val="single"/>
          <w:lang w:eastAsia="zh-CN"/>
        </w:rPr>
        <w:t>         （被授权人的姓名）</w:t>
      </w:r>
      <w:r>
        <w:rPr>
          <w:rFonts w:ascii="仿宋" w:hAnsi="仿宋" w:eastAsia="仿宋" w:cs="仿宋"/>
          <w:color w:val="auto"/>
          <w:sz w:val="24"/>
          <w:highlight w:val="none"/>
          <w:lang w:eastAsia="zh-CN"/>
        </w:rPr>
        <w:t>为我方就</w:t>
      </w:r>
      <w:r>
        <w:rPr>
          <w:rFonts w:ascii="仿宋" w:hAnsi="仿宋" w:eastAsia="仿宋" w:cs="仿宋"/>
          <w:color w:val="auto"/>
          <w:sz w:val="24"/>
          <w:highlight w:val="none"/>
          <w:u w:val="single"/>
          <w:lang w:eastAsia="zh-CN"/>
        </w:rPr>
        <w:t>              （项目名称）</w:t>
      </w:r>
      <w:r>
        <w:rPr>
          <w:rFonts w:ascii="仿宋" w:hAnsi="仿宋" w:eastAsia="仿宋" w:cs="仿宋"/>
          <w:color w:val="auto"/>
          <w:sz w:val="24"/>
          <w:highlight w:val="none"/>
          <w:lang w:eastAsia="zh-CN"/>
        </w:rPr>
        <w:t>采购活动的合法代理人，以本公司名义全权处理一切与该项目采购有关的事务。</w:t>
      </w:r>
    </w:p>
    <w:p w14:paraId="18CABB33">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本授权书于</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年</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月</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日起生效，特此声明。</w:t>
      </w:r>
    </w:p>
    <w:p w14:paraId="18A9681D">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 </w:t>
      </w:r>
    </w:p>
    <w:p w14:paraId="5B17EE87">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 </w:t>
      </w:r>
    </w:p>
    <w:p w14:paraId="57752E96">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代理人（被授权人）：</w:t>
      </w:r>
    </w:p>
    <w:p w14:paraId="3B9F7EF6">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代理人电话手机号码：</w:t>
      </w:r>
    </w:p>
    <w:p w14:paraId="370F25DF">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单位名称：</w:t>
      </w:r>
    </w:p>
    <w:p w14:paraId="46EFA465">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授权单位盖章：</w:t>
      </w:r>
    </w:p>
    <w:p w14:paraId="13468F8E">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法定代表人（签字或盖章）：</w:t>
      </w:r>
    </w:p>
    <w:p w14:paraId="6D59C5E1">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地址：</w:t>
      </w:r>
    </w:p>
    <w:p w14:paraId="6B31D6CE">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日期：</w:t>
      </w:r>
    </w:p>
    <w:p w14:paraId="3C184785">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 </w:t>
      </w:r>
    </w:p>
    <w:p w14:paraId="3AB2B8C0">
      <w:pPr>
        <w:pBdr>
          <w:top w:val="none" w:color="000000" w:sz="0" w:space="0"/>
          <w:left w:val="none" w:color="000000" w:sz="0" w:space="0"/>
          <w:bottom w:val="none" w:color="000000" w:sz="0" w:space="0"/>
          <w:right w:val="none" w:color="000000" w:sz="0" w:space="0"/>
        </w:pBdr>
        <w:spacing w:after="936" w:line="460" w:lineRule="atLeast"/>
        <w:rPr>
          <w:color w:val="auto"/>
          <w:highlight w:val="none"/>
          <w:lang w:eastAsia="zh-CN"/>
        </w:rPr>
      </w:pPr>
      <w:r>
        <w:rPr>
          <w:rFonts w:ascii="仿宋" w:hAnsi="仿宋" w:eastAsia="仿宋" w:cs="仿宋"/>
          <w:color w:val="auto"/>
          <w:sz w:val="24"/>
          <w:highlight w:val="none"/>
          <w:lang w:eastAsia="zh-CN"/>
        </w:rPr>
        <w:t>注：提供被委托授权人的身份证扫描件正反两面（并加盖公章）</w:t>
      </w:r>
    </w:p>
    <w:p w14:paraId="020EF458">
      <w:pPr>
        <w:pBdr>
          <w:top w:val="none" w:color="000000" w:sz="0" w:space="0"/>
          <w:left w:val="none" w:color="000000" w:sz="0" w:space="0"/>
          <w:bottom w:val="none" w:color="000000" w:sz="0" w:space="0"/>
          <w:right w:val="none" w:color="000000" w:sz="0" w:space="0"/>
        </w:pBdr>
        <w:spacing w:after="0"/>
        <w:rPr>
          <w:color w:val="auto"/>
          <w:highlight w:val="none"/>
          <w:lang w:eastAsia="zh-CN"/>
        </w:rPr>
      </w:pPr>
      <w:r>
        <w:rPr>
          <w:color w:val="auto"/>
          <w:highlight w:val="none"/>
          <w:lang w:eastAsia="zh-CN"/>
        </w:rPr>
        <w:br w:type="page" w:clear="all"/>
      </w:r>
    </w:p>
    <w:p w14:paraId="530DB540">
      <w:pPr>
        <w:pBdr>
          <w:top w:val="none" w:color="000000" w:sz="0" w:space="0"/>
          <w:left w:val="none" w:color="000000" w:sz="0" w:space="0"/>
          <w:bottom w:val="none" w:color="000000" w:sz="0" w:space="0"/>
          <w:right w:val="none" w:color="000000" w:sz="0" w:space="0"/>
        </w:pBdr>
        <w:spacing w:after="0"/>
        <w:rPr>
          <w:color w:val="auto"/>
          <w:highlight w:val="none"/>
          <w:lang w:eastAsia="zh-CN"/>
        </w:rPr>
      </w:pPr>
      <w:r>
        <w:rPr>
          <w:rFonts w:ascii="仿宋" w:hAnsi="仿宋" w:eastAsia="仿宋" w:cs="仿宋"/>
          <w:color w:val="auto"/>
          <w:sz w:val="24"/>
          <w:highlight w:val="none"/>
          <w:lang w:eastAsia="zh-CN"/>
        </w:rPr>
        <w:t xml:space="preserve"> </w:t>
      </w:r>
    </w:p>
    <w:p w14:paraId="316C05C5">
      <w:pPr>
        <w:pBdr>
          <w:top w:val="none" w:color="000000" w:sz="0" w:space="0"/>
          <w:left w:val="none" w:color="000000" w:sz="0" w:space="0"/>
          <w:bottom w:val="none" w:color="000000" w:sz="0" w:space="0"/>
          <w:right w:val="none" w:color="000000" w:sz="0" w:space="0"/>
        </w:pBdr>
        <w:spacing w:after="0"/>
        <w:jc w:val="center"/>
        <w:rPr>
          <w:color w:val="auto"/>
          <w:highlight w:val="none"/>
          <w:lang w:eastAsia="zh-CN"/>
        </w:rPr>
      </w:pPr>
      <w:r>
        <w:rPr>
          <w:rFonts w:ascii="仿宋" w:hAnsi="仿宋" w:eastAsia="仿宋" w:cs="仿宋"/>
          <w:b/>
          <w:color w:val="auto"/>
          <w:sz w:val="28"/>
          <w:highlight w:val="none"/>
          <w:lang w:eastAsia="zh-CN"/>
        </w:rPr>
        <w:t>3、响应供应商符合《政府采购法》第二十二条规定条件的声明函</w:t>
      </w:r>
    </w:p>
    <w:p w14:paraId="34D9835F">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b/>
          <w:color w:val="auto"/>
          <w:sz w:val="24"/>
          <w:highlight w:val="none"/>
          <w:lang w:eastAsia="zh-CN"/>
        </w:rPr>
        <w:t xml:space="preserve">                          </w:t>
      </w:r>
    </w:p>
    <w:p w14:paraId="7B953EAA">
      <w:pPr>
        <w:pBdr>
          <w:top w:val="none" w:color="000000" w:sz="0" w:space="0"/>
          <w:left w:val="none" w:color="000000" w:sz="0" w:space="0"/>
          <w:bottom w:val="none" w:color="000000" w:sz="0" w:space="0"/>
          <w:right w:val="none" w:color="000000" w:sz="0" w:space="0"/>
        </w:pBdr>
        <w:spacing w:after="0" w:line="519" w:lineRule="atLeast"/>
        <w:ind w:firstLine="480"/>
        <w:jc w:val="both"/>
        <w:rPr>
          <w:color w:val="auto"/>
          <w:highlight w:val="none"/>
          <w:lang w:eastAsia="zh-CN"/>
        </w:rPr>
      </w:pPr>
      <w:r>
        <w:rPr>
          <w:rFonts w:ascii="仿宋" w:hAnsi="仿宋" w:eastAsia="仿宋" w:cs="仿宋"/>
          <w:color w:val="auto"/>
          <w:sz w:val="24"/>
          <w:highlight w:val="none"/>
          <w:lang w:eastAsia="zh-CN"/>
        </w:rPr>
        <w:t>我单位参加</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（项目名称），</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（项目编号）投标活动。针对《中华人民共和国政府采购法》第二十二条规定做出如下声明：</w:t>
      </w:r>
    </w:p>
    <w:p w14:paraId="17E8AADD">
      <w:pPr>
        <w:pBdr>
          <w:top w:val="none" w:color="000000" w:sz="0" w:space="0"/>
          <w:left w:val="none" w:color="000000" w:sz="0" w:space="0"/>
          <w:bottom w:val="none" w:color="000000" w:sz="0" w:space="0"/>
          <w:right w:val="none" w:color="000000" w:sz="0" w:space="0"/>
        </w:pBdr>
        <w:spacing w:after="0" w:line="519" w:lineRule="atLeast"/>
        <w:ind w:firstLine="482"/>
        <w:jc w:val="both"/>
        <w:rPr>
          <w:color w:val="auto"/>
          <w:highlight w:val="none"/>
          <w:lang w:eastAsia="zh-CN"/>
        </w:rPr>
      </w:pPr>
      <w:r>
        <w:rPr>
          <w:rFonts w:ascii="仿宋" w:hAnsi="仿宋" w:eastAsia="仿宋" w:cs="仿宋"/>
          <w:color w:val="auto"/>
          <w:sz w:val="24"/>
          <w:highlight w:val="none"/>
          <w:lang w:eastAsia="zh-CN"/>
        </w:rPr>
        <w:t>1.我单位具有独立承担民事责任的能力；</w:t>
      </w:r>
    </w:p>
    <w:p w14:paraId="097E820E">
      <w:pPr>
        <w:pBdr>
          <w:top w:val="none" w:color="000000" w:sz="0" w:space="0"/>
          <w:left w:val="none" w:color="000000" w:sz="0" w:space="0"/>
          <w:bottom w:val="none" w:color="000000" w:sz="0" w:space="0"/>
          <w:right w:val="none" w:color="000000" w:sz="0" w:space="0"/>
        </w:pBdr>
        <w:spacing w:after="0" w:line="519" w:lineRule="atLeast"/>
        <w:ind w:firstLine="482"/>
        <w:jc w:val="both"/>
        <w:rPr>
          <w:color w:val="auto"/>
          <w:highlight w:val="none"/>
          <w:lang w:eastAsia="zh-CN"/>
        </w:rPr>
      </w:pPr>
      <w:r>
        <w:rPr>
          <w:rFonts w:ascii="仿宋" w:hAnsi="仿宋" w:eastAsia="仿宋" w:cs="仿宋"/>
          <w:color w:val="auto"/>
          <w:sz w:val="24"/>
          <w:highlight w:val="none"/>
          <w:lang w:eastAsia="zh-CN"/>
        </w:rPr>
        <w:t>2.我单位具有良好的商业信誉和健全的财务会计制度；</w:t>
      </w:r>
    </w:p>
    <w:p w14:paraId="5BE6A602">
      <w:pPr>
        <w:pBdr>
          <w:top w:val="none" w:color="000000" w:sz="0" w:space="0"/>
          <w:left w:val="none" w:color="000000" w:sz="0" w:space="0"/>
          <w:bottom w:val="none" w:color="000000" w:sz="0" w:space="0"/>
          <w:right w:val="none" w:color="000000" w:sz="0" w:space="0"/>
        </w:pBdr>
        <w:spacing w:after="0" w:line="519" w:lineRule="atLeast"/>
        <w:ind w:firstLine="482"/>
        <w:jc w:val="both"/>
        <w:rPr>
          <w:color w:val="auto"/>
          <w:highlight w:val="none"/>
          <w:lang w:eastAsia="zh-CN"/>
        </w:rPr>
      </w:pPr>
      <w:r>
        <w:rPr>
          <w:rFonts w:ascii="仿宋" w:hAnsi="仿宋" w:eastAsia="仿宋" w:cs="仿宋"/>
          <w:color w:val="auto"/>
          <w:sz w:val="24"/>
          <w:highlight w:val="none"/>
          <w:lang w:eastAsia="zh-CN"/>
        </w:rPr>
        <w:t>3.我单位具有履行合同所必需的设备和专业技术能力；</w:t>
      </w:r>
    </w:p>
    <w:p w14:paraId="74D60C25">
      <w:pPr>
        <w:pBdr>
          <w:top w:val="none" w:color="000000" w:sz="0" w:space="0"/>
          <w:left w:val="none" w:color="000000" w:sz="0" w:space="0"/>
          <w:bottom w:val="none" w:color="000000" w:sz="0" w:space="0"/>
          <w:right w:val="none" w:color="000000" w:sz="0" w:space="0"/>
        </w:pBdr>
        <w:spacing w:after="0" w:line="519" w:lineRule="atLeast"/>
        <w:ind w:firstLine="482"/>
        <w:jc w:val="both"/>
        <w:rPr>
          <w:color w:val="auto"/>
          <w:highlight w:val="none"/>
          <w:lang w:eastAsia="zh-CN"/>
        </w:rPr>
      </w:pPr>
      <w:r>
        <w:rPr>
          <w:rFonts w:ascii="仿宋" w:hAnsi="仿宋" w:eastAsia="仿宋" w:cs="仿宋"/>
          <w:color w:val="auto"/>
          <w:sz w:val="24"/>
          <w:highlight w:val="none"/>
          <w:lang w:eastAsia="zh-CN"/>
        </w:rPr>
        <w:t>4.我单位有依法缴纳税收和社会保障资金的良好记录；</w:t>
      </w:r>
    </w:p>
    <w:p w14:paraId="78B0C766">
      <w:pPr>
        <w:pBdr>
          <w:top w:val="none" w:color="000000" w:sz="0" w:space="0"/>
          <w:left w:val="none" w:color="000000" w:sz="0" w:space="0"/>
          <w:bottom w:val="none" w:color="000000" w:sz="0" w:space="0"/>
          <w:right w:val="none" w:color="000000" w:sz="0" w:space="0"/>
        </w:pBdr>
        <w:spacing w:after="0" w:line="519" w:lineRule="atLeast"/>
        <w:ind w:firstLine="482"/>
        <w:jc w:val="both"/>
        <w:rPr>
          <w:color w:val="auto"/>
          <w:highlight w:val="none"/>
          <w:lang w:eastAsia="zh-CN"/>
        </w:rPr>
      </w:pPr>
      <w:r>
        <w:rPr>
          <w:rFonts w:ascii="仿宋" w:hAnsi="仿宋" w:eastAsia="仿宋" w:cs="仿宋"/>
          <w:color w:val="auto"/>
          <w:sz w:val="24"/>
          <w:highlight w:val="none"/>
          <w:lang w:eastAsia="zh-CN"/>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0C63A13">
      <w:pPr>
        <w:pBdr>
          <w:top w:val="none" w:color="000000" w:sz="0" w:space="0"/>
          <w:left w:val="none" w:color="000000" w:sz="0" w:space="0"/>
          <w:bottom w:val="none" w:color="000000" w:sz="0" w:space="0"/>
          <w:right w:val="none" w:color="000000" w:sz="0" w:space="0"/>
        </w:pBdr>
        <w:spacing w:after="0" w:line="519" w:lineRule="atLeast"/>
        <w:ind w:firstLine="482"/>
        <w:jc w:val="both"/>
        <w:rPr>
          <w:color w:val="auto"/>
          <w:highlight w:val="none"/>
          <w:lang w:eastAsia="zh-CN"/>
        </w:rPr>
      </w:pPr>
      <w:r>
        <w:rPr>
          <w:rFonts w:ascii="仿宋" w:hAnsi="仿宋" w:eastAsia="仿宋" w:cs="仿宋"/>
          <w:color w:val="auto"/>
          <w:sz w:val="24"/>
          <w:highlight w:val="none"/>
          <w:lang w:eastAsia="zh-CN"/>
        </w:rPr>
        <w:t>6.我单位满足法律、行政法规规定的其他条件。</w:t>
      </w:r>
    </w:p>
    <w:p w14:paraId="38D757B3">
      <w:pPr>
        <w:pBdr>
          <w:top w:val="none" w:color="000000" w:sz="0" w:space="0"/>
          <w:left w:val="none" w:color="000000" w:sz="0" w:space="0"/>
          <w:bottom w:val="none" w:color="000000" w:sz="0" w:space="0"/>
          <w:right w:val="none" w:color="000000" w:sz="0" w:space="0"/>
        </w:pBdr>
        <w:spacing w:after="0" w:line="499" w:lineRule="atLeast"/>
        <w:ind w:firstLine="482"/>
        <w:jc w:val="both"/>
        <w:rPr>
          <w:color w:val="auto"/>
          <w:highlight w:val="none"/>
          <w:lang w:eastAsia="zh-CN"/>
        </w:rPr>
      </w:pPr>
      <w:r>
        <w:rPr>
          <w:rFonts w:ascii="仿宋" w:hAnsi="仿宋" w:eastAsia="仿宋" w:cs="仿宋"/>
          <w:color w:val="auto"/>
          <w:sz w:val="24"/>
          <w:highlight w:val="none"/>
          <w:lang w:eastAsia="zh-CN"/>
        </w:rPr>
        <w:t> </w:t>
      </w:r>
    </w:p>
    <w:p w14:paraId="6D6ADEC8">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4"/>
          <w:highlight w:val="none"/>
          <w:lang w:eastAsia="zh-CN"/>
        </w:rPr>
        <w:t> </w:t>
      </w:r>
    </w:p>
    <w:p w14:paraId="3BEDB8F7">
      <w:pPr>
        <w:pBdr>
          <w:top w:val="none" w:color="000000" w:sz="0" w:space="0"/>
          <w:left w:val="none" w:color="000000" w:sz="0" w:space="0"/>
          <w:bottom w:val="none" w:color="000000" w:sz="0" w:space="0"/>
          <w:right w:val="none" w:color="000000" w:sz="0" w:space="0"/>
        </w:pBdr>
        <w:spacing w:after="0" w:line="499" w:lineRule="atLeast"/>
        <w:jc w:val="both"/>
        <w:rPr>
          <w:color w:val="auto"/>
          <w:highlight w:val="none"/>
          <w:lang w:eastAsia="zh-CN"/>
        </w:rPr>
      </w:pPr>
      <w:r>
        <w:rPr>
          <w:rFonts w:ascii="仿宋" w:hAnsi="仿宋" w:eastAsia="仿宋" w:cs="仿宋"/>
          <w:color w:val="auto"/>
          <w:sz w:val="24"/>
          <w:highlight w:val="none"/>
          <w:lang w:eastAsia="zh-CN"/>
        </w:rPr>
        <w:t> </w:t>
      </w:r>
    </w:p>
    <w:p w14:paraId="11EF8420">
      <w:pPr>
        <w:pBdr>
          <w:top w:val="none" w:color="000000" w:sz="0" w:space="0"/>
          <w:left w:val="none" w:color="000000" w:sz="0" w:space="0"/>
          <w:bottom w:val="none" w:color="000000" w:sz="0" w:space="0"/>
          <w:right w:val="none" w:color="000000" w:sz="0" w:space="0"/>
        </w:pBdr>
        <w:spacing w:after="0" w:line="499" w:lineRule="atLeast"/>
        <w:jc w:val="both"/>
        <w:rPr>
          <w:color w:val="auto"/>
          <w:highlight w:val="none"/>
          <w:lang w:eastAsia="zh-CN"/>
        </w:rPr>
      </w:pPr>
      <w:r>
        <w:rPr>
          <w:rFonts w:ascii="仿宋" w:hAnsi="仿宋" w:eastAsia="仿宋" w:cs="仿宋"/>
          <w:color w:val="auto"/>
          <w:sz w:val="24"/>
          <w:highlight w:val="none"/>
          <w:lang w:eastAsia="zh-CN"/>
        </w:rPr>
        <w:t> </w:t>
      </w:r>
    </w:p>
    <w:p w14:paraId="165A65EE">
      <w:pPr>
        <w:pBdr>
          <w:top w:val="none" w:color="000000" w:sz="0" w:space="0"/>
          <w:left w:val="none" w:color="000000" w:sz="0" w:space="0"/>
          <w:bottom w:val="none" w:color="000000" w:sz="0" w:space="0"/>
          <w:right w:val="none" w:color="000000" w:sz="0" w:space="0"/>
        </w:pBdr>
        <w:spacing w:after="0" w:line="499" w:lineRule="atLeast"/>
        <w:jc w:val="both"/>
        <w:rPr>
          <w:color w:val="auto"/>
          <w:highlight w:val="none"/>
          <w:lang w:eastAsia="zh-CN"/>
        </w:rPr>
      </w:pPr>
      <w:r>
        <w:rPr>
          <w:rFonts w:ascii="仿宋" w:hAnsi="仿宋" w:eastAsia="仿宋" w:cs="仿宋"/>
          <w:color w:val="auto"/>
          <w:sz w:val="24"/>
          <w:highlight w:val="none"/>
          <w:lang w:eastAsia="zh-CN"/>
        </w:rPr>
        <w:t> </w:t>
      </w:r>
    </w:p>
    <w:p w14:paraId="06A5C9B1">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lang w:eastAsia="zh-CN"/>
        </w:rPr>
      </w:pPr>
      <w:r>
        <w:rPr>
          <w:rFonts w:ascii="仿宋" w:hAnsi="仿宋" w:eastAsia="仿宋" w:cs="仿宋"/>
          <w:color w:val="auto"/>
          <w:sz w:val="24"/>
          <w:highlight w:val="none"/>
          <w:lang w:eastAsia="zh-CN"/>
        </w:rPr>
        <w:t>                                             承诺人名称（公章）：</w:t>
      </w:r>
    </w:p>
    <w:p w14:paraId="5305AD7E">
      <w:pPr>
        <w:pBdr>
          <w:top w:val="none" w:color="000000" w:sz="0" w:space="0"/>
          <w:left w:val="none" w:color="000000" w:sz="0" w:space="0"/>
          <w:bottom w:val="none" w:color="000000" w:sz="0" w:space="0"/>
          <w:right w:val="none" w:color="000000" w:sz="0" w:space="0"/>
        </w:pBdr>
        <w:spacing w:after="0" w:line="460" w:lineRule="atLeast"/>
        <w:jc w:val="right"/>
        <w:rPr>
          <w:color w:val="auto"/>
          <w:highlight w:val="none"/>
          <w:lang w:eastAsia="zh-CN"/>
        </w:rPr>
      </w:pPr>
      <w:r>
        <w:rPr>
          <w:rFonts w:ascii="仿宋" w:hAnsi="仿宋" w:eastAsia="仿宋" w:cs="仿宋"/>
          <w:color w:val="auto"/>
          <w:sz w:val="24"/>
          <w:highlight w:val="none"/>
          <w:lang w:eastAsia="zh-CN"/>
        </w:rPr>
        <w:t xml:space="preserve">    </w:t>
      </w:r>
    </w:p>
    <w:p w14:paraId="32BDAFD5">
      <w:pPr>
        <w:pBdr>
          <w:top w:val="none" w:color="000000" w:sz="0" w:space="0"/>
          <w:left w:val="none" w:color="000000" w:sz="0" w:space="0"/>
          <w:bottom w:val="none" w:color="000000" w:sz="0" w:space="0"/>
          <w:right w:val="none" w:color="000000" w:sz="0" w:space="0"/>
        </w:pBdr>
        <w:spacing w:after="120" w:line="460" w:lineRule="atLeast"/>
        <w:ind w:left="420" w:firstLine="480"/>
        <w:jc w:val="center"/>
        <w:rPr>
          <w:color w:val="auto"/>
          <w:highlight w:val="none"/>
          <w:lang w:eastAsia="zh-CN"/>
        </w:rPr>
      </w:pPr>
      <w:r>
        <w:rPr>
          <w:rFonts w:ascii="仿宋" w:hAnsi="仿宋" w:eastAsia="仿宋" w:cs="仿宋"/>
          <w:color w:val="auto"/>
          <w:sz w:val="24"/>
          <w:highlight w:val="none"/>
          <w:lang w:eastAsia="zh-CN"/>
        </w:rPr>
        <w:t>                                 日期：</w:t>
      </w:r>
      <w:r>
        <w:rPr>
          <w:rFonts w:ascii="仿宋" w:hAnsi="仿宋" w:eastAsia="仿宋" w:cs="仿宋"/>
          <w:color w:val="auto"/>
          <w:sz w:val="24"/>
          <w:highlight w:val="none"/>
          <w:u w:val="single"/>
          <w:lang w:eastAsia="zh-CN"/>
        </w:rPr>
        <w:t>______</w:t>
      </w:r>
      <w:r>
        <w:rPr>
          <w:rFonts w:ascii="仿宋" w:hAnsi="仿宋" w:eastAsia="仿宋" w:cs="仿宋"/>
          <w:color w:val="auto"/>
          <w:sz w:val="24"/>
          <w:highlight w:val="none"/>
          <w:lang w:eastAsia="zh-CN"/>
        </w:rPr>
        <w:t>年</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月</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日</w:t>
      </w:r>
    </w:p>
    <w:p w14:paraId="6E80D228">
      <w:pPr>
        <w:pBdr>
          <w:top w:val="none" w:color="000000" w:sz="0" w:space="0"/>
          <w:left w:val="none" w:color="000000" w:sz="0" w:space="0"/>
          <w:bottom w:val="none" w:color="000000" w:sz="0" w:space="0"/>
          <w:right w:val="none" w:color="000000" w:sz="0" w:space="0"/>
        </w:pBdr>
        <w:spacing w:after="120" w:line="460" w:lineRule="atLeast"/>
        <w:ind w:left="420" w:firstLine="480"/>
        <w:jc w:val="center"/>
        <w:rPr>
          <w:color w:val="auto"/>
          <w:highlight w:val="none"/>
          <w:lang w:eastAsia="zh-CN"/>
        </w:rPr>
      </w:pPr>
      <w:r>
        <w:rPr>
          <w:rFonts w:ascii="仿宋" w:hAnsi="仿宋" w:eastAsia="仿宋" w:cs="仿宋"/>
          <w:color w:val="auto"/>
          <w:sz w:val="24"/>
          <w:highlight w:val="none"/>
          <w:lang w:eastAsia="zh-CN"/>
        </w:rPr>
        <w:t> </w:t>
      </w:r>
    </w:p>
    <w:p w14:paraId="0BF71C80">
      <w:pPr>
        <w:pBdr>
          <w:top w:val="none" w:color="000000" w:sz="0" w:space="0"/>
          <w:left w:val="none" w:color="000000" w:sz="0" w:space="0"/>
          <w:bottom w:val="none" w:color="000000" w:sz="0" w:space="0"/>
          <w:right w:val="none" w:color="000000" w:sz="0" w:space="0"/>
        </w:pBdr>
        <w:spacing w:after="120" w:line="460" w:lineRule="atLeast"/>
        <w:ind w:left="420" w:firstLine="480"/>
        <w:jc w:val="center"/>
        <w:rPr>
          <w:color w:val="auto"/>
          <w:highlight w:val="none"/>
          <w:lang w:eastAsia="zh-CN"/>
        </w:rPr>
      </w:pPr>
      <w:r>
        <w:rPr>
          <w:rFonts w:ascii="仿宋" w:hAnsi="仿宋" w:eastAsia="仿宋" w:cs="仿宋"/>
          <w:color w:val="auto"/>
          <w:sz w:val="24"/>
          <w:highlight w:val="none"/>
          <w:lang w:eastAsia="zh-CN"/>
        </w:rPr>
        <w:t> </w:t>
      </w:r>
    </w:p>
    <w:p w14:paraId="303833CA">
      <w:pPr>
        <w:pBdr>
          <w:top w:val="none" w:color="000000" w:sz="0" w:space="0"/>
          <w:left w:val="none" w:color="000000" w:sz="0" w:space="0"/>
          <w:bottom w:val="none" w:color="000000" w:sz="0" w:space="0"/>
          <w:right w:val="none" w:color="000000" w:sz="0" w:space="0"/>
        </w:pBdr>
        <w:spacing w:after="120" w:line="460" w:lineRule="atLeast"/>
        <w:ind w:left="420" w:firstLine="480"/>
        <w:jc w:val="center"/>
        <w:rPr>
          <w:color w:val="auto"/>
          <w:highlight w:val="none"/>
          <w:lang w:eastAsia="zh-CN"/>
        </w:rPr>
      </w:pPr>
      <w:r>
        <w:rPr>
          <w:rFonts w:ascii="仿宋" w:hAnsi="仿宋" w:eastAsia="仿宋" w:cs="仿宋"/>
          <w:color w:val="auto"/>
          <w:sz w:val="24"/>
          <w:highlight w:val="none"/>
          <w:lang w:eastAsia="zh-CN"/>
        </w:rPr>
        <w:t> </w:t>
      </w:r>
    </w:p>
    <w:p w14:paraId="0EF763D5">
      <w:pPr>
        <w:pBdr>
          <w:top w:val="none" w:color="000000" w:sz="0" w:space="0"/>
          <w:left w:val="none" w:color="000000" w:sz="0" w:space="0"/>
          <w:bottom w:val="none" w:color="000000" w:sz="0" w:space="0"/>
          <w:right w:val="none" w:color="000000" w:sz="0" w:space="0"/>
        </w:pBdr>
        <w:spacing w:after="120" w:line="460" w:lineRule="atLeast"/>
        <w:ind w:left="420" w:firstLine="480"/>
        <w:jc w:val="center"/>
        <w:rPr>
          <w:rFonts w:ascii="Calibri" w:hAnsi="Calibri" w:eastAsia="Calibri" w:cs="Calibri"/>
          <w:color w:val="auto"/>
          <w:highlight w:val="none"/>
          <w:lang w:eastAsia="zh-CN"/>
        </w:rPr>
      </w:pPr>
    </w:p>
    <w:p w14:paraId="4539EECD">
      <w:pPr>
        <w:pBdr>
          <w:top w:val="none" w:color="000000" w:sz="0" w:space="0"/>
          <w:left w:val="none" w:color="000000" w:sz="0" w:space="0"/>
          <w:bottom w:val="none" w:color="000000" w:sz="0" w:space="0"/>
          <w:right w:val="none" w:color="000000" w:sz="0" w:space="0"/>
        </w:pBdr>
        <w:spacing w:after="120" w:line="460" w:lineRule="atLeast"/>
        <w:ind w:left="420" w:firstLine="480"/>
        <w:jc w:val="center"/>
        <w:rPr>
          <w:rFonts w:hint="eastAsia" w:ascii="仿宋" w:hAnsi="仿宋" w:eastAsia="仿宋" w:cs="仿宋"/>
          <w:color w:val="auto"/>
          <w:sz w:val="24"/>
          <w:highlight w:val="none"/>
          <w:lang w:eastAsia="zh-CN"/>
        </w:rPr>
      </w:pPr>
    </w:p>
    <w:p w14:paraId="2C507646">
      <w:pPr>
        <w:pBdr>
          <w:top w:val="none" w:color="000000" w:sz="0" w:space="0"/>
          <w:left w:val="none" w:color="000000" w:sz="0" w:space="0"/>
          <w:bottom w:val="none" w:color="000000" w:sz="0" w:space="0"/>
          <w:right w:val="none" w:color="000000" w:sz="0" w:space="0"/>
        </w:pBdr>
        <w:spacing w:after="120" w:line="460" w:lineRule="atLeast"/>
        <w:ind w:left="420" w:firstLine="480"/>
        <w:jc w:val="center"/>
        <w:rPr>
          <w:rFonts w:hint="eastAsia" w:ascii="仿宋" w:hAnsi="仿宋" w:eastAsia="仿宋" w:cs="仿宋"/>
          <w:color w:val="auto"/>
          <w:sz w:val="24"/>
          <w:szCs w:val="24"/>
          <w:highlight w:val="none"/>
          <w:lang w:eastAsia="zh-CN"/>
        </w:rPr>
      </w:pPr>
      <w:r>
        <w:rPr>
          <w:rFonts w:ascii="仿宋" w:hAnsi="仿宋" w:eastAsia="仿宋" w:cs="仿宋"/>
          <w:color w:val="auto"/>
          <w:sz w:val="24"/>
          <w:highlight w:val="none"/>
          <w:lang w:eastAsia="zh-CN"/>
        </w:rPr>
        <w:t> </w:t>
      </w:r>
    </w:p>
    <w:p w14:paraId="3971FEE4">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lang w:eastAsia="zh-CN"/>
        </w:rPr>
      </w:pPr>
      <w:r>
        <w:rPr>
          <w:rFonts w:ascii="仿宋" w:hAnsi="仿宋" w:eastAsia="仿宋" w:cs="仿宋"/>
          <w:b/>
          <w:color w:val="auto"/>
          <w:sz w:val="28"/>
          <w:highlight w:val="none"/>
          <w:lang w:eastAsia="zh-CN"/>
        </w:rPr>
        <w:t>4、关于资格文件的声明函</w:t>
      </w:r>
    </w:p>
    <w:p w14:paraId="601D760C">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lang w:eastAsia="zh-CN"/>
        </w:rPr>
      </w:pPr>
      <w:r>
        <w:rPr>
          <w:rFonts w:ascii="仿宋" w:hAnsi="仿宋" w:eastAsia="仿宋" w:cs="仿宋"/>
          <w:color w:val="auto"/>
          <w:sz w:val="28"/>
          <w:highlight w:val="none"/>
          <w:lang w:eastAsia="zh-CN"/>
        </w:rPr>
        <w:t> </w:t>
      </w:r>
    </w:p>
    <w:p w14:paraId="5498EC59">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本公司愿就由贵单位组织实施的</w:t>
      </w:r>
      <w:r>
        <w:rPr>
          <w:rFonts w:ascii="仿宋" w:hAnsi="仿宋" w:eastAsia="仿宋" w:cs="仿宋"/>
          <w:color w:val="auto"/>
          <w:sz w:val="24"/>
          <w:highlight w:val="none"/>
          <w:u w:val="single"/>
          <w:lang w:eastAsia="zh-CN"/>
        </w:rPr>
        <w:t>            （磋商项目名称)</w:t>
      </w:r>
      <w:r>
        <w:rPr>
          <w:rFonts w:ascii="仿宋" w:hAnsi="仿宋" w:eastAsia="仿宋" w:cs="仿宋"/>
          <w:color w:val="auto"/>
          <w:sz w:val="24"/>
          <w:highlight w:val="none"/>
          <w:lang w:eastAsia="zh-CN"/>
        </w:rPr>
        <w:t>竞争性磋商活动进行响应。本公司所提交的响应文件中所有关于响应资格的文件、证明和陈述均是真实的、准确的。若与真实情况不符，本公司愿意承担由此而产生的一切后果。</w:t>
      </w:r>
    </w:p>
    <w:p w14:paraId="06CCF882">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 </w:t>
      </w:r>
    </w:p>
    <w:p w14:paraId="6C61409C">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 </w:t>
      </w:r>
    </w:p>
    <w:p w14:paraId="6832E0F1">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 </w:t>
      </w:r>
    </w:p>
    <w:p w14:paraId="749BBF26">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供应商：</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（加盖公章）</w:t>
      </w:r>
    </w:p>
    <w:p w14:paraId="5E55CAE0">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法定代表人或被授权人：</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（签字或盖章）</w:t>
      </w:r>
    </w:p>
    <w:p w14:paraId="59B7856E">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日   期：</w:t>
      </w:r>
      <w:r>
        <w:rPr>
          <w:rFonts w:ascii="仿宋" w:hAnsi="仿宋" w:eastAsia="仿宋" w:cs="仿宋"/>
          <w:color w:val="auto"/>
          <w:sz w:val="24"/>
          <w:highlight w:val="none"/>
          <w:u w:val="single"/>
          <w:lang w:eastAsia="zh-CN"/>
        </w:rPr>
        <w:t xml:space="preserve">               </w:t>
      </w:r>
    </w:p>
    <w:p w14:paraId="60AECF31">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 xml:space="preserve">               </w:t>
      </w:r>
    </w:p>
    <w:p w14:paraId="22DA3F97">
      <w:pPr>
        <w:pBdr>
          <w:top w:val="none" w:color="000000" w:sz="0" w:space="0"/>
          <w:left w:val="none" w:color="000000" w:sz="0" w:space="0"/>
          <w:bottom w:val="none" w:color="000000" w:sz="0" w:space="0"/>
          <w:right w:val="none" w:color="000000" w:sz="0" w:space="0"/>
        </w:pBdr>
        <w:spacing w:after="0" w:line="460" w:lineRule="atLeast"/>
        <w:ind w:left="2833" w:right="560" w:firstLine="2777"/>
        <w:jc w:val="both"/>
        <w:rPr>
          <w:color w:val="auto"/>
          <w:highlight w:val="none"/>
          <w:lang w:eastAsia="zh-CN"/>
        </w:rPr>
      </w:pPr>
      <w:r>
        <w:rPr>
          <w:rFonts w:ascii="仿宋" w:hAnsi="仿宋" w:eastAsia="仿宋" w:cs="仿宋"/>
          <w:color w:val="auto"/>
          <w:sz w:val="24"/>
          <w:highlight w:val="none"/>
          <w:lang w:eastAsia="zh-CN"/>
        </w:rPr>
        <w:t>年</w:t>
      </w:r>
      <w:r>
        <w:rPr>
          <w:rFonts w:ascii="仿宋" w:hAnsi="仿宋" w:eastAsia="仿宋" w:cs="仿宋"/>
          <w:color w:val="auto"/>
          <w:sz w:val="24"/>
          <w:highlight w:val="none"/>
          <w:lang w:eastAsia="zh-CN"/>
        </w:rPr>
        <w:tab/>
      </w:r>
      <w:r>
        <w:rPr>
          <w:rFonts w:ascii="仿宋" w:hAnsi="仿宋" w:eastAsia="仿宋" w:cs="仿宋"/>
          <w:color w:val="auto"/>
          <w:sz w:val="24"/>
          <w:highlight w:val="none"/>
          <w:lang w:eastAsia="zh-CN"/>
        </w:rPr>
        <w:t xml:space="preserve">    月  </w:t>
      </w:r>
      <w:r>
        <w:rPr>
          <w:rFonts w:ascii="仿宋" w:hAnsi="仿宋" w:eastAsia="仿宋" w:cs="仿宋"/>
          <w:color w:val="auto"/>
          <w:sz w:val="24"/>
          <w:highlight w:val="none"/>
          <w:lang w:eastAsia="zh-CN"/>
        </w:rPr>
        <w:tab/>
      </w:r>
      <w:r>
        <w:rPr>
          <w:rFonts w:ascii="仿宋" w:hAnsi="仿宋" w:eastAsia="仿宋" w:cs="仿宋"/>
          <w:color w:val="auto"/>
          <w:sz w:val="24"/>
          <w:highlight w:val="none"/>
          <w:lang w:eastAsia="zh-CN"/>
        </w:rPr>
        <w:t>日</w:t>
      </w:r>
    </w:p>
    <w:p w14:paraId="223A92CA">
      <w:pPr>
        <w:pBdr>
          <w:top w:val="none" w:color="000000" w:sz="0" w:space="0"/>
          <w:left w:val="none" w:color="000000" w:sz="0" w:space="0"/>
          <w:bottom w:val="none" w:color="000000" w:sz="0" w:space="0"/>
          <w:right w:val="none" w:color="000000" w:sz="0" w:space="0"/>
        </w:pBdr>
        <w:spacing w:after="120" w:line="460" w:lineRule="atLeast"/>
        <w:ind w:left="420" w:firstLine="562"/>
        <w:jc w:val="center"/>
        <w:rPr>
          <w:color w:val="auto"/>
          <w:highlight w:val="none"/>
          <w:lang w:eastAsia="zh-CN"/>
        </w:rPr>
      </w:pPr>
      <w:r>
        <w:rPr>
          <w:rFonts w:ascii="仿宋" w:hAnsi="仿宋" w:eastAsia="仿宋" w:cs="仿宋"/>
          <w:b/>
          <w:color w:val="auto"/>
          <w:sz w:val="28"/>
          <w:highlight w:val="none"/>
          <w:lang w:eastAsia="zh-CN"/>
        </w:rPr>
        <w:t> </w:t>
      </w:r>
    </w:p>
    <w:p w14:paraId="2988FF0B">
      <w:pPr>
        <w:pBdr>
          <w:top w:val="none" w:color="000000" w:sz="0" w:space="0"/>
          <w:left w:val="none" w:color="000000" w:sz="0" w:space="0"/>
          <w:bottom w:val="none" w:color="000000" w:sz="0" w:space="0"/>
          <w:right w:val="none" w:color="000000" w:sz="0" w:space="0"/>
        </w:pBdr>
        <w:spacing w:after="120" w:line="460" w:lineRule="atLeast"/>
        <w:ind w:left="420" w:firstLine="562"/>
        <w:jc w:val="center"/>
        <w:rPr>
          <w:color w:val="auto"/>
          <w:highlight w:val="none"/>
          <w:lang w:eastAsia="zh-CN"/>
        </w:rPr>
      </w:pPr>
      <w:r>
        <w:rPr>
          <w:rFonts w:ascii="仿宋" w:hAnsi="仿宋" w:eastAsia="仿宋" w:cs="仿宋"/>
          <w:b/>
          <w:color w:val="auto"/>
          <w:sz w:val="28"/>
          <w:highlight w:val="none"/>
          <w:lang w:eastAsia="zh-CN"/>
        </w:rPr>
        <w:t> </w:t>
      </w:r>
    </w:p>
    <w:p w14:paraId="00206DD4">
      <w:pPr>
        <w:pBdr>
          <w:top w:val="none" w:color="000000" w:sz="0" w:space="0"/>
          <w:left w:val="none" w:color="000000" w:sz="0" w:space="0"/>
          <w:bottom w:val="none" w:color="000000" w:sz="0" w:space="0"/>
          <w:right w:val="none" w:color="000000" w:sz="0" w:space="0"/>
        </w:pBdr>
        <w:spacing w:after="120" w:line="460" w:lineRule="atLeast"/>
        <w:ind w:left="420" w:firstLine="562"/>
        <w:jc w:val="center"/>
        <w:rPr>
          <w:color w:val="auto"/>
          <w:highlight w:val="none"/>
          <w:lang w:eastAsia="zh-CN"/>
        </w:rPr>
      </w:pPr>
      <w:r>
        <w:rPr>
          <w:rFonts w:ascii="仿宋" w:hAnsi="仿宋" w:eastAsia="仿宋" w:cs="仿宋"/>
          <w:b/>
          <w:color w:val="auto"/>
          <w:sz w:val="28"/>
          <w:highlight w:val="none"/>
          <w:lang w:eastAsia="zh-CN"/>
        </w:rPr>
        <w:t> </w:t>
      </w:r>
    </w:p>
    <w:p w14:paraId="47BC4F16">
      <w:pPr>
        <w:pBdr>
          <w:top w:val="none" w:color="000000" w:sz="0" w:space="0"/>
          <w:left w:val="none" w:color="000000" w:sz="0" w:space="0"/>
          <w:bottom w:val="none" w:color="000000" w:sz="0" w:space="0"/>
          <w:right w:val="none" w:color="000000" w:sz="0" w:space="0"/>
        </w:pBdr>
        <w:spacing w:after="120" w:line="460" w:lineRule="atLeast"/>
        <w:ind w:left="420" w:firstLine="562"/>
        <w:jc w:val="center"/>
        <w:rPr>
          <w:color w:val="auto"/>
          <w:highlight w:val="none"/>
          <w:lang w:eastAsia="zh-CN"/>
        </w:rPr>
      </w:pPr>
      <w:r>
        <w:rPr>
          <w:rFonts w:ascii="仿宋" w:hAnsi="仿宋" w:eastAsia="仿宋" w:cs="仿宋"/>
          <w:b/>
          <w:color w:val="auto"/>
          <w:sz w:val="28"/>
          <w:highlight w:val="none"/>
          <w:lang w:eastAsia="zh-CN"/>
        </w:rPr>
        <w:t> </w:t>
      </w:r>
    </w:p>
    <w:p w14:paraId="4D0E9DA6">
      <w:pPr>
        <w:pBdr>
          <w:top w:val="none" w:color="000000" w:sz="0" w:space="0"/>
          <w:left w:val="none" w:color="000000" w:sz="0" w:space="0"/>
          <w:bottom w:val="none" w:color="000000" w:sz="0" w:space="0"/>
          <w:right w:val="none" w:color="000000" w:sz="0" w:space="0"/>
        </w:pBdr>
        <w:spacing w:after="120" w:line="460" w:lineRule="atLeast"/>
        <w:ind w:left="420" w:firstLine="562"/>
        <w:jc w:val="center"/>
        <w:rPr>
          <w:color w:val="auto"/>
          <w:highlight w:val="none"/>
          <w:lang w:eastAsia="zh-CN"/>
        </w:rPr>
      </w:pPr>
      <w:r>
        <w:rPr>
          <w:rFonts w:ascii="仿宋" w:hAnsi="仿宋" w:eastAsia="仿宋" w:cs="仿宋"/>
          <w:b/>
          <w:color w:val="auto"/>
          <w:sz w:val="28"/>
          <w:highlight w:val="none"/>
          <w:lang w:eastAsia="zh-CN"/>
        </w:rPr>
        <w:t> </w:t>
      </w:r>
    </w:p>
    <w:p w14:paraId="195DC310">
      <w:pPr>
        <w:pBdr>
          <w:top w:val="none" w:color="000000" w:sz="0" w:space="0"/>
          <w:left w:val="none" w:color="000000" w:sz="0" w:space="0"/>
          <w:bottom w:val="none" w:color="000000" w:sz="0" w:space="0"/>
          <w:right w:val="none" w:color="000000" w:sz="0" w:space="0"/>
        </w:pBdr>
        <w:spacing w:after="120" w:line="460" w:lineRule="atLeast"/>
        <w:ind w:left="420" w:firstLine="562"/>
        <w:jc w:val="center"/>
        <w:rPr>
          <w:color w:val="auto"/>
          <w:highlight w:val="none"/>
          <w:lang w:eastAsia="zh-CN"/>
        </w:rPr>
      </w:pPr>
      <w:r>
        <w:rPr>
          <w:rFonts w:ascii="仿宋" w:hAnsi="仿宋" w:eastAsia="仿宋" w:cs="仿宋"/>
          <w:b/>
          <w:color w:val="auto"/>
          <w:sz w:val="28"/>
          <w:highlight w:val="none"/>
          <w:lang w:eastAsia="zh-CN"/>
        </w:rPr>
        <w:t> </w:t>
      </w:r>
    </w:p>
    <w:p w14:paraId="10147973">
      <w:pPr>
        <w:pBdr>
          <w:top w:val="none" w:color="000000" w:sz="0" w:space="0"/>
          <w:left w:val="none" w:color="000000" w:sz="0" w:space="0"/>
          <w:bottom w:val="none" w:color="000000" w:sz="0" w:space="0"/>
          <w:right w:val="none" w:color="000000" w:sz="0" w:space="0"/>
        </w:pBdr>
        <w:spacing w:after="120" w:line="460" w:lineRule="atLeast"/>
        <w:ind w:left="420" w:firstLine="562"/>
        <w:jc w:val="center"/>
        <w:rPr>
          <w:color w:val="auto"/>
          <w:highlight w:val="none"/>
          <w:lang w:eastAsia="zh-CN"/>
        </w:rPr>
      </w:pPr>
      <w:r>
        <w:rPr>
          <w:rFonts w:ascii="仿宋" w:hAnsi="仿宋" w:eastAsia="仿宋" w:cs="仿宋"/>
          <w:b/>
          <w:color w:val="auto"/>
          <w:sz w:val="28"/>
          <w:highlight w:val="none"/>
          <w:lang w:eastAsia="zh-CN"/>
        </w:rPr>
        <w:t> </w:t>
      </w:r>
    </w:p>
    <w:p w14:paraId="351DDDE5">
      <w:pPr>
        <w:pBdr>
          <w:top w:val="none" w:color="000000" w:sz="0" w:space="0"/>
          <w:left w:val="none" w:color="000000" w:sz="0" w:space="0"/>
          <w:bottom w:val="none" w:color="000000" w:sz="0" w:space="0"/>
          <w:right w:val="none" w:color="000000" w:sz="0" w:space="0"/>
        </w:pBdr>
        <w:spacing w:after="120" w:line="460" w:lineRule="atLeast"/>
        <w:ind w:left="420" w:firstLine="562"/>
        <w:jc w:val="center"/>
        <w:rPr>
          <w:color w:val="auto"/>
          <w:highlight w:val="none"/>
          <w:lang w:eastAsia="zh-CN"/>
        </w:rPr>
      </w:pPr>
      <w:r>
        <w:rPr>
          <w:rFonts w:ascii="仿宋" w:hAnsi="仿宋" w:eastAsia="仿宋" w:cs="仿宋"/>
          <w:b/>
          <w:color w:val="auto"/>
          <w:sz w:val="28"/>
          <w:highlight w:val="none"/>
          <w:lang w:eastAsia="zh-CN"/>
        </w:rPr>
        <w:t> </w:t>
      </w:r>
    </w:p>
    <w:p w14:paraId="55582A0F">
      <w:pPr>
        <w:pBdr>
          <w:top w:val="none" w:color="000000" w:sz="0" w:space="0"/>
          <w:left w:val="none" w:color="000000" w:sz="0" w:space="0"/>
          <w:bottom w:val="none" w:color="000000" w:sz="0" w:space="0"/>
          <w:right w:val="none" w:color="000000" w:sz="0" w:space="0"/>
        </w:pBdr>
        <w:spacing w:after="120" w:line="460" w:lineRule="atLeast"/>
        <w:ind w:left="420" w:firstLine="562"/>
        <w:jc w:val="center"/>
        <w:rPr>
          <w:color w:val="auto"/>
          <w:highlight w:val="none"/>
          <w:lang w:eastAsia="zh-CN"/>
        </w:rPr>
      </w:pPr>
      <w:r>
        <w:rPr>
          <w:rFonts w:ascii="仿宋" w:hAnsi="仿宋" w:eastAsia="仿宋" w:cs="仿宋"/>
          <w:b/>
          <w:color w:val="auto"/>
          <w:sz w:val="28"/>
          <w:highlight w:val="none"/>
          <w:lang w:eastAsia="zh-CN"/>
        </w:rPr>
        <w:t> </w:t>
      </w:r>
    </w:p>
    <w:p w14:paraId="7A748F23">
      <w:pPr>
        <w:pBdr>
          <w:top w:val="none" w:color="000000" w:sz="0" w:space="0"/>
          <w:left w:val="none" w:color="000000" w:sz="0" w:space="0"/>
          <w:bottom w:val="none" w:color="000000" w:sz="0" w:space="0"/>
          <w:right w:val="none" w:color="000000" w:sz="0" w:space="0"/>
        </w:pBdr>
        <w:spacing w:after="120" w:line="460" w:lineRule="atLeast"/>
        <w:ind w:left="420" w:firstLine="562"/>
        <w:jc w:val="center"/>
        <w:rPr>
          <w:color w:val="auto"/>
          <w:highlight w:val="none"/>
          <w:lang w:eastAsia="zh-CN"/>
        </w:rPr>
      </w:pPr>
      <w:r>
        <w:rPr>
          <w:rFonts w:ascii="仿宋" w:hAnsi="仿宋" w:eastAsia="仿宋" w:cs="仿宋"/>
          <w:b/>
          <w:color w:val="auto"/>
          <w:sz w:val="28"/>
          <w:highlight w:val="none"/>
          <w:lang w:eastAsia="zh-CN"/>
        </w:rPr>
        <w:t> </w:t>
      </w:r>
    </w:p>
    <w:p w14:paraId="0B910607">
      <w:pPr>
        <w:pBdr>
          <w:top w:val="none" w:color="000000" w:sz="0" w:space="0"/>
          <w:left w:val="none" w:color="000000" w:sz="0" w:space="0"/>
          <w:bottom w:val="none" w:color="000000" w:sz="0" w:space="0"/>
          <w:right w:val="none" w:color="000000" w:sz="0" w:space="0"/>
        </w:pBdr>
        <w:spacing w:after="120" w:line="460" w:lineRule="atLeast"/>
        <w:ind w:left="420" w:firstLine="562"/>
        <w:jc w:val="center"/>
        <w:rPr>
          <w:color w:val="auto"/>
          <w:highlight w:val="none"/>
          <w:lang w:eastAsia="zh-CN"/>
        </w:rPr>
      </w:pPr>
      <w:r>
        <w:rPr>
          <w:rFonts w:ascii="仿宋" w:hAnsi="仿宋" w:eastAsia="仿宋" w:cs="仿宋"/>
          <w:b/>
          <w:color w:val="auto"/>
          <w:sz w:val="28"/>
          <w:highlight w:val="none"/>
          <w:lang w:eastAsia="zh-CN"/>
        </w:rPr>
        <w:t> </w:t>
      </w:r>
    </w:p>
    <w:p w14:paraId="54B41EEB">
      <w:pPr>
        <w:pBdr>
          <w:top w:val="none" w:color="000000" w:sz="0" w:space="0"/>
          <w:left w:val="none" w:color="000000" w:sz="0" w:space="0"/>
          <w:bottom w:val="none" w:color="000000" w:sz="0" w:space="0"/>
          <w:right w:val="none" w:color="000000" w:sz="0" w:space="0"/>
        </w:pBdr>
        <w:spacing w:after="120" w:line="460" w:lineRule="atLeast"/>
        <w:ind w:left="420" w:firstLine="562"/>
        <w:jc w:val="center"/>
        <w:rPr>
          <w:color w:val="auto"/>
          <w:highlight w:val="none"/>
          <w:lang w:eastAsia="zh-CN"/>
        </w:rPr>
      </w:pPr>
      <w:r>
        <w:rPr>
          <w:rFonts w:ascii="仿宋" w:hAnsi="仿宋" w:eastAsia="仿宋" w:cs="仿宋"/>
          <w:b/>
          <w:color w:val="auto"/>
          <w:sz w:val="28"/>
          <w:highlight w:val="none"/>
          <w:lang w:eastAsia="zh-CN"/>
        </w:rPr>
        <w:t> </w:t>
      </w:r>
    </w:p>
    <w:p w14:paraId="66C204F0">
      <w:pPr>
        <w:pBdr>
          <w:top w:val="none" w:color="000000" w:sz="0" w:space="0"/>
          <w:left w:val="none" w:color="000000" w:sz="0" w:space="0"/>
          <w:bottom w:val="none" w:color="000000" w:sz="0" w:space="0"/>
          <w:right w:val="none" w:color="000000" w:sz="0" w:space="0"/>
        </w:pBdr>
        <w:spacing w:after="120" w:line="460" w:lineRule="atLeast"/>
        <w:ind w:left="420" w:firstLine="562"/>
        <w:jc w:val="center"/>
        <w:rPr>
          <w:color w:val="auto"/>
          <w:highlight w:val="none"/>
          <w:lang w:eastAsia="zh-CN"/>
        </w:rPr>
      </w:pPr>
      <w:r>
        <w:rPr>
          <w:rFonts w:ascii="仿宋" w:hAnsi="仿宋" w:eastAsia="仿宋" w:cs="仿宋"/>
          <w:b/>
          <w:color w:val="auto"/>
          <w:sz w:val="28"/>
          <w:highlight w:val="none"/>
          <w:lang w:eastAsia="zh-CN"/>
        </w:rPr>
        <w:t> </w:t>
      </w:r>
    </w:p>
    <w:p w14:paraId="116CF828">
      <w:pPr>
        <w:pBdr>
          <w:top w:val="none" w:color="000000" w:sz="0" w:space="0"/>
          <w:left w:val="none" w:color="000000" w:sz="0" w:space="0"/>
          <w:bottom w:val="none" w:color="000000" w:sz="0" w:space="0"/>
          <w:right w:val="none" w:color="000000" w:sz="0" w:space="0"/>
        </w:pBdr>
        <w:spacing w:after="120" w:line="460" w:lineRule="atLeast"/>
        <w:ind w:left="420" w:firstLine="562"/>
        <w:jc w:val="center"/>
        <w:rPr>
          <w:rFonts w:ascii="Calibri" w:hAnsi="Calibri" w:eastAsia="Calibri" w:cs="Calibri"/>
          <w:color w:val="auto"/>
          <w:highlight w:val="none"/>
          <w:lang w:eastAsia="zh-CN"/>
        </w:rPr>
      </w:pPr>
    </w:p>
    <w:p w14:paraId="1C2C0BD3">
      <w:pPr>
        <w:pBdr>
          <w:top w:val="none" w:color="000000" w:sz="0" w:space="0"/>
          <w:left w:val="none" w:color="000000" w:sz="0" w:space="0"/>
          <w:bottom w:val="none" w:color="000000" w:sz="0" w:space="0"/>
          <w:right w:val="none" w:color="000000" w:sz="0" w:space="0"/>
        </w:pBdr>
        <w:spacing w:after="120" w:line="460" w:lineRule="atLeast"/>
        <w:ind w:left="420" w:firstLine="562"/>
        <w:jc w:val="center"/>
        <w:rPr>
          <w:rFonts w:hint="eastAsia" w:ascii="仿宋" w:hAnsi="仿宋" w:eastAsia="仿宋" w:cs="仿宋"/>
          <w:b/>
          <w:bCs/>
          <w:color w:val="auto"/>
          <w:sz w:val="28"/>
          <w:szCs w:val="28"/>
          <w:highlight w:val="none"/>
          <w:lang w:eastAsia="zh-CN"/>
        </w:rPr>
      </w:pPr>
      <w:r>
        <w:rPr>
          <w:rFonts w:ascii="仿宋" w:hAnsi="仿宋" w:eastAsia="仿宋" w:cs="仿宋"/>
          <w:b/>
          <w:color w:val="auto"/>
          <w:sz w:val="28"/>
          <w:highlight w:val="none"/>
          <w:lang w:eastAsia="zh-CN"/>
        </w:rPr>
        <w:t> </w:t>
      </w:r>
    </w:p>
    <w:p w14:paraId="7ABDE082">
      <w:pPr>
        <w:pBdr>
          <w:top w:val="none" w:color="000000" w:sz="0" w:space="0"/>
          <w:left w:val="none" w:color="000000" w:sz="0" w:space="0"/>
          <w:bottom w:val="none" w:color="000000" w:sz="0" w:space="0"/>
          <w:right w:val="none" w:color="000000" w:sz="0" w:space="0"/>
        </w:pBdr>
        <w:spacing w:after="120" w:line="460" w:lineRule="atLeast"/>
        <w:jc w:val="center"/>
        <w:rPr>
          <w:rFonts w:hint="eastAsia" w:ascii="仿宋" w:hAnsi="仿宋" w:eastAsia="仿宋" w:cs="仿宋"/>
          <w:b/>
          <w:bCs/>
          <w:color w:val="auto"/>
          <w:sz w:val="28"/>
          <w:szCs w:val="28"/>
          <w:highlight w:val="none"/>
          <w:lang w:eastAsia="zh-CN"/>
        </w:rPr>
      </w:pPr>
      <w:r>
        <w:rPr>
          <w:rFonts w:ascii="仿宋" w:hAnsi="仿宋" w:eastAsia="仿宋" w:cs="仿宋"/>
          <w:b/>
          <w:color w:val="auto"/>
          <w:sz w:val="28"/>
          <w:highlight w:val="none"/>
          <w:lang w:eastAsia="zh-CN"/>
        </w:rPr>
        <w:t>5、供应商响应文件函</w:t>
      </w:r>
    </w:p>
    <w:p w14:paraId="514E3059">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致：</w:t>
      </w:r>
      <w:r>
        <w:rPr>
          <w:rFonts w:ascii="仿宋" w:hAnsi="仿宋" w:eastAsia="仿宋" w:cs="仿宋"/>
          <w:color w:val="auto"/>
          <w:sz w:val="24"/>
          <w:highlight w:val="none"/>
          <w:u w:val="single"/>
          <w:lang w:eastAsia="zh-CN"/>
        </w:rPr>
        <w:t>（采购人）</w:t>
      </w:r>
    </w:p>
    <w:p w14:paraId="1CCEF5CA">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根据贵方的竞争性磋商文件，正式授权下述签字人</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 (姓名和职务)代表我方</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（供应商的名称），全权处理本次项目磋商采购的有关事宜。据此函，</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（签字人）兹宣布同意如下：</w:t>
      </w:r>
    </w:p>
    <w:p w14:paraId="289FBCB3">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（1）按磋商文件规定的各项要求，向买方提供所需服务。</w:t>
      </w:r>
    </w:p>
    <w:p w14:paraId="0B1E98FA">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（2）我们已详细审核全部磋商文件及其有效补充文件，我们知道必须放弃提出含糊不清或误解问题的权利。</w:t>
      </w:r>
    </w:p>
    <w:p w14:paraId="1C6594B9">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（3）我们同意从规定的响应文件接收截止时间起遵循本响应文件，并在规定的磋商有效期期满之前均具有约束力。</w:t>
      </w:r>
    </w:p>
    <w:p w14:paraId="010166C8">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（4）如果在响应文件接收截止时间后规定的磋商有效期内撤回响应文件或成交后拒绝签订合同，我们愿按采购文件接收贵方处罚。</w:t>
      </w:r>
    </w:p>
    <w:p w14:paraId="721304D2">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（5）同意向贵方提供贵方可能另外要求的与磋商采购有关的任何证据或资料，并保证我方已提供和将要提供的文件是真实的、准确的。</w:t>
      </w:r>
    </w:p>
    <w:p w14:paraId="60312EEE">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（6）一旦我方成交，我方将根据磋商文件的规定，严格履行合同的责任和义务，并保证在磋商文件规定的时间完成项目，交付买方验收、使用。</w:t>
      </w:r>
    </w:p>
    <w:p w14:paraId="1B222EF4">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（7）遵守磋商文件中要求的收费项目和标准。</w:t>
      </w:r>
    </w:p>
    <w:p w14:paraId="570486B7">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（8）与本磋商采购有关的正式通讯地址为：</w:t>
      </w:r>
    </w:p>
    <w:p w14:paraId="584D2286">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地址：             邮编：</w:t>
      </w:r>
    </w:p>
    <w:p w14:paraId="5A924A00">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 </w:t>
      </w:r>
    </w:p>
    <w:p w14:paraId="61D1B360">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电话：             传真：</w:t>
      </w:r>
    </w:p>
    <w:p w14:paraId="34ED48BB">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 </w:t>
      </w:r>
    </w:p>
    <w:p w14:paraId="6F407F75">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供应商开户行：     账户：</w:t>
      </w:r>
    </w:p>
    <w:p w14:paraId="5E4ABD6F">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 </w:t>
      </w:r>
    </w:p>
    <w:p w14:paraId="69215F30">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法定代表人或授权代表姓名（签字）：     联系电话：</w:t>
      </w:r>
    </w:p>
    <w:p w14:paraId="767083FB">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 </w:t>
      </w:r>
    </w:p>
    <w:p w14:paraId="249CD0E4">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供应商名称（公章）：</w:t>
      </w:r>
    </w:p>
    <w:p w14:paraId="71DAAA08">
      <w:pPr>
        <w:pBdr>
          <w:top w:val="none" w:color="000000" w:sz="0" w:space="0"/>
          <w:left w:val="none" w:color="000000" w:sz="0" w:space="0"/>
          <w:bottom w:val="none" w:color="000000" w:sz="0" w:space="0"/>
          <w:right w:val="none" w:color="000000" w:sz="0" w:space="0"/>
        </w:pBdr>
        <w:spacing w:after="0" w:line="460" w:lineRule="atLeast"/>
        <w:ind w:firstLine="480"/>
        <w:jc w:val="both"/>
        <w:rPr>
          <w:color w:val="auto"/>
          <w:highlight w:val="none"/>
          <w:lang w:eastAsia="zh-CN"/>
        </w:rPr>
      </w:pPr>
      <w:r>
        <w:rPr>
          <w:rFonts w:ascii="仿宋" w:hAnsi="仿宋" w:eastAsia="仿宋" w:cs="仿宋"/>
          <w:color w:val="auto"/>
          <w:sz w:val="24"/>
          <w:highlight w:val="none"/>
          <w:lang w:eastAsia="zh-CN"/>
        </w:rPr>
        <w:t>日期：</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年</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月</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日</w:t>
      </w:r>
    </w:p>
    <w:p w14:paraId="49CC4285">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8"/>
          <w:highlight w:val="none"/>
          <w:lang w:eastAsia="zh-CN"/>
        </w:rPr>
        <w:t> </w:t>
      </w:r>
    </w:p>
    <w:p w14:paraId="7B09BA69">
      <w:pPr>
        <w:pBdr>
          <w:top w:val="none" w:color="000000" w:sz="0" w:space="0"/>
          <w:left w:val="none" w:color="000000" w:sz="0" w:space="0"/>
          <w:bottom w:val="none" w:color="000000" w:sz="0" w:space="0"/>
          <w:right w:val="none" w:color="000000" w:sz="0" w:space="0"/>
        </w:pBdr>
        <w:spacing w:after="0"/>
        <w:jc w:val="both"/>
        <w:rPr>
          <w:rFonts w:ascii="Times New Roman" w:hAnsi="Times New Roman" w:eastAsia="Times New Roman" w:cs="Times New Roman"/>
          <w:color w:val="auto"/>
          <w:highlight w:val="none"/>
          <w:lang w:eastAsia="zh-CN"/>
        </w:rPr>
      </w:pPr>
      <w:r>
        <w:rPr>
          <w:rFonts w:ascii="Times New Roman" w:hAnsi="Times New Roman" w:eastAsia="Times New Roman" w:cs="Times New Roman"/>
          <w:color w:val="auto"/>
          <w:highlight w:val="none"/>
          <w:lang w:eastAsia="zh-CN"/>
        </w:rPr>
        <w:t> </w:t>
      </w:r>
    </w:p>
    <w:p w14:paraId="3B7CA27F">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72F5BDA4">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7CE4FE77">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lang w:eastAsia="zh-CN"/>
        </w:rPr>
      </w:pPr>
      <w:r>
        <w:rPr>
          <w:rFonts w:ascii="仿宋" w:hAnsi="仿宋" w:eastAsia="仿宋" w:cs="仿宋"/>
          <w:color w:val="auto"/>
          <w:sz w:val="28"/>
          <w:highlight w:val="none"/>
          <w:lang w:eastAsia="zh-CN"/>
        </w:rPr>
        <w:t>第二部分  商务技术标主要内容（单独密封）</w:t>
      </w:r>
    </w:p>
    <w:p w14:paraId="3DB493E3">
      <w:pPr>
        <w:pBdr>
          <w:top w:val="none" w:color="000000" w:sz="0" w:space="0"/>
          <w:left w:val="none" w:color="000000" w:sz="0" w:space="0"/>
          <w:bottom w:val="none" w:color="000000" w:sz="0" w:space="0"/>
          <w:right w:val="none" w:color="000000" w:sz="0" w:space="0"/>
        </w:pBdr>
        <w:spacing w:after="0" w:line="460" w:lineRule="atLeast"/>
        <w:jc w:val="center"/>
        <w:rPr>
          <w:color w:val="auto"/>
          <w:highlight w:val="none"/>
          <w:lang w:eastAsia="zh-CN"/>
        </w:rPr>
      </w:pPr>
      <w:r>
        <w:rPr>
          <w:rFonts w:ascii="仿宋" w:hAnsi="仿宋" w:eastAsia="仿宋" w:cs="仿宋"/>
          <w:color w:val="auto"/>
          <w:sz w:val="24"/>
          <w:highlight w:val="none"/>
          <w:lang w:eastAsia="zh-CN"/>
        </w:rPr>
        <w:t> </w:t>
      </w:r>
    </w:p>
    <w:p w14:paraId="21268AF0">
      <w:pPr>
        <w:pBdr>
          <w:top w:val="none" w:color="000000" w:sz="0" w:space="0"/>
          <w:left w:val="none" w:color="000000" w:sz="0" w:space="0"/>
          <w:bottom w:val="none" w:color="000000" w:sz="0" w:space="0"/>
          <w:right w:val="none" w:color="000000" w:sz="0" w:space="0"/>
        </w:pBdr>
        <w:spacing w:after="0" w:line="460" w:lineRule="atLeast"/>
        <w:ind w:left="420"/>
        <w:jc w:val="center"/>
        <w:rPr>
          <w:color w:val="auto"/>
          <w:highlight w:val="none"/>
          <w:lang w:eastAsia="zh-CN"/>
        </w:rPr>
      </w:pPr>
      <w:r>
        <w:rPr>
          <w:rFonts w:ascii="仿宋" w:hAnsi="仿宋" w:eastAsia="仿宋" w:cs="仿宋"/>
          <w:b/>
          <w:color w:val="auto"/>
          <w:sz w:val="40"/>
          <w:highlight w:val="none"/>
          <w:lang w:eastAsia="zh-CN"/>
        </w:rPr>
        <w:t>目录</w:t>
      </w:r>
    </w:p>
    <w:p w14:paraId="3E9C7EE7">
      <w:pPr>
        <w:pBdr>
          <w:top w:val="none" w:color="000000" w:sz="0" w:space="0"/>
          <w:left w:val="none" w:color="000000" w:sz="0" w:space="0"/>
          <w:bottom w:val="none" w:color="000000" w:sz="0" w:space="0"/>
          <w:right w:val="none" w:color="000000" w:sz="0" w:space="0"/>
        </w:pBdr>
        <w:spacing w:after="0" w:line="460" w:lineRule="atLeast"/>
        <w:ind w:left="420"/>
        <w:jc w:val="center"/>
        <w:rPr>
          <w:color w:val="auto"/>
          <w:highlight w:val="none"/>
          <w:lang w:eastAsia="zh-CN"/>
        </w:rPr>
      </w:pPr>
      <w:r>
        <w:rPr>
          <w:rFonts w:ascii="仿宋" w:hAnsi="仿宋" w:eastAsia="仿宋" w:cs="仿宋"/>
          <w:color w:val="auto"/>
          <w:sz w:val="24"/>
          <w:highlight w:val="none"/>
          <w:lang w:eastAsia="zh-CN"/>
        </w:rPr>
        <w:t> </w:t>
      </w:r>
    </w:p>
    <w:p w14:paraId="355D92F3">
      <w:pPr>
        <w:pBdr>
          <w:top w:val="none" w:color="000000" w:sz="0" w:space="0"/>
          <w:left w:val="none" w:color="000000" w:sz="0" w:space="0"/>
          <w:bottom w:val="none" w:color="000000" w:sz="0" w:space="0"/>
          <w:right w:val="none" w:color="000000" w:sz="0" w:space="0"/>
        </w:pBdr>
        <w:spacing w:after="0" w:line="85" w:lineRule="atLeast"/>
        <w:jc w:val="both"/>
        <w:rPr>
          <w:color w:val="auto"/>
          <w:highlight w:val="none"/>
          <w:lang w:eastAsia="zh-CN"/>
        </w:rPr>
      </w:pPr>
      <w:r>
        <w:rPr>
          <w:rFonts w:ascii="仿宋" w:hAnsi="仿宋" w:eastAsia="仿宋" w:cs="仿宋"/>
          <w:b/>
          <w:color w:val="auto"/>
          <w:sz w:val="24"/>
          <w:highlight w:val="none"/>
          <w:lang w:eastAsia="zh-CN"/>
        </w:rPr>
        <w:t>商务技术标包（应包括但不限于以下内容。不得出现报价，否则为废标）：</w:t>
      </w:r>
    </w:p>
    <w:p w14:paraId="694C5246">
      <w:pPr>
        <w:pBdr>
          <w:top w:val="none" w:color="000000" w:sz="0" w:space="0"/>
          <w:left w:val="none" w:color="000000" w:sz="0" w:space="0"/>
          <w:bottom w:val="none" w:color="000000" w:sz="0" w:space="0"/>
          <w:right w:val="none" w:color="000000" w:sz="0" w:space="0"/>
        </w:pBdr>
        <w:spacing w:after="0" w:line="85" w:lineRule="atLeast"/>
        <w:ind w:firstLine="480"/>
        <w:rPr>
          <w:color w:val="auto"/>
          <w:highlight w:val="none"/>
          <w:lang w:eastAsia="zh-CN"/>
        </w:rPr>
      </w:pPr>
      <w:r>
        <w:rPr>
          <w:rFonts w:ascii="仿宋" w:hAnsi="仿宋" w:eastAsia="仿宋" w:cs="仿宋"/>
          <w:color w:val="auto"/>
          <w:sz w:val="24"/>
          <w:highlight w:val="none"/>
          <w:lang w:eastAsia="zh-CN"/>
        </w:rPr>
        <w:t>1、封面</w:t>
      </w:r>
    </w:p>
    <w:p w14:paraId="773ED4E0">
      <w:pPr>
        <w:pBdr>
          <w:top w:val="none" w:color="000000" w:sz="0" w:space="0"/>
          <w:left w:val="none" w:color="000000" w:sz="0" w:space="0"/>
          <w:bottom w:val="none" w:color="000000" w:sz="0" w:space="0"/>
          <w:right w:val="none" w:color="000000" w:sz="0" w:space="0"/>
        </w:pBdr>
        <w:spacing w:after="0" w:line="85" w:lineRule="atLeast"/>
        <w:ind w:firstLine="480"/>
        <w:rPr>
          <w:color w:val="auto"/>
          <w:highlight w:val="none"/>
          <w:lang w:eastAsia="zh-CN"/>
        </w:rPr>
      </w:pPr>
      <w:r>
        <w:rPr>
          <w:rFonts w:ascii="仿宋" w:hAnsi="仿宋" w:eastAsia="仿宋" w:cs="仿宋"/>
          <w:color w:val="auto"/>
          <w:sz w:val="24"/>
          <w:highlight w:val="none"/>
          <w:lang w:eastAsia="zh-CN"/>
        </w:rPr>
        <w:t>2、磋商响应函</w:t>
      </w:r>
    </w:p>
    <w:p w14:paraId="72BF5242">
      <w:pPr>
        <w:pBdr>
          <w:top w:val="none" w:color="000000" w:sz="0" w:space="0"/>
          <w:left w:val="none" w:color="000000" w:sz="0" w:space="0"/>
          <w:bottom w:val="none" w:color="000000" w:sz="0" w:space="0"/>
          <w:right w:val="none" w:color="000000" w:sz="0" w:space="0"/>
        </w:pBdr>
        <w:spacing w:after="0" w:line="85" w:lineRule="atLeast"/>
        <w:ind w:firstLine="480"/>
        <w:rPr>
          <w:color w:val="auto"/>
          <w:highlight w:val="none"/>
          <w:lang w:eastAsia="zh-CN"/>
        </w:rPr>
      </w:pPr>
      <w:r>
        <w:rPr>
          <w:rFonts w:ascii="仿宋" w:hAnsi="仿宋" w:eastAsia="仿宋" w:cs="仿宋"/>
          <w:color w:val="auto"/>
          <w:sz w:val="24"/>
          <w:highlight w:val="none"/>
          <w:lang w:eastAsia="zh-CN"/>
        </w:rPr>
        <w:t>3、根据第六章“评标办法”2.2.2 条款技术标的评审因素及评审标准提供相关投标资料。</w:t>
      </w:r>
    </w:p>
    <w:p w14:paraId="3704303D">
      <w:pPr>
        <w:pBdr>
          <w:top w:val="none" w:color="000000" w:sz="0" w:space="0"/>
          <w:left w:val="none" w:color="000000" w:sz="0" w:space="0"/>
          <w:bottom w:val="none" w:color="000000" w:sz="0" w:space="0"/>
          <w:right w:val="none" w:color="000000" w:sz="0" w:space="0"/>
        </w:pBdr>
        <w:spacing w:after="0" w:line="85" w:lineRule="atLeast"/>
        <w:ind w:firstLine="480"/>
        <w:rPr>
          <w:color w:val="auto"/>
          <w:highlight w:val="none"/>
          <w:lang w:eastAsia="zh-CN"/>
        </w:rPr>
      </w:pPr>
      <w:r>
        <w:rPr>
          <w:rFonts w:ascii="仿宋" w:hAnsi="仿宋" w:eastAsia="仿宋" w:cs="仿宋"/>
          <w:color w:val="auto"/>
          <w:sz w:val="24"/>
          <w:highlight w:val="none"/>
          <w:lang w:eastAsia="zh-CN"/>
        </w:rPr>
        <w:t>4、商务部分正负偏离表；</w:t>
      </w:r>
    </w:p>
    <w:p w14:paraId="64769989">
      <w:pPr>
        <w:pBdr>
          <w:top w:val="none" w:color="000000" w:sz="0" w:space="0"/>
          <w:left w:val="none" w:color="000000" w:sz="0" w:space="0"/>
          <w:bottom w:val="none" w:color="000000" w:sz="0" w:space="0"/>
          <w:right w:val="none" w:color="000000" w:sz="0" w:space="0"/>
        </w:pBdr>
        <w:spacing w:after="0" w:line="85" w:lineRule="atLeast"/>
        <w:ind w:firstLine="480"/>
        <w:rPr>
          <w:color w:val="auto"/>
          <w:highlight w:val="none"/>
          <w:lang w:eastAsia="zh-CN"/>
        </w:rPr>
      </w:pPr>
      <w:r>
        <w:rPr>
          <w:rFonts w:ascii="仿宋" w:hAnsi="仿宋" w:eastAsia="仿宋" w:cs="仿宋"/>
          <w:color w:val="auto"/>
          <w:sz w:val="24"/>
          <w:highlight w:val="none"/>
          <w:lang w:eastAsia="zh-CN"/>
        </w:rPr>
        <w:t>5、技术部分正负偏离表；</w:t>
      </w:r>
    </w:p>
    <w:p w14:paraId="02E73B0F">
      <w:pPr>
        <w:pBdr>
          <w:top w:val="none" w:color="000000" w:sz="0" w:space="0"/>
          <w:left w:val="none" w:color="000000" w:sz="0" w:space="0"/>
          <w:bottom w:val="none" w:color="000000" w:sz="0" w:space="0"/>
          <w:right w:val="none" w:color="000000" w:sz="0" w:space="0"/>
        </w:pBdr>
        <w:spacing w:after="0" w:line="85" w:lineRule="atLeast"/>
        <w:ind w:firstLine="480"/>
        <w:rPr>
          <w:color w:val="auto"/>
          <w:highlight w:val="none"/>
          <w:lang w:eastAsia="zh-CN"/>
        </w:rPr>
      </w:pPr>
      <w:r>
        <w:rPr>
          <w:rFonts w:ascii="仿宋" w:hAnsi="仿宋" w:eastAsia="仿宋" w:cs="仿宋"/>
          <w:color w:val="auto"/>
          <w:sz w:val="24"/>
          <w:highlight w:val="none"/>
          <w:lang w:eastAsia="zh-CN"/>
        </w:rPr>
        <w:t>6、磋商供应商认为需提交的其他技术标资料</w:t>
      </w:r>
    </w:p>
    <w:p w14:paraId="27332B35">
      <w:pPr>
        <w:pBdr>
          <w:top w:val="none" w:color="000000" w:sz="0" w:space="0"/>
          <w:left w:val="none" w:color="000000" w:sz="0" w:space="0"/>
          <w:bottom w:val="none" w:color="000000" w:sz="0" w:space="0"/>
          <w:right w:val="none" w:color="000000" w:sz="0" w:space="0"/>
        </w:pBdr>
        <w:spacing w:after="0" w:line="85" w:lineRule="atLeast"/>
        <w:ind w:firstLine="480"/>
        <w:rPr>
          <w:color w:val="auto"/>
          <w:highlight w:val="none"/>
          <w:lang w:eastAsia="zh-CN"/>
        </w:rPr>
      </w:pPr>
      <w:r>
        <w:rPr>
          <w:rFonts w:ascii="仿宋" w:hAnsi="仿宋" w:eastAsia="仿宋" w:cs="仿宋"/>
          <w:color w:val="auto"/>
          <w:sz w:val="24"/>
          <w:highlight w:val="none"/>
          <w:lang w:eastAsia="zh-CN"/>
        </w:rPr>
        <w:t> </w:t>
      </w:r>
    </w:p>
    <w:p w14:paraId="00D2A1AF">
      <w:pPr>
        <w:pBdr>
          <w:top w:val="none" w:color="000000" w:sz="0" w:space="0"/>
          <w:left w:val="none" w:color="000000" w:sz="0" w:space="0"/>
          <w:bottom w:val="none" w:color="000000" w:sz="0" w:space="0"/>
          <w:right w:val="none" w:color="000000" w:sz="0" w:space="0"/>
        </w:pBdr>
        <w:spacing w:after="0" w:line="85" w:lineRule="atLeast"/>
        <w:ind w:firstLine="482"/>
        <w:rPr>
          <w:color w:val="auto"/>
          <w:highlight w:val="none"/>
          <w:lang w:eastAsia="zh-CN"/>
        </w:rPr>
      </w:pPr>
      <w:r>
        <w:rPr>
          <w:rFonts w:ascii="仿宋" w:hAnsi="仿宋" w:eastAsia="仿宋" w:cs="仿宋"/>
          <w:b/>
          <w:color w:val="auto"/>
          <w:sz w:val="24"/>
          <w:highlight w:val="none"/>
          <w:lang w:eastAsia="zh-CN"/>
        </w:rPr>
        <w:t>注明：1、各投标单位根据本项目的技术标文件目录中的内容按顺序编制目录（包含索引表）和页码范围（各条款的具体内容及要求请按照本磋商文件“评标办法”</w:t>
      </w:r>
      <w:r>
        <w:rPr>
          <w:rFonts w:hint="eastAsia" w:ascii="仿宋" w:hAnsi="仿宋" w:eastAsia="仿宋" w:cs="仿宋"/>
          <w:b/>
          <w:color w:val="auto"/>
          <w:sz w:val="24"/>
          <w:highlight w:val="none"/>
          <w:lang w:val="en-US" w:eastAsia="zh-CN"/>
        </w:rPr>
        <w:t>商务技术</w:t>
      </w:r>
      <w:r>
        <w:rPr>
          <w:rFonts w:ascii="仿宋" w:hAnsi="仿宋" w:eastAsia="仿宋" w:cs="仿宋"/>
          <w:b/>
          <w:color w:val="auto"/>
          <w:sz w:val="24"/>
          <w:highlight w:val="none"/>
          <w:lang w:eastAsia="zh-CN"/>
        </w:rPr>
        <w:t>的评审因素及评审标准提供相关投标资料），</w:t>
      </w:r>
      <w:r>
        <w:rPr>
          <w:rFonts w:hint="eastAsia" w:ascii="仿宋" w:hAnsi="仿宋" w:eastAsia="仿宋" w:cs="仿宋"/>
          <w:b/>
          <w:color w:val="auto"/>
          <w:sz w:val="24"/>
          <w:highlight w:val="none"/>
          <w:lang w:val="en-US" w:eastAsia="zh-CN"/>
        </w:rPr>
        <w:t>商务</w:t>
      </w:r>
      <w:r>
        <w:rPr>
          <w:rFonts w:ascii="仿宋" w:hAnsi="仿宋" w:eastAsia="仿宋" w:cs="仿宋"/>
          <w:b/>
          <w:color w:val="auto"/>
          <w:sz w:val="24"/>
          <w:highlight w:val="none"/>
          <w:lang w:eastAsia="zh-CN"/>
        </w:rPr>
        <w:t>技术标的以上条款中纸质所有证明材料材料或证书需提供复印件并加盖单位公章，投标文件中资料不清晰或资料不全的不予得分，造成一切后果由投标单位承担。</w:t>
      </w:r>
    </w:p>
    <w:p w14:paraId="6861FE52">
      <w:pPr>
        <w:pBdr>
          <w:top w:val="none" w:color="000000" w:sz="0" w:space="0"/>
          <w:left w:val="none" w:color="000000" w:sz="0" w:space="0"/>
          <w:bottom w:val="none" w:color="000000" w:sz="0" w:space="0"/>
          <w:right w:val="none" w:color="000000" w:sz="0" w:space="0"/>
        </w:pBdr>
        <w:spacing w:after="0" w:line="85" w:lineRule="atLeast"/>
        <w:ind w:firstLine="480"/>
        <w:rPr>
          <w:color w:val="auto"/>
          <w:highlight w:val="none"/>
          <w:lang w:eastAsia="zh-CN"/>
        </w:rPr>
      </w:pPr>
      <w:r>
        <w:rPr>
          <w:rFonts w:ascii="仿宋" w:hAnsi="仿宋" w:eastAsia="仿宋" w:cs="仿宋"/>
          <w:color w:val="auto"/>
          <w:sz w:val="24"/>
          <w:highlight w:val="none"/>
          <w:lang w:eastAsia="zh-CN"/>
        </w:rPr>
        <w:t> </w:t>
      </w:r>
    </w:p>
    <w:p w14:paraId="432A9A7E">
      <w:pPr>
        <w:pBdr>
          <w:top w:val="none" w:color="000000" w:sz="0" w:space="0"/>
          <w:left w:val="none" w:color="000000" w:sz="0" w:space="0"/>
          <w:bottom w:val="none" w:color="000000" w:sz="0" w:space="0"/>
          <w:right w:val="none" w:color="000000" w:sz="0" w:space="0"/>
        </w:pBdr>
        <w:spacing w:after="0" w:line="85" w:lineRule="atLeast"/>
        <w:rPr>
          <w:color w:val="auto"/>
          <w:highlight w:val="none"/>
          <w:lang w:eastAsia="zh-CN"/>
        </w:rPr>
      </w:pPr>
      <w:r>
        <w:rPr>
          <w:color w:val="auto"/>
          <w:highlight w:val="none"/>
          <w:lang w:eastAsia="zh-CN"/>
        </w:rPr>
        <w:br w:type="page" w:clear="all"/>
      </w:r>
    </w:p>
    <w:p w14:paraId="008C2174">
      <w:pPr>
        <w:pBdr>
          <w:top w:val="none" w:color="000000" w:sz="0" w:space="0"/>
          <w:left w:val="none" w:color="000000" w:sz="0" w:space="0"/>
          <w:bottom w:val="none" w:color="000000" w:sz="0" w:space="0"/>
          <w:right w:val="none" w:color="000000" w:sz="0" w:space="0"/>
        </w:pBdr>
        <w:spacing w:after="0" w:line="85" w:lineRule="atLeast"/>
        <w:rPr>
          <w:color w:val="auto"/>
          <w:highlight w:val="none"/>
          <w:lang w:eastAsia="zh-CN"/>
        </w:rPr>
      </w:pPr>
      <w:r>
        <w:rPr>
          <w:rFonts w:ascii="仿宋" w:hAnsi="仿宋" w:eastAsia="仿宋" w:cs="仿宋"/>
          <w:color w:val="auto"/>
          <w:sz w:val="24"/>
          <w:highlight w:val="none"/>
          <w:lang w:eastAsia="zh-CN"/>
        </w:rPr>
        <w:t xml:space="preserve"> </w:t>
      </w:r>
    </w:p>
    <w:p w14:paraId="44F507AB">
      <w:pPr>
        <w:pBdr>
          <w:top w:val="none" w:color="000000" w:sz="0" w:space="0"/>
          <w:left w:val="none" w:color="000000" w:sz="0" w:space="0"/>
          <w:bottom w:val="none" w:color="000000" w:sz="0" w:space="0"/>
          <w:right w:val="none" w:color="000000" w:sz="0" w:space="0"/>
        </w:pBdr>
        <w:spacing w:after="0" w:line="85" w:lineRule="atLeast"/>
        <w:jc w:val="center"/>
        <w:rPr>
          <w:color w:val="auto"/>
          <w:highlight w:val="none"/>
          <w:lang w:eastAsia="zh-CN"/>
        </w:rPr>
      </w:pPr>
      <w:r>
        <w:rPr>
          <w:rFonts w:ascii="仿宋" w:hAnsi="仿宋" w:eastAsia="仿宋" w:cs="仿宋"/>
          <w:color w:val="auto"/>
          <w:sz w:val="32"/>
          <w:highlight w:val="none"/>
          <w:lang w:eastAsia="zh-CN"/>
        </w:rPr>
        <w:t>一、</w:t>
      </w:r>
      <w:r>
        <w:rPr>
          <w:rFonts w:ascii="仿宋" w:hAnsi="仿宋" w:eastAsia="仿宋" w:cs="仿宋"/>
          <w:b/>
          <w:color w:val="auto"/>
          <w:sz w:val="28"/>
          <w:highlight w:val="none"/>
          <w:lang w:eastAsia="zh-CN"/>
        </w:rPr>
        <w:t>磋商响应函</w:t>
      </w:r>
    </w:p>
    <w:p w14:paraId="17F7446C">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eastAsia="zh-CN"/>
        </w:rPr>
        <w:t>采购</w:t>
      </w:r>
      <w:r>
        <w:rPr>
          <w:rFonts w:ascii="仿宋" w:hAnsi="仿宋" w:eastAsia="仿宋" w:cs="仿宋"/>
          <w:color w:val="auto"/>
          <w:sz w:val="24"/>
          <w:highlight w:val="none"/>
          <w:u w:val="single"/>
          <w:lang w:eastAsia="zh-CN"/>
        </w:rPr>
        <w:t>人）</w:t>
      </w:r>
      <w:r>
        <w:rPr>
          <w:rFonts w:ascii="仿宋" w:hAnsi="仿宋" w:eastAsia="仿宋" w:cs="仿宋"/>
          <w:color w:val="auto"/>
          <w:sz w:val="24"/>
          <w:highlight w:val="none"/>
          <w:lang w:eastAsia="zh-CN"/>
        </w:rPr>
        <w:t>：</w:t>
      </w:r>
    </w:p>
    <w:p w14:paraId="4AC9E4DE">
      <w:pPr>
        <w:pBdr>
          <w:top w:val="none" w:color="000000" w:sz="0" w:space="0"/>
          <w:left w:val="none" w:color="000000" w:sz="0" w:space="0"/>
          <w:bottom w:val="none" w:color="000000" w:sz="0" w:space="0"/>
          <w:right w:val="none" w:color="000000" w:sz="0" w:space="0"/>
        </w:pBdr>
        <w:spacing w:after="0" w:line="360" w:lineRule="auto"/>
        <w:ind w:firstLine="480"/>
        <w:jc w:val="both"/>
        <w:rPr>
          <w:color w:val="auto"/>
          <w:highlight w:val="none"/>
          <w:lang w:eastAsia="zh-CN"/>
        </w:rPr>
      </w:pPr>
      <w:r>
        <w:rPr>
          <w:rFonts w:ascii="仿宋" w:hAnsi="仿宋" w:eastAsia="仿宋" w:cs="仿宋"/>
          <w:color w:val="auto"/>
          <w:sz w:val="24"/>
          <w:highlight w:val="none"/>
          <w:lang w:eastAsia="zh-CN"/>
        </w:rPr>
        <w:t>依据贵单位 （采购项目名称及项目编号)项目公开招标的邀请，我方授权（姓名）（职务）为全权代表参加该项目的</w:t>
      </w:r>
      <w:r>
        <w:rPr>
          <w:rFonts w:hint="eastAsia" w:ascii="仿宋" w:hAnsi="仿宋" w:eastAsia="仿宋" w:cs="仿宋"/>
          <w:color w:val="auto"/>
          <w:sz w:val="24"/>
          <w:highlight w:val="none"/>
          <w:lang w:eastAsia="zh-CN"/>
        </w:rPr>
        <w:t>竞争性磋商</w:t>
      </w:r>
      <w:r>
        <w:rPr>
          <w:rFonts w:ascii="仿宋" w:hAnsi="仿宋" w:eastAsia="仿宋" w:cs="仿宋"/>
          <w:color w:val="auto"/>
          <w:sz w:val="24"/>
          <w:highlight w:val="none"/>
          <w:lang w:eastAsia="zh-CN"/>
        </w:rPr>
        <w:t>，全权处理本次</w:t>
      </w:r>
      <w:r>
        <w:rPr>
          <w:rFonts w:hint="eastAsia" w:ascii="仿宋" w:hAnsi="仿宋" w:eastAsia="仿宋" w:cs="仿宋"/>
          <w:color w:val="auto"/>
          <w:sz w:val="24"/>
          <w:highlight w:val="none"/>
          <w:lang w:eastAsia="zh-CN"/>
        </w:rPr>
        <w:t>磋商</w:t>
      </w:r>
      <w:r>
        <w:rPr>
          <w:rFonts w:ascii="仿宋" w:hAnsi="仿宋" w:eastAsia="仿宋" w:cs="仿宋"/>
          <w:color w:val="auto"/>
          <w:sz w:val="24"/>
          <w:highlight w:val="none"/>
          <w:lang w:eastAsia="zh-CN"/>
        </w:rPr>
        <w:t>的有关事宜。同时，我公司声明如下：</w:t>
      </w:r>
    </w:p>
    <w:p w14:paraId="37FCA38E">
      <w:pPr>
        <w:pBdr>
          <w:top w:val="none" w:color="000000" w:sz="0" w:space="0"/>
          <w:left w:val="none" w:color="000000" w:sz="0" w:space="0"/>
          <w:bottom w:val="none" w:color="000000" w:sz="0" w:space="0"/>
          <w:right w:val="none" w:color="000000" w:sz="0" w:space="0"/>
        </w:pBdr>
        <w:spacing w:after="0" w:line="360" w:lineRule="auto"/>
        <w:ind w:firstLine="480"/>
        <w:jc w:val="both"/>
        <w:rPr>
          <w:color w:val="auto"/>
          <w:highlight w:val="none"/>
          <w:lang w:eastAsia="zh-CN"/>
        </w:rPr>
      </w:pPr>
      <w:r>
        <w:rPr>
          <w:rFonts w:ascii="仿宋" w:hAnsi="仿宋" w:eastAsia="仿宋" w:cs="仿宋"/>
          <w:color w:val="auto"/>
          <w:sz w:val="24"/>
          <w:highlight w:val="none"/>
          <w:lang w:eastAsia="zh-CN"/>
        </w:rPr>
        <w:t>1、同意并接受磋商文件的各项要求，遵守磋商文件中的各项规定，按磋商文件的要求提供报价。</w:t>
      </w:r>
    </w:p>
    <w:p w14:paraId="5B207F0F">
      <w:pPr>
        <w:pBdr>
          <w:top w:val="none" w:color="000000" w:sz="0" w:space="0"/>
          <w:left w:val="none" w:color="000000" w:sz="0" w:space="0"/>
          <w:bottom w:val="none" w:color="000000" w:sz="0" w:space="0"/>
          <w:right w:val="none" w:color="000000" w:sz="0" w:space="0"/>
        </w:pBdr>
        <w:spacing w:after="0" w:line="360" w:lineRule="auto"/>
        <w:ind w:firstLine="480"/>
        <w:jc w:val="both"/>
        <w:rPr>
          <w:color w:val="auto"/>
          <w:highlight w:val="none"/>
          <w:lang w:eastAsia="zh-CN"/>
        </w:rPr>
      </w:pPr>
      <w:r>
        <w:rPr>
          <w:rFonts w:ascii="仿宋" w:hAnsi="仿宋" w:eastAsia="仿宋" w:cs="仿宋"/>
          <w:color w:val="auto"/>
          <w:sz w:val="24"/>
          <w:highlight w:val="none"/>
          <w:lang w:eastAsia="zh-CN"/>
        </w:rPr>
        <w:t>2、我公司已经详细阅读了全部磋商文件及其附件，我方已完全清晰理解磋商文件的要求，不存在任何含糊不清和误解之处，同意放弃对这些文件所提出的异议和质疑的权利。</w:t>
      </w:r>
    </w:p>
    <w:p w14:paraId="7D014264">
      <w:pPr>
        <w:pBdr>
          <w:top w:val="none" w:color="000000" w:sz="0" w:space="0"/>
          <w:left w:val="none" w:color="000000" w:sz="0" w:space="0"/>
          <w:bottom w:val="none" w:color="000000" w:sz="0" w:space="0"/>
          <w:right w:val="none" w:color="000000" w:sz="0" w:space="0"/>
        </w:pBdr>
        <w:spacing w:after="0" w:line="360" w:lineRule="auto"/>
        <w:ind w:firstLine="480"/>
        <w:jc w:val="both"/>
        <w:rPr>
          <w:color w:val="auto"/>
          <w:highlight w:val="none"/>
          <w:lang w:eastAsia="zh-CN"/>
        </w:rPr>
      </w:pPr>
      <w:r>
        <w:rPr>
          <w:rFonts w:ascii="仿宋" w:hAnsi="仿宋" w:eastAsia="仿宋" w:cs="仿宋"/>
          <w:color w:val="auto"/>
          <w:sz w:val="24"/>
          <w:highlight w:val="none"/>
          <w:lang w:eastAsia="zh-CN"/>
        </w:rPr>
        <w:t>3、我公司已毫无保留地向贵方提供一切所需的证明材料。</w:t>
      </w:r>
    </w:p>
    <w:p w14:paraId="183C582B">
      <w:pPr>
        <w:pBdr>
          <w:top w:val="none" w:color="000000" w:sz="0" w:space="0"/>
          <w:left w:val="none" w:color="000000" w:sz="0" w:space="0"/>
          <w:bottom w:val="none" w:color="000000" w:sz="0" w:space="0"/>
          <w:right w:val="none" w:color="000000" w:sz="0" w:space="0"/>
        </w:pBdr>
        <w:spacing w:after="0" w:line="360" w:lineRule="auto"/>
        <w:ind w:firstLine="480"/>
        <w:jc w:val="both"/>
        <w:rPr>
          <w:color w:val="auto"/>
          <w:highlight w:val="none"/>
          <w:lang w:eastAsia="zh-CN"/>
        </w:rPr>
      </w:pPr>
      <w:r>
        <w:rPr>
          <w:rFonts w:ascii="仿宋" w:hAnsi="仿宋" w:eastAsia="仿宋" w:cs="仿宋"/>
          <w:color w:val="auto"/>
          <w:sz w:val="24"/>
          <w:highlight w:val="none"/>
          <w:lang w:eastAsia="zh-CN"/>
        </w:rPr>
        <w:t>4、我公司承诺在本次</w:t>
      </w:r>
      <w:r>
        <w:rPr>
          <w:rFonts w:hint="eastAsia" w:ascii="仿宋" w:hAnsi="仿宋" w:eastAsia="仿宋" w:cs="仿宋"/>
          <w:color w:val="auto"/>
          <w:sz w:val="24"/>
          <w:highlight w:val="none"/>
          <w:lang w:eastAsia="zh-CN"/>
        </w:rPr>
        <w:t>磋商响应</w:t>
      </w:r>
      <w:r>
        <w:rPr>
          <w:rFonts w:ascii="仿宋" w:hAnsi="仿宋" w:eastAsia="仿宋" w:cs="仿宋"/>
          <w:color w:val="auto"/>
          <w:sz w:val="24"/>
          <w:highlight w:val="none"/>
          <w:lang w:eastAsia="zh-CN"/>
        </w:rPr>
        <w:t>中提供的一切文件，无论是原件还是复印件均真实合法有效，绝无任何虚假、伪造和夸大的成份。否则，愿承担相应的后果和法律责任。</w:t>
      </w:r>
    </w:p>
    <w:p w14:paraId="7CD1682B">
      <w:pPr>
        <w:pBdr>
          <w:top w:val="none" w:color="000000" w:sz="0" w:space="0"/>
          <w:left w:val="none" w:color="000000" w:sz="0" w:space="0"/>
          <w:bottom w:val="none" w:color="000000" w:sz="0" w:space="0"/>
          <w:right w:val="none" w:color="000000" w:sz="0" w:space="0"/>
        </w:pBdr>
        <w:spacing w:after="0" w:line="360" w:lineRule="auto"/>
        <w:ind w:firstLine="480"/>
        <w:jc w:val="both"/>
        <w:rPr>
          <w:color w:val="auto"/>
          <w:highlight w:val="none"/>
          <w:lang w:eastAsia="zh-CN"/>
        </w:rPr>
      </w:pPr>
      <w:r>
        <w:rPr>
          <w:rFonts w:ascii="仿宋" w:hAnsi="仿宋" w:eastAsia="仿宋" w:cs="仿宋"/>
          <w:color w:val="auto"/>
          <w:sz w:val="24"/>
          <w:highlight w:val="none"/>
          <w:lang w:eastAsia="zh-CN"/>
        </w:rPr>
        <w:t>5、我公司尊重评标委员会所作的评定结果，同时清楚理解到报价最低并非意味着必定获得成交资格。</w:t>
      </w:r>
    </w:p>
    <w:p w14:paraId="634A1D19">
      <w:pPr>
        <w:pBdr>
          <w:top w:val="none" w:color="000000" w:sz="0" w:space="0"/>
          <w:left w:val="none" w:color="000000" w:sz="0" w:space="0"/>
          <w:bottom w:val="none" w:color="000000" w:sz="0" w:space="0"/>
          <w:right w:val="none" w:color="000000" w:sz="0" w:space="0"/>
        </w:pBdr>
        <w:spacing w:after="0" w:line="360" w:lineRule="auto"/>
        <w:ind w:firstLine="480"/>
        <w:jc w:val="both"/>
        <w:rPr>
          <w:color w:val="auto"/>
          <w:highlight w:val="none"/>
          <w:lang w:eastAsia="zh-CN"/>
        </w:rPr>
      </w:pPr>
      <w:r>
        <w:rPr>
          <w:rFonts w:ascii="仿宋" w:hAnsi="仿宋" w:eastAsia="仿宋" w:cs="仿宋"/>
          <w:color w:val="auto"/>
          <w:sz w:val="24"/>
          <w:highlight w:val="none"/>
          <w:lang w:eastAsia="zh-CN"/>
        </w:rPr>
        <w:t>6、一旦我方成交,我方将根据磋商文件的要求和</w:t>
      </w:r>
      <w:r>
        <w:rPr>
          <w:rFonts w:hint="eastAsia" w:ascii="仿宋" w:hAnsi="仿宋" w:eastAsia="仿宋" w:cs="仿宋"/>
          <w:color w:val="auto"/>
          <w:sz w:val="24"/>
          <w:highlight w:val="none"/>
          <w:lang w:eastAsia="zh-CN"/>
        </w:rPr>
        <w:t>磋商响应</w:t>
      </w:r>
      <w:r>
        <w:rPr>
          <w:rFonts w:ascii="仿宋" w:hAnsi="仿宋" w:eastAsia="仿宋" w:cs="仿宋"/>
          <w:color w:val="auto"/>
          <w:sz w:val="24"/>
          <w:highlight w:val="none"/>
          <w:lang w:eastAsia="zh-CN"/>
        </w:rPr>
        <w:t>文件的承诺签订合同，严格履行合同的责任和义务,并保证在磋商文件规定的时间完成项目，交付采购单位验收、使用。</w:t>
      </w:r>
    </w:p>
    <w:p w14:paraId="759542C8">
      <w:pPr>
        <w:pBdr>
          <w:top w:val="none" w:color="000000" w:sz="0" w:space="0"/>
          <w:left w:val="none" w:color="000000" w:sz="0" w:space="0"/>
          <w:bottom w:val="none" w:color="000000" w:sz="0" w:space="0"/>
          <w:right w:val="none" w:color="000000" w:sz="0" w:space="0"/>
        </w:pBdr>
        <w:spacing w:after="0" w:line="85" w:lineRule="atLeast"/>
        <w:ind w:firstLine="1960"/>
        <w:jc w:val="both"/>
        <w:rPr>
          <w:color w:val="auto"/>
          <w:highlight w:val="none"/>
          <w:lang w:eastAsia="zh-CN"/>
        </w:rPr>
      </w:pPr>
      <w:r>
        <w:rPr>
          <w:rFonts w:ascii="仿宋" w:hAnsi="仿宋" w:eastAsia="仿宋" w:cs="仿宋"/>
          <w:color w:val="auto"/>
          <w:sz w:val="28"/>
          <w:highlight w:val="none"/>
          <w:lang w:eastAsia="zh-CN"/>
        </w:rPr>
        <w:t> </w:t>
      </w:r>
    </w:p>
    <w:p w14:paraId="521B2E5F">
      <w:pPr>
        <w:pBdr>
          <w:top w:val="none" w:color="000000" w:sz="0" w:space="0"/>
          <w:left w:val="none" w:color="000000" w:sz="0" w:space="0"/>
          <w:bottom w:val="none" w:color="000000" w:sz="0" w:space="0"/>
          <w:right w:val="none" w:color="000000" w:sz="0" w:space="0"/>
        </w:pBdr>
        <w:spacing w:after="0" w:line="360" w:lineRule="auto"/>
        <w:ind w:firstLine="1680"/>
        <w:jc w:val="right"/>
        <w:rPr>
          <w:color w:val="auto"/>
          <w:highlight w:val="none"/>
          <w:lang w:eastAsia="zh-CN"/>
        </w:rPr>
      </w:pPr>
      <w:r>
        <w:rPr>
          <w:rFonts w:ascii="仿宋" w:hAnsi="仿宋" w:eastAsia="仿宋" w:cs="仿宋"/>
          <w:color w:val="auto"/>
          <w:sz w:val="24"/>
          <w:highlight w:val="none"/>
          <w:lang w:eastAsia="zh-CN"/>
        </w:rPr>
        <w:t>磋商供应商：（加盖公章）</w:t>
      </w:r>
    </w:p>
    <w:p w14:paraId="520455D6">
      <w:pPr>
        <w:pBdr>
          <w:top w:val="none" w:color="000000" w:sz="0" w:space="0"/>
          <w:left w:val="none" w:color="000000" w:sz="0" w:space="0"/>
          <w:bottom w:val="none" w:color="000000" w:sz="0" w:space="0"/>
          <w:right w:val="none" w:color="000000" w:sz="0" w:space="0"/>
        </w:pBdr>
        <w:spacing w:after="0" w:line="360" w:lineRule="auto"/>
        <w:ind w:firstLine="1680"/>
        <w:jc w:val="right"/>
        <w:rPr>
          <w:color w:val="auto"/>
          <w:highlight w:val="none"/>
          <w:lang w:eastAsia="zh-CN"/>
        </w:rPr>
      </w:pPr>
      <w:r>
        <w:rPr>
          <w:rFonts w:ascii="仿宋" w:hAnsi="仿宋" w:eastAsia="仿宋" w:cs="仿宋"/>
          <w:color w:val="auto"/>
          <w:sz w:val="24"/>
          <w:highlight w:val="none"/>
          <w:lang w:eastAsia="zh-CN"/>
        </w:rPr>
        <w:t>法定代表人或被授权人：（签字或盖章）</w:t>
      </w:r>
    </w:p>
    <w:p w14:paraId="1D12FBF1">
      <w:pPr>
        <w:pBdr>
          <w:top w:val="none" w:color="000000" w:sz="0" w:space="0"/>
          <w:left w:val="none" w:color="000000" w:sz="0" w:space="0"/>
          <w:bottom w:val="none" w:color="000000" w:sz="0" w:space="0"/>
          <w:right w:val="none" w:color="000000" w:sz="0" w:space="0"/>
        </w:pBdr>
        <w:spacing w:after="0" w:line="360" w:lineRule="auto"/>
        <w:ind w:firstLine="4320"/>
        <w:jc w:val="right"/>
        <w:rPr>
          <w:color w:val="auto"/>
          <w:highlight w:val="none"/>
          <w:lang w:eastAsia="zh-CN"/>
        </w:rPr>
      </w:pPr>
      <w:r>
        <w:rPr>
          <w:rFonts w:ascii="仿宋" w:hAnsi="仿宋" w:eastAsia="仿宋" w:cs="仿宋"/>
          <w:color w:val="auto"/>
          <w:sz w:val="24"/>
          <w:highlight w:val="none"/>
          <w:lang w:eastAsia="zh-CN"/>
        </w:rPr>
        <w:t> </w:t>
      </w:r>
    </w:p>
    <w:p w14:paraId="0851C638">
      <w:pPr>
        <w:pBdr>
          <w:top w:val="none" w:color="000000" w:sz="0" w:space="0"/>
          <w:left w:val="none" w:color="000000" w:sz="0" w:space="0"/>
          <w:bottom w:val="none" w:color="000000" w:sz="0" w:space="0"/>
          <w:right w:val="none" w:color="000000" w:sz="0" w:space="0"/>
        </w:pBdr>
        <w:spacing w:after="0" w:line="360" w:lineRule="auto"/>
        <w:ind w:firstLine="4320"/>
        <w:jc w:val="right"/>
        <w:rPr>
          <w:color w:val="auto"/>
          <w:highlight w:val="none"/>
          <w:lang w:eastAsia="zh-CN"/>
        </w:rPr>
      </w:pPr>
      <w:r>
        <w:rPr>
          <w:rFonts w:ascii="仿宋" w:hAnsi="仿宋" w:eastAsia="仿宋" w:cs="仿宋"/>
          <w:color w:val="auto"/>
          <w:sz w:val="24"/>
          <w:highlight w:val="none"/>
          <w:lang w:eastAsia="zh-CN"/>
        </w:rPr>
        <w:t>年    月    日</w:t>
      </w:r>
    </w:p>
    <w:p w14:paraId="04BA50BD">
      <w:pPr>
        <w:pBdr>
          <w:top w:val="none" w:color="000000" w:sz="0" w:space="0"/>
          <w:left w:val="none" w:color="000000" w:sz="0" w:space="0"/>
          <w:bottom w:val="none" w:color="000000" w:sz="0" w:space="0"/>
          <w:right w:val="none" w:color="000000" w:sz="0" w:space="0"/>
        </w:pBdr>
        <w:spacing w:after="0" w:line="85" w:lineRule="atLeast"/>
        <w:jc w:val="center"/>
        <w:rPr>
          <w:color w:val="auto"/>
          <w:highlight w:val="none"/>
          <w:lang w:eastAsia="zh-CN"/>
        </w:rPr>
      </w:pPr>
      <w:r>
        <w:rPr>
          <w:rFonts w:ascii="仿宋" w:hAnsi="仿宋" w:eastAsia="仿宋" w:cs="仿宋"/>
          <w:color w:val="auto"/>
          <w:highlight w:val="none"/>
          <w:lang w:eastAsia="zh-CN"/>
        </w:rPr>
        <w:t> </w:t>
      </w:r>
    </w:p>
    <w:p w14:paraId="425BA917">
      <w:pPr>
        <w:pBdr>
          <w:top w:val="none" w:color="000000" w:sz="0" w:space="0"/>
          <w:left w:val="none" w:color="000000" w:sz="0" w:space="0"/>
          <w:bottom w:val="none" w:color="000000" w:sz="0" w:space="0"/>
          <w:right w:val="none" w:color="000000" w:sz="0" w:space="0"/>
        </w:pBdr>
        <w:spacing w:after="0" w:line="85" w:lineRule="atLeast"/>
        <w:ind w:firstLine="2800"/>
        <w:jc w:val="both"/>
        <w:rPr>
          <w:color w:val="auto"/>
          <w:highlight w:val="none"/>
          <w:lang w:eastAsia="zh-CN"/>
        </w:rPr>
      </w:pPr>
      <w:r>
        <w:rPr>
          <w:rFonts w:ascii="仿宋" w:hAnsi="仿宋" w:eastAsia="仿宋" w:cs="仿宋"/>
          <w:color w:val="auto"/>
          <w:sz w:val="28"/>
          <w:highlight w:val="none"/>
          <w:lang w:eastAsia="zh-CN"/>
        </w:rPr>
        <w:t> </w:t>
      </w:r>
    </w:p>
    <w:p w14:paraId="7F181524">
      <w:pPr>
        <w:pBdr>
          <w:top w:val="none" w:color="000000" w:sz="0" w:space="0"/>
          <w:left w:val="none" w:color="000000" w:sz="0" w:space="0"/>
          <w:bottom w:val="none" w:color="000000" w:sz="0" w:space="0"/>
          <w:right w:val="none" w:color="000000" w:sz="0" w:space="0"/>
        </w:pBdr>
        <w:spacing w:after="0" w:line="85" w:lineRule="atLeast"/>
        <w:ind w:firstLine="2800"/>
        <w:jc w:val="both"/>
        <w:rPr>
          <w:color w:val="auto"/>
          <w:highlight w:val="none"/>
          <w:lang w:eastAsia="zh-CN"/>
        </w:rPr>
      </w:pPr>
      <w:r>
        <w:rPr>
          <w:rFonts w:ascii="仿宋" w:hAnsi="仿宋" w:eastAsia="仿宋" w:cs="仿宋"/>
          <w:color w:val="auto"/>
          <w:sz w:val="28"/>
          <w:highlight w:val="none"/>
          <w:lang w:eastAsia="zh-CN"/>
        </w:rPr>
        <w:t> </w:t>
      </w:r>
    </w:p>
    <w:p w14:paraId="4D60C6FE">
      <w:pPr>
        <w:pBdr>
          <w:top w:val="none" w:color="000000" w:sz="0" w:space="0"/>
          <w:left w:val="none" w:color="000000" w:sz="0" w:space="0"/>
          <w:bottom w:val="none" w:color="000000" w:sz="0" w:space="0"/>
          <w:right w:val="none" w:color="000000" w:sz="0" w:space="0"/>
        </w:pBdr>
        <w:spacing w:after="0" w:line="85" w:lineRule="atLeast"/>
        <w:ind w:firstLine="2800"/>
        <w:jc w:val="both"/>
        <w:rPr>
          <w:color w:val="auto"/>
          <w:highlight w:val="none"/>
          <w:lang w:eastAsia="zh-CN"/>
        </w:rPr>
      </w:pPr>
      <w:r>
        <w:rPr>
          <w:rFonts w:ascii="仿宋" w:hAnsi="仿宋" w:eastAsia="仿宋" w:cs="仿宋"/>
          <w:color w:val="auto"/>
          <w:sz w:val="28"/>
          <w:highlight w:val="none"/>
          <w:lang w:eastAsia="zh-CN"/>
        </w:rPr>
        <w:t> </w:t>
      </w:r>
    </w:p>
    <w:p w14:paraId="145C491B">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highlight w:val="none"/>
          <w:lang w:eastAsia="zh-CN"/>
        </w:rPr>
        <w:t> </w:t>
      </w:r>
    </w:p>
    <w:p w14:paraId="367AF304">
      <w:pPr>
        <w:pBdr>
          <w:top w:val="none" w:color="000000" w:sz="0" w:space="0"/>
          <w:left w:val="none" w:color="000000" w:sz="0" w:space="0"/>
          <w:bottom w:val="none" w:color="000000" w:sz="0" w:space="0"/>
          <w:right w:val="none" w:color="000000" w:sz="0" w:space="0"/>
        </w:pBdr>
        <w:spacing w:after="0"/>
        <w:jc w:val="both"/>
        <w:rPr>
          <w:rFonts w:ascii="Times New Roman" w:hAnsi="Times New Roman" w:eastAsia="Times New Roman" w:cs="Times New Roman"/>
          <w:color w:val="auto"/>
          <w:sz w:val="24"/>
          <w:szCs w:val="24"/>
          <w:highlight w:val="none"/>
          <w:lang w:eastAsia="zh-CN"/>
        </w:rPr>
      </w:pPr>
      <w:r>
        <w:rPr>
          <w:rFonts w:ascii="Times New Roman" w:hAnsi="Times New Roman" w:eastAsia="Times New Roman" w:cs="Times New Roman"/>
          <w:color w:val="auto"/>
          <w:sz w:val="24"/>
          <w:highlight w:val="none"/>
          <w:lang w:eastAsia="zh-CN"/>
        </w:rPr>
        <w:t> </w:t>
      </w:r>
    </w:p>
    <w:p w14:paraId="5143696D">
      <w:pPr>
        <w:pBdr>
          <w:top w:val="none" w:color="000000" w:sz="0" w:space="0"/>
          <w:left w:val="none" w:color="000000" w:sz="0" w:space="0"/>
          <w:bottom w:val="none" w:color="000000" w:sz="0" w:space="0"/>
          <w:right w:val="none" w:color="000000" w:sz="0" w:space="0"/>
        </w:pBdr>
        <w:spacing w:after="0"/>
        <w:jc w:val="both"/>
        <w:rPr>
          <w:rFonts w:ascii="Times New Roman" w:hAnsi="Times New Roman" w:eastAsia="Times New Roman" w:cs="Times New Roman"/>
          <w:color w:val="auto"/>
          <w:sz w:val="24"/>
          <w:szCs w:val="24"/>
          <w:highlight w:val="none"/>
          <w:lang w:eastAsia="zh-CN"/>
        </w:rPr>
      </w:pPr>
    </w:p>
    <w:p w14:paraId="4EEC26FA">
      <w:pPr>
        <w:pBdr>
          <w:top w:val="none" w:color="000000" w:sz="0" w:space="0"/>
          <w:left w:val="none" w:color="000000" w:sz="0" w:space="0"/>
          <w:bottom w:val="none" w:color="000000" w:sz="0" w:space="0"/>
          <w:right w:val="none" w:color="000000" w:sz="0" w:space="0"/>
        </w:pBdr>
        <w:spacing w:after="0"/>
        <w:jc w:val="both"/>
        <w:rPr>
          <w:rFonts w:ascii="Times New Roman" w:hAnsi="Times New Roman" w:eastAsia="Times New Roman" w:cs="Times New Roman"/>
          <w:color w:val="auto"/>
          <w:sz w:val="24"/>
          <w:szCs w:val="24"/>
          <w:highlight w:val="none"/>
          <w:lang w:eastAsia="zh-CN"/>
        </w:rPr>
      </w:pPr>
    </w:p>
    <w:p w14:paraId="2D528804">
      <w:pPr>
        <w:pBdr>
          <w:top w:val="none" w:color="000000" w:sz="0" w:space="0"/>
          <w:left w:val="none" w:color="000000" w:sz="0" w:space="0"/>
          <w:bottom w:val="none" w:color="000000" w:sz="0" w:space="0"/>
          <w:right w:val="none" w:color="000000" w:sz="0" w:space="0"/>
        </w:pBdr>
        <w:spacing w:after="0"/>
        <w:jc w:val="both"/>
        <w:rPr>
          <w:rFonts w:ascii="Times New Roman" w:hAnsi="Times New Roman" w:eastAsia="Times New Roman" w:cs="Times New Roman"/>
          <w:color w:val="auto"/>
          <w:sz w:val="24"/>
          <w:szCs w:val="24"/>
          <w:highlight w:val="none"/>
          <w:lang w:eastAsia="zh-CN"/>
        </w:rPr>
      </w:pPr>
    </w:p>
    <w:p w14:paraId="41B77B5F">
      <w:pPr>
        <w:pBdr>
          <w:top w:val="none" w:color="000000" w:sz="0" w:space="0"/>
          <w:left w:val="none" w:color="000000" w:sz="0" w:space="0"/>
          <w:bottom w:val="none" w:color="000000" w:sz="0" w:space="0"/>
          <w:right w:val="none" w:color="000000" w:sz="0" w:space="0"/>
        </w:pBdr>
        <w:spacing w:after="0"/>
        <w:jc w:val="both"/>
        <w:rPr>
          <w:rFonts w:ascii="Times New Roman" w:hAnsi="Times New Roman" w:eastAsia="Times New Roman" w:cs="Times New Roman"/>
          <w:color w:val="auto"/>
          <w:sz w:val="24"/>
          <w:szCs w:val="24"/>
          <w:highlight w:val="none"/>
          <w:lang w:eastAsia="zh-CN"/>
        </w:rPr>
      </w:pPr>
    </w:p>
    <w:p w14:paraId="7F6961A3">
      <w:pPr>
        <w:pBdr>
          <w:top w:val="none" w:color="000000" w:sz="0" w:space="0"/>
          <w:left w:val="none" w:color="000000" w:sz="0" w:space="0"/>
          <w:bottom w:val="none" w:color="000000" w:sz="0" w:space="0"/>
          <w:right w:val="none" w:color="000000" w:sz="0" w:space="0"/>
        </w:pBdr>
        <w:spacing w:after="0"/>
        <w:jc w:val="both"/>
        <w:rPr>
          <w:rFonts w:ascii="Times New Roman" w:hAnsi="Times New Roman" w:eastAsia="Times New Roman" w:cs="Times New Roman"/>
          <w:color w:val="auto"/>
          <w:sz w:val="24"/>
          <w:szCs w:val="24"/>
          <w:highlight w:val="none"/>
          <w:lang w:eastAsia="zh-CN"/>
        </w:rPr>
      </w:pPr>
    </w:p>
    <w:p w14:paraId="6673F13E">
      <w:pPr>
        <w:pBdr>
          <w:top w:val="none" w:color="000000" w:sz="0" w:space="0"/>
          <w:left w:val="none" w:color="000000" w:sz="0" w:space="0"/>
          <w:bottom w:val="none" w:color="000000" w:sz="0" w:space="0"/>
          <w:right w:val="none" w:color="000000" w:sz="0" w:space="0"/>
        </w:pBdr>
        <w:spacing w:after="0" w:line="71" w:lineRule="atLeast"/>
        <w:jc w:val="center"/>
        <w:rPr>
          <w:color w:val="auto"/>
          <w:highlight w:val="none"/>
          <w:lang w:eastAsia="zh-CN"/>
        </w:rPr>
      </w:pPr>
      <w:r>
        <w:rPr>
          <w:rFonts w:ascii="仿宋" w:hAnsi="仿宋" w:eastAsia="仿宋" w:cs="仿宋"/>
          <w:color w:val="auto"/>
          <w:sz w:val="32"/>
          <w:highlight w:val="none"/>
          <w:lang w:eastAsia="zh-CN"/>
        </w:rPr>
        <w:t>二、</w:t>
      </w:r>
      <w:r>
        <w:rPr>
          <w:rFonts w:ascii="仿宋" w:hAnsi="仿宋" w:eastAsia="仿宋" w:cs="仿宋"/>
          <w:b/>
          <w:color w:val="auto"/>
          <w:sz w:val="32"/>
          <w:highlight w:val="none"/>
          <w:lang w:eastAsia="zh-CN"/>
        </w:rPr>
        <w:t>商务部分正负偏离表</w:t>
      </w:r>
    </w:p>
    <w:p w14:paraId="319A11F2">
      <w:pPr>
        <w:pBdr>
          <w:top w:val="none" w:color="000000" w:sz="0" w:space="0"/>
          <w:left w:val="none" w:color="000000" w:sz="0" w:space="0"/>
          <w:bottom w:val="none" w:color="000000" w:sz="0" w:space="0"/>
          <w:right w:val="none" w:color="000000" w:sz="0" w:space="0"/>
        </w:pBdr>
        <w:spacing w:after="0"/>
        <w:ind w:firstLine="560"/>
        <w:jc w:val="center"/>
        <w:rPr>
          <w:color w:val="auto"/>
          <w:highlight w:val="none"/>
          <w:lang w:eastAsia="zh-CN"/>
        </w:rPr>
      </w:pPr>
      <w:r>
        <w:rPr>
          <w:rFonts w:ascii="仿宋" w:hAnsi="仿宋" w:eastAsia="仿宋" w:cs="仿宋"/>
          <w:color w:val="auto"/>
          <w:sz w:val="28"/>
          <w:highlight w:val="none"/>
          <w:lang w:eastAsia="zh-CN"/>
        </w:rPr>
        <w:t>（由</w:t>
      </w:r>
      <w:r>
        <w:rPr>
          <w:rFonts w:hint="eastAsia" w:ascii="仿宋" w:hAnsi="仿宋" w:eastAsia="仿宋" w:cs="仿宋"/>
          <w:color w:val="auto"/>
          <w:sz w:val="28"/>
          <w:highlight w:val="none"/>
          <w:lang w:eastAsia="zh-CN"/>
        </w:rPr>
        <w:t>供应商</w:t>
      </w:r>
      <w:r>
        <w:rPr>
          <w:rFonts w:ascii="仿宋" w:hAnsi="仿宋" w:eastAsia="仿宋" w:cs="仿宋"/>
          <w:color w:val="auto"/>
          <w:sz w:val="28"/>
          <w:highlight w:val="none"/>
          <w:lang w:eastAsia="zh-CN"/>
        </w:rPr>
        <w:t>据实填写，表格不够自行添加）</w:t>
      </w:r>
    </w:p>
    <w:tbl>
      <w:tblPr>
        <w:tblStyle w:val="37"/>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871"/>
        <w:gridCol w:w="1871"/>
        <w:gridCol w:w="1871"/>
        <w:gridCol w:w="1871"/>
        <w:gridCol w:w="1871"/>
      </w:tblGrid>
      <w:tr w14:paraId="0143DE8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94" w:hRule="atLeast"/>
        </w:trPr>
        <w:tc>
          <w:tcPr>
            <w:tcW w:w="1871" w:type="dxa"/>
            <w:tcBorders>
              <w:top w:val="single" w:color="000000" w:sz="12" w:space="0"/>
              <w:left w:val="single" w:color="000000" w:sz="12" w:space="0"/>
              <w:bottom w:val="single" w:color="000000" w:sz="8" w:space="0"/>
              <w:right w:val="single" w:color="000000" w:sz="8" w:space="0"/>
            </w:tcBorders>
            <w:tcMar>
              <w:top w:w="0" w:type="dxa"/>
              <w:left w:w="108" w:type="dxa"/>
              <w:bottom w:w="0" w:type="dxa"/>
              <w:right w:w="108" w:type="dxa"/>
            </w:tcMar>
            <w:vAlign w:val="center"/>
          </w:tcPr>
          <w:p w14:paraId="1588B48B">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序号</w:t>
            </w:r>
          </w:p>
        </w:tc>
        <w:tc>
          <w:tcPr>
            <w:tcW w:w="1871"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14:paraId="4EC874FC">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货物或服务名称</w:t>
            </w:r>
          </w:p>
        </w:tc>
        <w:tc>
          <w:tcPr>
            <w:tcW w:w="1871"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14:paraId="027648CE">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lang w:eastAsia="zh-CN"/>
              </w:rPr>
            </w:pPr>
            <w:r>
              <w:rPr>
                <w:rFonts w:ascii="仿宋" w:hAnsi="仿宋" w:eastAsia="仿宋" w:cs="仿宋"/>
                <w:color w:val="auto"/>
                <w:sz w:val="24"/>
                <w:highlight w:val="none"/>
                <w:lang w:eastAsia="zh-CN"/>
              </w:rPr>
              <w:t>招标文件要求的商务条款</w:t>
            </w:r>
          </w:p>
        </w:tc>
        <w:tc>
          <w:tcPr>
            <w:tcW w:w="1871"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14:paraId="069C6114">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投标文件响应情况</w:t>
            </w:r>
          </w:p>
        </w:tc>
        <w:tc>
          <w:tcPr>
            <w:tcW w:w="1871" w:type="dxa"/>
            <w:tcBorders>
              <w:top w:val="single" w:color="000000" w:sz="12" w:space="0"/>
              <w:left w:val="nil"/>
              <w:bottom w:val="single" w:color="000000" w:sz="8" w:space="0"/>
              <w:right w:val="single" w:color="000000" w:sz="12" w:space="0"/>
            </w:tcBorders>
            <w:tcMar>
              <w:top w:w="0" w:type="dxa"/>
              <w:left w:w="108" w:type="dxa"/>
              <w:bottom w:w="0" w:type="dxa"/>
              <w:right w:w="108" w:type="dxa"/>
            </w:tcMar>
          </w:tcPr>
          <w:p w14:paraId="42E42460">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 </w:t>
            </w:r>
          </w:p>
          <w:p w14:paraId="2FFF4A37">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偏离说明</w:t>
            </w:r>
          </w:p>
        </w:tc>
      </w:tr>
      <w:tr w14:paraId="60A69CF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14" w:hRule="atLeast"/>
        </w:trPr>
        <w:tc>
          <w:tcPr>
            <w:tcW w:w="1871" w:type="dxa"/>
            <w:tcBorders>
              <w:top w:val="nil"/>
              <w:left w:val="single" w:color="000000" w:sz="12" w:space="0"/>
              <w:bottom w:val="single" w:color="000000" w:sz="8" w:space="0"/>
              <w:right w:val="single" w:color="000000" w:sz="8" w:space="0"/>
            </w:tcBorders>
            <w:tcMar>
              <w:top w:w="0" w:type="dxa"/>
              <w:left w:w="108" w:type="dxa"/>
              <w:bottom w:w="0" w:type="dxa"/>
              <w:right w:w="108" w:type="dxa"/>
            </w:tcMar>
          </w:tcPr>
          <w:p w14:paraId="5E7A761E">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1</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E2390C8">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4017399">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43E3FB0">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12" w:space="0"/>
            </w:tcBorders>
            <w:tcMar>
              <w:top w:w="0" w:type="dxa"/>
              <w:left w:w="108" w:type="dxa"/>
              <w:bottom w:w="0" w:type="dxa"/>
              <w:right w:w="108" w:type="dxa"/>
            </w:tcMar>
          </w:tcPr>
          <w:p w14:paraId="6B821996">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r>
      <w:tr w14:paraId="29A91DC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2" w:hRule="atLeast"/>
        </w:trPr>
        <w:tc>
          <w:tcPr>
            <w:tcW w:w="1871" w:type="dxa"/>
            <w:tcBorders>
              <w:top w:val="nil"/>
              <w:left w:val="single" w:color="000000" w:sz="12" w:space="0"/>
              <w:bottom w:val="single" w:color="000000" w:sz="8" w:space="0"/>
              <w:right w:val="single" w:color="000000" w:sz="8" w:space="0"/>
            </w:tcBorders>
            <w:tcMar>
              <w:top w:w="0" w:type="dxa"/>
              <w:left w:w="108" w:type="dxa"/>
              <w:bottom w:w="0" w:type="dxa"/>
              <w:right w:w="108" w:type="dxa"/>
            </w:tcMar>
          </w:tcPr>
          <w:p w14:paraId="2C048541">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2</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02389E6">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964353B">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82A42B1">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12" w:space="0"/>
            </w:tcBorders>
            <w:tcMar>
              <w:top w:w="0" w:type="dxa"/>
              <w:left w:w="108" w:type="dxa"/>
              <w:bottom w:w="0" w:type="dxa"/>
              <w:right w:w="108" w:type="dxa"/>
            </w:tcMar>
          </w:tcPr>
          <w:p w14:paraId="1FD2D0F0">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r>
      <w:tr w14:paraId="452F5C9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1871" w:type="dxa"/>
            <w:tcBorders>
              <w:top w:val="nil"/>
              <w:left w:val="single" w:color="000000" w:sz="12" w:space="0"/>
              <w:bottom w:val="single" w:color="000000" w:sz="8" w:space="0"/>
              <w:right w:val="single" w:color="000000" w:sz="8" w:space="0"/>
            </w:tcBorders>
            <w:tcMar>
              <w:top w:w="0" w:type="dxa"/>
              <w:left w:w="108" w:type="dxa"/>
              <w:bottom w:w="0" w:type="dxa"/>
              <w:right w:w="108" w:type="dxa"/>
            </w:tcMar>
          </w:tcPr>
          <w:p w14:paraId="2AC512BD">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3</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9D60787">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863CF6C">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D005CDE">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12" w:space="0"/>
            </w:tcBorders>
            <w:tcMar>
              <w:top w:w="0" w:type="dxa"/>
              <w:left w:w="108" w:type="dxa"/>
              <w:bottom w:w="0" w:type="dxa"/>
              <w:right w:w="108" w:type="dxa"/>
            </w:tcMar>
          </w:tcPr>
          <w:p w14:paraId="2A5B208D">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r>
      <w:tr w14:paraId="430FF5C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19" w:hRule="atLeast"/>
        </w:trPr>
        <w:tc>
          <w:tcPr>
            <w:tcW w:w="1871" w:type="dxa"/>
            <w:tcBorders>
              <w:top w:val="nil"/>
              <w:left w:val="single" w:color="000000" w:sz="12" w:space="0"/>
              <w:bottom w:val="single" w:color="000000" w:sz="12" w:space="0"/>
              <w:right w:val="single" w:color="000000" w:sz="8" w:space="0"/>
            </w:tcBorders>
            <w:tcMar>
              <w:top w:w="0" w:type="dxa"/>
              <w:left w:w="108" w:type="dxa"/>
              <w:bottom w:w="0" w:type="dxa"/>
              <w:right w:w="108" w:type="dxa"/>
            </w:tcMar>
          </w:tcPr>
          <w:p w14:paraId="6B8A1D39">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4</w:t>
            </w:r>
          </w:p>
        </w:tc>
        <w:tc>
          <w:tcPr>
            <w:tcW w:w="1871" w:type="dxa"/>
            <w:tcBorders>
              <w:top w:val="nil"/>
              <w:left w:val="nil"/>
              <w:bottom w:val="single" w:color="000000" w:sz="12" w:space="0"/>
              <w:right w:val="single" w:color="000000" w:sz="8" w:space="0"/>
            </w:tcBorders>
            <w:tcMar>
              <w:top w:w="0" w:type="dxa"/>
              <w:left w:w="108" w:type="dxa"/>
              <w:bottom w:w="0" w:type="dxa"/>
              <w:right w:w="108" w:type="dxa"/>
            </w:tcMar>
            <w:vAlign w:val="center"/>
          </w:tcPr>
          <w:p w14:paraId="0EFB4595">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12" w:space="0"/>
              <w:right w:val="single" w:color="000000" w:sz="8" w:space="0"/>
            </w:tcBorders>
            <w:tcMar>
              <w:top w:w="0" w:type="dxa"/>
              <w:left w:w="108" w:type="dxa"/>
              <w:bottom w:w="0" w:type="dxa"/>
              <w:right w:w="108" w:type="dxa"/>
            </w:tcMar>
            <w:vAlign w:val="center"/>
          </w:tcPr>
          <w:p w14:paraId="34E068DD">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12" w:space="0"/>
              <w:right w:val="single" w:color="000000" w:sz="8" w:space="0"/>
            </w:tcBorders>
            <w:tcMar>
              <w:top w:w="0" w:type="dxa"/>
              <w:left w:w="108" w:type="dxa"/>
              <w:bottom w:w="0" w:type="dxa"/>
              <w:right w:w="108" w:type="dxa"/>
            </w:tcMar>
            <w:vAlign w:val="center"/>
          </w:tcPr>
          <w:p w14:paraId="68C7EA01">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12" w:space="0"/>
              <w:right w:val="single" w:color="000000" w:sz="12" w:space="0"/>
            </w:tcBorders>
            <w:tcMar>
              <w:top w:w="0" w:type="dxa"/>
              <w:left w:w="108" w:type="dxa"/>
              <w:bottom w:w="0" w:type="dxa"/>
              <w:right w:w="108" w:type="dxa"/>
            </w:tcMar>
          </w:tcPr>
          <w:p w14:paraId="4F039A5A">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r>
    </w:tbl>
    <w:p w14:paraId="3EDF8CED">
      <w:pPr>
        <w:pBdr>
          <w:top w:val="none" w:color="000000" w:sz="0" w:space="0"/>
          <w:left w:val="none" w:color="000000" w:sz="0" w:space="0"/>
          <w:bottom w:val="none" w:color="000000" w:sz="0" w:space="0"/>
          <w:right w:val="none" w:color="000000" w:sz="0" w:space="0"/>
        </w:pBdr>
        <w:spacing w:after="0" w:line="71" w:lineRule="atLeast"/>
        <w:jc w:val="both"/>
        <w:rPr>
          <w:color w:val="auto"/>
          <w:highlight w:val="none"/>
        </w:rPr>
      </w:pPr>
      <w:r>
        <w:rPr>
          <w:rFonts w:ascii="仿宋" w:hAnsi="仿宋" w:eastAsia="仿宋" w:cs="仿宋"/>
          <w:b/>
          <w:color w:val="auto"/>
          <w:sz w:val="24"/>
          <w:highlight w:val="none"/>
        </w:rPr>
        <w:t>注：</w:t>
      </w:r>
    </w:p>
    <w:p w14:paraId="3C2570B0">
      <w:pPr>
        <w:pBdr>
          <w:top w:val="none" w:color="000000" w:sz="0" w:space="0"/>
          <w:left w:val="none" w:color="000000" w:sz="0" w:space="0"/>
          <w:bottom w:val="none" w:color="000000" w:sz="0" w:space="0"/>
          <w:right w:val="none" w:color="000000" w:sz="0" w:space="0"/>
        </w:pBdr>
        <w:spacing w:after="0" w:line="71" w:lineRule="atLeast"/>
        <w:ind w:firstLine="480"/>
        <w:jc w:val="both"/>
        <w:rPr>
          <w:color w:val="auto"/>
          <w:highlight w:val="none"/>
          <w:lang w:eastAsia="zh-CN"/>
        </w:rPr>
      </w:pPr>
      <w:r>
        <w:rPr>
          <w:rFonts w:ascii="仿宋" w:hAnsi="仿宋" w:eastAsia="仿宋" w:cs="仿宋"/>
          <w:color w:val="auto"/>
          <w:sz w:val="24"/>
          <w:highlight w:val="none"/>
          <w:lang w:eastAsia="zh-CN"/>
        </w:rPr>
        <w:t>1.</w:t>
      </w:r>
      <w:r>
        <w:rPr>
          <w:rFonts w:hint="eastAsia" w:ascii="仿宋" w:hAnsi="仿宋" w:eastAsia="仿宋" w:cs="仿宋"/>
          <w:color w:val="auto"/>
          <w:sz w:val="24"/>
          <w:highlight w:val="none"/>
          <w:lang w:eastAsia="zh-CN"/>
        </w:rPr>
        <w:t>供应商</w:t>
      </w:r>
      <w:r>
        <w:rPr>
          <w:rFonts w:ascii="仿宋" w:hAnsi="仿宋" w:eastAsia="仿宋" w:cs="仿宋"/>
          <w:color w:val="auto"/>
          <w:sz w:val="24"/>
          <w:highlight w:val="none"/>
          <w:lang w:eastAsia="zh-CN"/>
        </w:rPr>
        <w:t>提交的</w:t>
      </w:r>
      <w:r>
        <w:rPr>
          <w:rFonts w:hint="eastAsia" w:ascii="仿宋" w:hAnsi="仿宋" w:eastAsia="仿宋" w:cs="仿宋"/>
          <w:color w:val="auto"/>
          <w:sz w:val="24"/>
          <w:highlight w:val="none"/>
          <w:lang w:val="en-US" w:eastAsia="zh-CN"/>
        </w:rPr>
        <w:t>响应文件</w:t>
      </w:r>
      <w:r>
        <w:rPr>
          <w:rFonts w:ascii="仿宋" w:hAnsi="仿宋" w:eastAsia="仿宋" w:cs="仿宋"/>
          <w:color w:val="auto"/>
          <w:sz w:val="24"/>
          <w:highlight w:val="none"/>
          <w:lang w:eastAsia="zh-CN"/>
        </w:rPr>
        <w:t>中与</w:t>
      </w:r>
      <w:r>
        <w:rPr>
          <w:rFonts w:hint="eastAsia" w:ascii="仿宋" w:hAnsi="仿宋" w:eastAsia="仿宋" w:cs="仿宋"/>
          <w:color w:val="auto"/>
          <w:sz w:val="24"/>
          <w:highlight w:val="none"/>
          <w:lang w:val="en-US" w:eastAsia="zh-CN"/>
        </w:rPr>
        <w:t>磋商</w:t>
      </w:r>
      <w:r>
        <w:rPr>
          <w:rFonts w:ascii="仿宋" w:hAnsi="仿宋" w:eastAsia="仿宋" w:cs="仿宋"/>
          <w:color w:val="auto"/>
          <w:sz w:val="24"/>
          <w:highlight w:val="none"/>
          <w:lang w:eastAsia="zh-CN"/>
        </w:rPr>
        <w:t>文件“项目需求”中的商务部分的要求，应逐条填列在偏离表中</w:t>
      </w:r>
      <w:r>
        <w:rPr>
          <w:rFonts w:hint="eastAsia" w:ascii="仿宋" w:hAnsi="仿宋" w:eastAsia="仿宋" w:cs="仿宋"/>
          <w:color w:val="auto"/>
          <w:sz w:val="24"/>
          <w:highlight w:val="none"/>
          <w:lang w:eastAsia="zh-CN"/>
        </w:rPr>
        <w:t>，若完全响应本项目需求且无偏离，</w:t>
      </w:r>
      <w:r>
        <w:rPr>
          <w:rFonts w:hint="eastAsia" w:ascii="仿宋" w:hAnsi="仿宋" w:eastAsia="仿宋" w:cs="仿宋"/>
          <w:color w:val="auto"/>
          <w:sz w:val="24"/>
          <w:highlight w:val="none"/>
          <w:lang w:val="en-US" w:eastAsia="zh-CN"/>
        </w:rPr>
        <w:t>响应文件中</w:t>
      </w:r>
      <w:r>
        <w:rPr>
          <w:rFonts w:hint="eastAsia" w:ascii="仿宋" w:hAnsi="仿宋" w:eastAsia="仿宋" w:cs="仿宋"/>
          <w:color w:val="auto"/>
          <w:sz w:val="24"/>
          <w:highlight w:val="none"/>
          <w:lang w:eastAsia="zh-CN"/>
        </w:rPr>
        <w:t>本表可空白盖章提供</w:t>
      </w:r>
      <w:r>
        <w:rPr>
          <w:rFonts w:ascii="仿宋" w:hAnsi="仿宋" w:eastAsia="仿宋" w:cs="仿宋"/>
          <w:color w:val="auto"/>
          <w:sz w:val="24"/>
          <w:highlight w:val="none"/>
          <w:lang w:eastAsia="zh-CN"/>
        </w:rPr>
        <w:t>。</w:t>
      </w:r>
    </w:p>
    <w:p w14:paraId="002BA6FD">
      <w:pPr>
        <w:pBdr>
          <w:top w:val="none" w:color="000000" w:sz="0" w:space="0"/>
          <w:left w:val="none" w:color="000000" w:sz="0" w:space="0"/>
          <w:bottom w:val="none" w:color="000000" w:sz="0" w:space="0"/>
          <w:right w:val="none" w:color="000000" w:sz="0" w:space="0"/>
        </w:pBdr>
        <w:spacing w:after="0" w:line="71" w:lineRule="atLeast"/>
        <w:ind w:firstLine="480"/>
        <w:jc w:val="both"/>
        <w:rPr>
          <w:color w:val="auto"/>
          <w:highlight w:val="none"/>
          <w:lang w:eastAsia="zh-CN"/>
        </w:rPr>
      </w:pPr>
      <w:r>
        <w:rPr>
          <w:rFonts w:ascii="仿宋" w:hAnsi="仿宋" w:eastAsia="仿宋" w:cs="仿宋"/>
          <w:color w:val="auto"/>
          <w:sz w:val="24"/>
          <w:highlight w:val="none"/>
          <w:lang w:eastAsia="zh-CN"/>
        </w:rPr>
        <w:t>2.“偏离说明”一栏选择“正偏离”、“无偏离”、“负偏离”进行填写。正偏离、无偏离的确认和负偏离的是否响应招标文件，由评委认定。</w:t>
      </w:r>
    </w:p>
    <w:p w14:paraId="55AEF4B0">
      <w:pPr>
        <w:pBdr>
          <w:top w:val="none" w:color="000000" w:sz="0" w:space="0"/>
          <w:left w:val="none" w:color="000000" w:sz="0" w:space="0"/>
          <w:bottom w:val="none" w:color="000000" w:sz="0" w:space="0"/>
          <w:right w:val="none" w:color="000000" w:sz="0" w:space="0"/>
        </w:pBdr>
        <w:spacing w:after="0" w:line="71" w:lineRule="atLeast"/>
        <w:ind w:firstLine="480"/>
        <w:jc w:val="both"/>
        <w:rPr>
          <w:color w:val="auto"/>
          <w:highlight w:val="none"/>
          <w:lang w:eastAsia="zh-CN"/>
        </w:rPr>
      </w:pPr>
      <w:r>
        <w:rPr>
          <w:rFonts w:ascii="仿宋" w:hAnsi="仿宋" w:eastAsia="仿宋" w:cs="仿宋"/>
          <w:color w:val="auto"/>
          <w:sz w:val="24"/>
          <w:highlight w:val="none"/>
          <w:lang w:eastAsia="zh-CN"/>
        </w:rPr>
        <w:t>3.</w:t>
      </w:r>
      <w:r>
        <w:rPr>
          <w:rFonts w:hint="eastAsia" w:ascii="仿宋" w:hAnsi="仿宋" w:eastAsia="仿宋" w:cs="仿宋"/>
          <w:color w:val="auto"/>
          <w:sz w:val="24"/>
          <w:highlight w:val="none"/>
          <w:lang w:eastAsia="zh-CN"/>
        </w:rPr>
        <w:t>供应商</w:t>
      </w:r>
      <w:r>
        <w:rPr>
          <w:rFonts w:ascii="仿宋" w:hAnsi="仿宋" w:eastAsia="仿宋" w:cs="仿宋"/>
          <w:color w:val="auto"/>
          <w:sz w:val="24"/>
          <w:highlight w:val="none"/>
          <w:lang w:eastAsia="zh-CN"/>
        </w:rPr>
        <w:t>如果虚假响应，将被暂停参加南通市经济技术开发区政府采购活动。</w:t>
      </w:r>
    </w:p>
    <w:p w14:paraId="36355B72">
      <w:pPr>
        <w:pBdr>
          <w:top w:val="none" w:color="000000" w:sz="0" w:space="0"/>
          <w:left w:val="none" w:color="000000" w:sz="0" w:space="0"/>
          <w:bottom w:val="none" w:color="000000" w:sz="0" w:space="0"/>
          <w:right w:val="none" w:color="000000" w:sz="0" w:space="0"/>
        </w:pBdr>
        <w:spacing w:after="0" w:line="85" w:lineRule="atLeast"/>
        <w:ind w:firstLine="480" w:firstLineChars="200"/>
        <w:jc w:val="both"/>
        <w:rPr>
          <w:color w:val="auto"/>
          <w:highlight w:val="none"/>
          <w:lang w:eastAsia="zh-CN"/>
        </w:rPr>
      </w:pPr>
      <w:r>
        <w:rPr>
          <w:rFonts w:ascii="仿宋" w:hAnsi="仿宋" w:eastAsia="仿宋" w:cs="仿宋"/>
          <w:color w:val="auto"/>
          <w:sz w:val="24"/>
          <w:highlight w:val="none"/>
          <w:lang w:eastAsia="zh-CN"/>
        </w:rPr>
        <w:t>4.供应商若提供其他增值服务，可以在表中自行据实填写</w:t>
      </w:r>
    </w:p>
    <w:p w14:paraId="5B3B0842">
      <w:pPr>
        <w:pBdr>
          <w:top w:val="none" w:color="000000" w:sz="0" w:space="0"/>
          <w:left w:val="none" w:color="000000" w:sz="0" w:space="0"/>
          <w:bottom w:val="none" w:color="000000" w:sz="0" w:space="0"/>
          <w:right w:val="none" w:color="000000" w:sz="0" w:space="0"/>
        </w:pBdr>
        <w:spacing w:after="120"/>
        <w:ind w:firstLine="240"/>
        <w:jc w:val="both"/>
        <w:rPr>
          <w:color w:val="auto"/>
          <w:highlight w:val="none"/>
          <w:lang w:eastAsia="zh-CN"/>
        </w:rPr>
      </w:pPr>
      <w:r>
        <w:rPr>
          <w:rFonts w:ascii="仿宋" w:hAnsi="仿宋" w:eastAsia="仿宋" w:cs="仿宋"/>
          <w:color w:val="auto"/>
          <w:sz w:val="24"/>
          <w:highlight w:val="none"/>
          <w:lang w:eastAsia="zh-CN"/>
        </w:rPr>
        <w:t> </w:t>
      </w:r>
    </w:p>
    <w:p w14:paraId="617C7744">
      <w:pPr>
        <w:pBdr>
          <w:top w:val="none" w:color="000000" w:sz="0" w:space="0"/>
          <w:left w:val="none" w:color="000000" w:sz="0" w:space="0"/>
          <w:bottom w:val="none" w:color="000000" w:sz="0" w:space="0"/>
          <w:right w:val="none" w:color="000000" w:sz="0" w:space="0"/>
        </w:pBdr>
        <w:spacing w:after="0"/>
        <w:ind w:left="2100"/>
        <w:jc w:val="both"/>
        <w:rPr>
          <w:color w:val="auto"/>
          <w:highlight w:val="none"/>
          <w:lang w:eastAsia="zh-CN"/>
        </w:rPr>
      </w:pPr>
      <w:r>
        <w:rPr>
          <w:rFonts w:ascii="仿宋" w:hAnsi="仿宋" w:eastAsia="仿宋" w:cs="仿宋"/>
          <w:color w:val="auto"/>
          <w:sz w:val="24"/>
          <w:highlight w:val="none"/>
          <w:lang w:eastAsia="zh-CN"/>
        </w:rPr>
        <w:t> </w:t>
      </w:r>
    </w:p>
    <w:p w14:paraId="03730EED">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4"/>
          <w:highlight w:val="none"/>
          <w:lang w:eastAsia="zh-CN"/>
        </w:rPr>
        <w:t> </w:t>
      </w:r>
    </w:p>
    <w:p w14:paraId="43A8ABEE">
      <w:pPr>
        <w:pBdr>
          <w:top w:val="none" w:color="000000" w:sz="0" w:space="0"/>
          <w:left w:val="none" w:color="000000" w:sz="0" w:space="0"/>
          <w:bottom w:val="none" w:color="000000" w:sz="0" w:space="0"/>
          <w:right w:val="none" w:color="000000" w:sz="0" w:space="0"/>
        </w:pBdr>
        <w:spacing w:after="120"/>
        <w:ind w:firstLine="240"/>
        <w:jc w:val="both"/>
        <w:rPr>
          <w:color w:val="auto"/>
          <w:highlight w:val="none"/>
          <w:lang w:eastAsia="zh-CN"/>
        </w:rPr>
      </w:pPr>
      <w:r>
        <w:rPr>
          <w:rFonts w:ascii="仿宋" w:hAnsi="仿宋" w:eastAsia="仿宋" w:cs="仿宋"/>
          <w:color w:val="auto"/>
          <w:sz w:val="24"/>
          <w:highlight w:val="none"/>
          <w:lang w:eastAsia="zh-CN"/>
        </w:rPr>
        <w:t> </w:t>
      </w:r>
    </w:p>
    <w:p w14:paraId="69619CDB">
      <w:pPr>
        <w:pBdr>
          <w:top w:val="none" w:color="000000" w:sz="0" w:space="0"/>
          <w:left w:val="none" w:color="000000" w:sz="0" w:space="0"/>
          <w:bottom w:val="none" w:color="000000" w:sz="0" w:space="0"/>
          <w:right w:val="none" w:color="000000" w:sz="0" w:space="0"/>
        </w:pBdr>
        <w:spacing w:after="0"/>
        <w:ind w:left="2100"/>
        <w:jc w:val="both"/>
        <w:rPr>
          <w:color w:val="auto"/>
          <w:highlight w:val="none"/>
          <w:lang w:eastAsia="zh-CN"/>
        </w:rPr>
      </w:pPr>
      <w:r>
        <w:rPr>
          <w:rFonts w:ascii="仿宋" w:hAnsi="仿宋" w:eastAsia="仿宋" w:cs="仿宋"/>
          <w:color w:val="auto"/>
          <w:sz w:val="24"/>
          <w:highlight w:val="none"/>
          <w:lang w:eastAsia="zh-CN"/>
        </w:rPr>
        <w:t> </w:t>
      </w:r>
    </w:p>
    <w:p w14:paraId="2EECFA48">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4"/>
          <w:highlight w:val="none"/>
          <w:lang w:eastAsia="zh-CN"/>
        </w:rPr>
        <w:t> </w:t>
      </w:r>
    </w:p>
    <w:p w14:paraId="7B7BC719">
      <w:pPr>
        <w:pBdr>
          <w:top w:val="none" w:color="000000" w:sz="0" w:space="0"/>
          <w:left w:val="none" w:color="000000" w:sz="0" w:space="0"/>
          <w:bottom w:val="none" w:color="000000" w:sz="0" w:space="0"/>
          <w:right w:val="none" w:color="000000" w:sz="0" w:space="0"/>
        </w:pBdr>
        <w:spacing w:after="120"/>
        <w:ind w:firstLine="240"/>
        <w:jc w:val="both"/>
        <w:rPr>
          <w:color w:val="auto"/>
          <w:highlight w:val="none"/>
          <w:lang w:eastAsia="zh-CN"/>
        </w:rPr>
      </w:pPr>
      <w:r>
        <w:rPr>
          <w:rFonts w:ascii="仿宋" w:hAnsi="仿宋" w:eastAsia="仿宋" w:cs="仿宋"/>
          <w:color w:val="auto"/>
          <w:sz w:val="24"/>
          <w:highlight w:val="none"/>
          <w:lang w:eastAsia="zh-CN"/>
        </w:rPr>
        <w:t> </w:t>
      </w:r>
    </w:p>
    <w:p w14:paraId="2F320D58">
      <w:pPr>
        <w:pBdr>
          <w:top w:val="none" w:color="000000" w:sz="0" w:space="0"/>
          <w:left w:val="none" w:color="000000" w:sz="0" w:space="0"/>
          <w:bottom w:val="none" w:color="000000" w:sz="0" w:space="0"/>
          <w:right w:val="none" w:color="000000" w:sz="0" w:space="0"/>
        </w:pBdr>
        <w:spacing w:after="0"/>
        <w:ind w:left="2100"/>
        <w:jc w:val="both"/>
        <w:rPr>
          <w:color w:val="auto"/>
          <w:highlight w:val="none"/>
          <w:lang w:eastAsia="zh-CN"/>
        </w:rPr>
      </w:pPr>
      <w:r>
        <w:rPr>
          <w:rFonts w:ascii="仿宋" w:hAnsi="仿宋" w:eastAsia="仿宋" w:cs="仿宋"/>
          <w:color w:val="auto"/>
          <w:sz w:val="24"/>
          <w:highlight w:val="none"/>
          <w:lang w:eastAsia="zh-CN"/>
        </w:rPr>
        <w:t> </w:t>
      </w:r>
    </w:p>
    <w:p w14:paraId="6789E5AA">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4"/>
          <w:highlight w:val="none"/>
          <w:lang w:eastAsia="zh-CN"/>
        </w:rPr>
        <w:t> </w:t>
      </w:r>
    </w:p>
    <w:p w14:paraId="4FD4ECEF">
      <w:pPr>
        <w:pBdr>
          <w:top w:val="none" w:color="000000" w:sz="0" w:space="0"/>
          <w:left w:val="none" w:color="000000" w:sz="0" w:space="0"/>
          <w:bottom w:val="none" w:color="000000" w:sz="0" w:space="0"/>
          <w:right w:val="none" w:color="000000" w:sz="0" w:space="0"/>
        </w:pBdr>
        <w:spacing w:after="120"/>
        <w:ind w:firstLine="240"/>
        <w:jc w:val="both"/>
        <w:rPr>
          <w:color w:val="auto"/>
          <w:highlight w:val="none"/>
          <w:lang w:eastAsia="zh-CN"/>
        </w:rPr>
      </w:pPr>
      <w:r>
        <w:rPr>
          <w:rFonts w:ascii="仿宋" w:hAnsi="仿宋" w:eastAsia="仿宋" w:cs="仿宋"/>
          <w:color w:val="auto"/>
          <w:sz w:val="24"/>
          <w:highlight w:val="none"/>
          <w:lang w:eastAsia="zh-CN"/>
        </w:rPr>
        <w:t> </w:t>
      </w:r>
    </w:p>
    <w:p w14:paraId="3E370BEB">
      <w:pPr>
        <w:pBdr>
          <w:top w:val="none" w:color="000000" w:sz="0" w:space="0"/>
          <w:left w:val="none" w:color="000000" w:sz="0" w:space="0"/>
          <w:bottom w:val="none" w:color="000000" w:sz="0" w:space="0"/>
          <w:right w:val="none" w:color="000000" w:sz="0" w:space="0"/>
        </w:pBdr>
        <w:spacing w:after="0"/>
        <w:ind w:left="2100"/>
        <w:jc w:val="both"/>
        <w:rPr>
          <w:color w:val="auto"/>
          <w:highlight w:val="none"/>
          <w:lang w:eastAsia="zh-CN"/>
        </w:rPr>
      </w:pPr>
      <w:r>
        <w:rPr>
          <w:rFonts w:ascii="仿宋" w:hAnsi="仿宋" w:eastAsia="仿宋" w:cs="仿宋"/>
          <w:color w:val="auto"/>
          <w:sz w:val="24"/>
          <w:highlight w:val="none"/>
          <w:lang w:eastAsia="zh-CN"/>
        </w:rPr>
        <w:t> </w:t>
      </w:r>
    </w:p>
    <w:p w14:paraId="33CD8D2B">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4"/>
          <w:highlight w:val="none"/>
          <w:lang w:eastAsia="zh-CN"/>
        </w:rPr>
        <w:t> </w:t>
      </w:r>
    </w:p>
    <w:p w14:paraId="3E5B222A">
      <w:pPr>
        <w:pBdr>
          <w:top w:val="none" w:color="000000" w:sz="0" w:space="0"/>
          <w:left w:val="none" w:color="000000" w:sz="0" w:space="0"/>
          <w:bottom w:val="none" w:color="000000" w:sz="0" w:space="0"/>
          <w:right w:val="none" w:color="000000" w:sz="0" w:space="0"/>
        </w:pBdr>
        <w:spacing w:after="120"/>
        <w:ind w:firstLine="240"/>
        <w:jc w:val="both"/>
        <w:rPr>
          <w:color w:val="auto"/>
          <w:highlight w:val="none"/>
          <w:lang w:eastAsia="zh-CN"/>
        </w:rPr>
      </w:pPr>
      <w:r>
        <w:rPr>
          <w:rFonts w:ascii="仿宋" w:hAnsi="仿宋" w:eastAsia="仿宋" w:cs="仿宋"/>
          <w:color w:val="auto"/>
          <w:sz w:val="24"/>
          <w:highlight w:val="none"/>
          <w:lang w:eastAsia="zh-CN"/>
        </w:rPr>
        <w:t> </w:t>
      </w:r>
    </w:p>
    <w:p w14:paraId="743E39B0">
      <w:pPr>
        <w:pBdr>
          <w:top w:val="none" w:color="000000" w:sz="0" w:space="0"/>
          <w:left w:val="none" w:color="000000" w:sz="0" w:space="0"/>
          <w:bottom w:val="none" w:color="000000" w:sz="0" w:space="0"/>
          <w:right w:val="none" w:color="000000" w:sz="0" w:space="0"/>
        </w:pBdr>
        <w:spacing w:after="0"/>
        <w:ind w:left="2100"/>
        <w:jc w:val="both"/>
        <w:rPr>
          <w:rFonts w:hint="eastAsia" w:ascii="仿宋" w:hAnsi="仿宋" w:eastAsia="仿宋" w:cs="仿宋"/>
          <w:color w:val="auto"/>
          <w:sz w:val="24"/>
          <w:szCs w:val="24"/>
          <w:highlight w:val="none"/>
          <w:lang w:eastAsia="zh-CN"/>
        </w:rPr>
      </w:pPr>
      <w:r>
        <w:rPr>
          <w:rFonts w:ascii="仿宋" w:hAnsi="仿宋" w:eastAsia="仿宋" w:cs="仿宋"/>
          <w:color w:val="auto"/>
          <w:sz w:val="24"/>
          <w:highlight w:val="none"/>
          <w:lang w:eastAsia="zh-CN"/>
        </w:rPr>
        <w:t> </w:t>
      </w:r>
    </w:p>
    <w:p w14:paraId="797B5B4B">
      <w:pPr>
        <w:pBdr>
          <w:top w:val="none" w:color="000000" w:sz="0" w:space="0"/>
          <w:left w:val="none" w:color="000000" w:sz="0" w:space="0"/>
          <w:bottom w:val="none" w:color="000000" w:sz="0" w:space="0"/>
          <w:right w:val="none" w:color="000000" w:sz="0" w:space="0"/>
        </w:pBdr>
        <w:spacing w:after="0"/>
        <w:ind w:left="2100"/>
        <w:jc w:val="both"/>
        <w:rPr>
          <w:rFonts w:ascii="Times New Roman" w:hAnsi="Times New Roman" w:eastAsia="Times New Roman" w:cs="Times New Roman"/>
          <w:color w:val="auto"/>
          <w:highlight w:val="none"/>
          <w:lang w:eastAsia="zh-CN"/>
        </w:rPr>
      </w:pPr>
    </w:p>
    <w:p w14:paraId="084C69D2">
      <w:pPr>
        <w:pBdr>
          <w:top w:val="none" w:color="000000" w:sz="0" w:space="0"/>
          <w:left w:val="none" w:color="000000" w:sz="0" w:space="0"/>
          <w:bottom w:val="none" w:color="000000" w:sz="0" w:space="0"/>
          <w:right w:val="none" w:color="000000" w:sz="0" w:space="0"/>
        </w:pBdr>
        <w:spacing w:after="0"/>
        <w:ind w:left="2100"/>
        <w:jc w:val="both"/>
        <w:rPr>
          <w:rFonts w:ascii="Times New Roman" w:hAnsi="Times New Roman" w:eastAsia="Times New Roman" w:cs="Times New Roman"/>
          <w:color w:val="auto"/>
          <w:highlight w:val="none"/>
          <w:lang w:eastAsia="zh-CN"/>
        </w:rPr>
      </w:pPr>
    </w:p>
    <w:p w14:paraId="5CE30805">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4"/>
          <w:highlight w:val="none"/>
          <w:lang w:eastAsia="zh-CN"/>
        </w:rPr>
        <w:t> </w:t>
      </w:r>
    </w:p>
    <w:p w14:paraId="3A91F605">
      <w:pPr>
        <w:pBdr>
          <w:top w:val="none" w:color="000000" w:sz="0" w:space="0"/>
          <w:left w:val="none" w:color="000000" w:sz="0" w:space="0"/>
          <w:bottom w:val="none" w:color="000000" w:sz="0" w:space="0"/>
          <w:right w:val="none" w:color="000000" w:sz="0" w:space="0"/>
        </w:pBdr>
        <w:spacing w:after="120"/>
        <w:ind w:firstLine="240"/>
        <w:jc w:val="both"/>
        <w:rPr>
          <w:rFonts w:hint="eastAsia" w:ascii="仿宋" w:hAnsi="仿宋" w:eastAsia="仿宋" w:cs="仿宋"/>
          <w:color w:val="auto"/>
          <w:sz w:val="24"/>
          <w:szCs w:val="24"/>
          <w:highlight w:val="none"/>
          <w:lang w:eastAsia="zh-CN"/>
        </w:rPr>
      </w:pPr>
      <w:r>
        <w:rPr>
          <w:rFonts w:ascii="仿宋" w:hAnsi="仿宋" w:eastAsia="仿宋" w:cs="仿宋"/>
          <w:color w:val="auto"/>
          <w:sz w:val="24"/>
          <w:highlight w:val="none"/>
          <w:lang w:eastAsia="zh-CN"/>
        </w:rPr>
        <w:t> </w:t>
      </w:r>
    </w:p>
    <w:p w14:paraId="16BF464A">
      <w:pPr>
        <w:pBdr>
          <w:top w:val="none" w:color="000000" w:sz="0" w:space="0"/>
          <w:left w:val="none" w:color="000000" w:sz="0" w:space="0"/>
          <w:bottom w:val="none" w:color="000000" w:sz="0" w:space="0"/>
          <w:right w:val="none" w:color="000000" w:sz="0" w:space="0"/>
        </w:pBdr>
        <w:spacing w:after="120"/>
        <w:ind w:firstLine="240"/>
        <w:jc w:val="both"/>
        <w:rPr>
          <w:color w:val="auto"/>
          <w:highlight w:val="none"/>
          <w:lang w:eastAsia="zh-CN"/>
        </w:rPr>
      </w:pPr>
    </w:p>
    <w:p w14:paraId="6AB34295">
      <w:pPr>
        <w:pBdr>
          <w:top w:val="none" w:color="000000" w:sz="0" w:space="0"/>
          <w:left w:val="none" w:color="000000" w:sz="0" w:space="0"/>
          <w:bottom w:val="none" w:color="000000" w:sz="0" w:space="0"/>
          <w:right w:val="none" w:color="000000" w:sz="0" w:space="0"/>
        </w:pBdr>
        <w:spacing w:after="0"/>
        <w:ind w:left="2100"/>
        <w:jc w:val="both"/>
        <w:rPr>
          <w:rFonts w:hint="eastAsia" w:ascii="仿宋" w:hAnsi="仿宋" w:eastAsia="仿宋" w:cs="仿宋"/>
          <w:color w:val="auto"/>
          <w:sz w:val="24"/>
          <w:highlight w:val="none"/>
          <w:lang w:eastAsia="zh-CN"/>
        </w:rPr>
      </w:pPr>
      <w:r>
        <w:rPr>
          <w:rFonts w:ascii="仿宋" w:hAnsi="仿宋" w:eastAsia="仿宋" w:cs="仿宋"/>
          <w:color w:val="auto"/>
          <w:sz w:val="24"/>
          <w:highlight w:val="none"/>
          <w:lang w:eastAsia="zh-CN"/>
        </w:rPr>
        <w:t> </w:t>
      </w:r>
    </w:p>
    <w:p w14:paraId="0D0FA128">
      <w:pPr>
        <w:pStyle w:val="35"/>
        <w:ind w:firstLine="480"/>
        <w:rPr>
          <w:rFonts w:hint="eastAsia" w:ascii="仿宋" w:hAnsi="仿宋" w:eastAsia="仿宋" w:cs="仿宋"/>
          <w:color w:val="auto"/>
          <w:highlight w:val="none"/>
          <w:lang w:eastAsia="zh-CN"/>
        </w:rPr>
      </w:pPr>
    </w:p>
    <w:p w14:paraId="66AC2846">
      <w:pPr>
        <w:rPr>
          <w:rFonts w:hint="eastAsia" w:ascii="仿宋" w:hAnsi="仿宋" w:eastAsia="仿宋" w:cs="仿宋"/>
          <w:color w:val="auto"/>
          <w:sz w:val="24"/>
          <w:highlight w:val="none"/>
          <w:lang w:eastAsia="zh-CN"/>
        </w:rPr>
      </w:pPr>
    </w:p>
    <w:p w14:paraId="2761190C">
      <w:pPr>
        <w:pStyle w:val="35"/>
        <w:ind w:firstLine="480"/>
        <w:rPr>
          <w:color w:val="auto"/>
          <w:highlight w:val="none"/>
          <w:lang w:eastAsia="zh-CN"/>
        </w:rPr>
      </w:pPr>
    </w:p>
    <w:p w14:paraId="4143615E">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highlight w:val="none"/>
          <w:lang w:eastAsia="zh-CN"/>
        </w:rPr>
        <w:t> </w:t>
      </w:r>
    </w:p>
    <w:p w14:paraId="7B10BE0F">
      <w:pPr>
        <w:pBdr>
          <w:top w:val="none" w:color="000000" w:sz="0" w:space="0"/>
          <w:left w:val="none" w:color="000000" w:sz="0" w:space="0"/>
          <w:bottom w:val="none" w:color="000000" w:sz="0" w:space="0"/>
          <w:right w:val="none" w:color="000000" w:sz="0" w:space="0"/>
        </w:pBdr>
        <w:spacing w:after="0" w:line="71" w:lineRule="atLeast"/>
        <w:jc w:val="center"/>
        <w:rPr>
          <w:color w:val="auto"/>
          <w:highlight w:val="none"/>
          <w:lang w:eastAsia="zh-CN"/>
        </w:rPr>
      </w:pPr>
      <w:r>
        <w:rPr>
          <w:rFonts w:ascii="仿宋" w:hAnsi="仿宋" w:eastAsia="仿宋" w:cs="仿宋"/>
          <w:b/>
          <w:color w:val="auto"/>
          <w:sz w:val="32"/>
          <w:highlight w:val="none"/>
          <w:lang w:eastAsia="zh-CN"/>
        </w:rPr>
        <w:t>三、技术部分正负偏离表</w:t>
      </w:r>
    </w:p>
    <w:p w14:paraId="6CA151E4">
      <w:pPr>
        <w:pBdr>
          <w:top w:val="none" w:color="000000" w:sz="0" w:space="0"/>
          <w:left w:val="none" w:color="000000" w:sz="0" w:space="0"/>
          <w:bottom w:val="none" w:color="000000" w:sz="0" w:space="0"/>
          <w:right w:val="none" w:color="000000" w:sz="0" w:space="0"/>
        </w:pBdr>
        <w:spacing w:after="0"/>
        <w:ind w:firstLine="560"/>
        <w:jc w:val="center"/>
        <w:rPr>
          <w:color w:val="auto"/>
          <w:highlight w:val="none"/>
          <w:lang w:eastAsia="zh-CN"/>
        </w:rPr>
      </w:pPr>
      <w:r>
        <w:rPr>
          <w:rFonts w:ascii="仿宋" w:hAnsi="仿宋" w:eastAsia="仿宋" w:cs="仿宋"/>
          <w:color w:val="auto"/>
          <w:sz w:val="28"/>
          <w:highlight w:val="none"/>
          <w:lang w:eastAsia="zh-CN"/>
        </w:rPr>
        <w:t>（由供应商据实填写，表格不够自行添加）</w:t>
      </w:r>
    </w:p>
    <w:tbl>
      <w:tblPr>
        <w:tblStyle w:val="37"/>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871"/>
        <w:gridCol w:w="1871"/>
        <w:gridCol w:w="1871"/>
        <w:gridCol w:w="1871"/>
        <w:gridCol w:w="1871"/>
      </w:tblGrid>
      <w:tr w14:paraId="7D82FB1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94" w:hRule="atLeast"/>
        </w:trPr>
        <w:tc>
          <w:tcPr>
            <w:tcW w:w="1871" w:type="dxa"/>
            <w:tcBorders>
              <w:top w:val="single" w:color="000000" w:sz="12" w:space="0"/>
              <w:left w:val="single" w:color="000000" w:sz="12" w:space="0"/>
              <w:bottom w:val="single" w:color="000000" w:sz="8" w:space="0"/>
              <w:right w:val="single" w:color="000000" w:sz="8" w:space="0"/>
            </w:tcBorders>
            <w:tcMar>
              <w:top w:w="0" w:type="dxa"/>
              <w:left w:w="108" w:type="dxa"/>
              <w:bottom w:w="0" w:type="dxa"/>
              <w:right w:w="108" w:type="dxa"/>
            </w:tcMar>
            <w:vAlign w:val="center"/>
          </w:tcPr>
          <w:p w14:paraId="4F3F7BB8">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序号</w:t>
            </w:r>
          </w:p>
        </w:tc>
        <w:tc>
          <w:tcPr>
            <w:tcW w:w="1871"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14:paraId="41122564">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货物或服务名称</w:t>
            </w:r>
          </w:p>
        </w:tc>
        <w:tc>
          <w:tcPr>
            <w:tcW w:w="1871"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14:paraId="529B815D">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lang w:eastAsia="zh-CN"/>
              </w:rPr>
            </w:pPr>
            <w:r>
              <w:rPr>
                <w:rFonts w:ascii="仿宋" w:hAnsi="仿宋" w:eastAsia="仿宋" w:cs="仿宋"/>
                <w:color w:val="auto"/>
                <w:sz w:val="24"/>
                <w:highlight w:val="none"/>
                <w:lang w:eastAsia="zh-CN"/>
              </w:rPr>
              <w:t>磋商文件要求的技术要求</w:t>
            </w:r>
          </w:p>
        </w:tc>
        <w:tc>
          <w:tcPr>
            <w:tcW w:w="1871"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14:paraId="7B4C1397">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响应文件响应情况</w:t>
            </w:r>
          </w:p>
        </w:tc>
        <w:tc>
          <w:tcPr>
            <w:tcW w:w="1871" w:type="dxa"/>
            <w:tcBorders>
              <w:top w:val="single" w:color="000000" w:sz="12" w:space="0"/>
              <w:left w:val="nil"/>
              <w:bottom w:val="single" w:color="000000" w:sz="8" w:space="0"/>
              <w:right w:val="single" w:color="000000" w:sz="12" w:space="0"/>
            </w:tcBorders>
            <w:tcMar>
              <w:top w:w="0" w:type="dxa"/>
              <w:left w:w="108" w:type="dxa"/>
              <w:bottom w:w="0" w:type="dxa"/>
              <w:right w:w="108" w:type="dxa"/>
            </w:tcMar>
          </w:tcPr>
          <w:p w14:paraId="2F2CE071">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 </w:t>
            </w:r>
          </w:p>
          <w:p w14:paraId="7539B9AF">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偏离说明</w:t>
            </w:r>
          </w:p>
        </w:tc>
      </w:tr>
      <w:tr w14:paraId="3B5B6E8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14" w:hRule="atLeast"/>
        </w:trPr>
        <w:tc>
          <w:tcPr>
            <w:tcW w:w="1871" w:type="dxa"/>
            <w:tcBorders>
              <w:top w:val="nil"/>
              <w:left w:val="single" w:color="000000" w:sz="12" w:space="0"/>
              <w:bottom w:val="single" w:color="000000" w:sz="8" w:space="0"/>
              <w:right w:val="single" w:color="000000" w:sz="8" w:space="0"/>
            </w:tcBorders>
            <w:tcMar>
              <w:top w:w="0" w:type="dxa"/>
              <w:left w:w="108" w:type="dxa"/>
              <w:bottom w:w="0" w:type="dxa"/>
              <w:right w:w="108" w:type="dxa"/>
            </w:tcMar>
          </w:tcPr>
          <w:p w14:paraId="45D9F001">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1</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5F84033">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09E1EB9">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46C6B07">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12" w:space="0"/>
            </w:tcBorders>
            <w:tcMar>
              <w:top w:w="0" w:type="dxa"/>
              <w:left w:w="108" w:type="dxa"/>
              <w:bottom w:w="0" w:type="dxa"/>
              <w:right w:w="108" w:type="dxa"/>
            </w:tcMar>
          </w:tcPr>
          <w:p w14:paraId="444D3463">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r>
      <w:tr w14:paraId="3636BA6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63" w:hRule="atLeast"/>
        </w:trPr>
        <w:tc>
          <w:tcPr>
            <w:tcW w:w="1871" w:type="dxa"/>
            <w:tcBorders>
              <w:top w:val="nil"/>
              <w:left w:val="single" w:color="000000" w:sz="12" w:space="0"/>
              <w:bottom w:val="single" w:color="000000" w:sz="8" w:space="0"/>
              <w:right w:val="single" w:color="000000" w:sz="8" w:space="0"/>
            </w:tcBorders>
            <w:tcMar>
              <w:top w:w="0" w:type="dxa"/>
              <w:left w:w="108" w:type="dxa"/>
              <w:bottom w:w="0" w:type="dxa"/>
              <w:right w:w="108" w:type="dxa"/>
            </w:tcMar>
          </w:tcPr>
          <w:p w14:paraId="68E6A71C">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2</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AA99225">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7705DD5">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A96A645">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12" w:space="0"/>
            </w:tcBorders>
            <w:tcMar>
              <w:top w:w="0" w:type="dxa"/>
              <w:left w:w="108" w:type="dxa"/>
              <w:bottom w:w="0" w:type="dxa"/>
              <w:right w:w="108" w:type="dxa"/>
            </w:tcMar>
          </w:tcPr>
          <w:p w14:paraId="51CB5B11">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r>
      <w:tr w14:paraId="32C2507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1871" w:type="dxa"/>
            <w:tcBorders>
              <w:top w:val="nil"/>
              <w:left w:val="single" w:color="000000" w:sz="12" w:space="0"/>
              <w:bottom w:val="single" w:color="000000" w:sz="8" w:space="0"/>
              <w:right w:val="single" w:color="000000" w:sz="8" w:space="0"/>
            </w:tcBorders>
            <w:tcMar>
              <w:top w:w="0" w:type="dxa"/>
              <w:left w:w="108" w:type="dxa"/>
              <w:bottom w:w="0" w:type="dxa"/>
              <w:right w:w="108" w:type="dxa"/>
            </w:tcMar>
          </w:tcPr>
          <w:p w14:paraId="01A7150D">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3</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403F6A8">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25F63C2">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88BF4BF">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8" w:space="0"/>
              <w:right w:val="single" w:color="000000" w:sz="12" w:space="0"/>
            </w:tcBorders>
            <w:tcMar>
              <w:top w:w="0" w:type="dxa"/>
              <w:left w:w="108" w:type="dxa"/>
              <w:bottom w:w="0" w:type="dxa"/>
              <w:right w:w="108" w:type="dxa"/>
            </w:tcMar>
          </w:tcPr>
          <w:p w14:paraId="525965F6">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r>
      <w:tr w14:paraId="20CDBE3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19" w:hRule="atLeast"/>
        </w:trPr>
        <w:tc>
          <w:tcPr>
            <w:tcW w:w="1871" w:type="dxa"/>
            <w:tcBorders>
              <w:top w:val="nil"/>
              <w:left w:val="single" w:color="000000" w:sz="12" w:space="0"/>
              <w:bottom w:val="single" w:color="000000" w:sz="12" w:space="0"/>
              <w:right w:val="single" w:color="000000" w:sz="8" w:space="0"/>
            </w:tcBorders>
            <w:tcMar>
              <w:top w:w="0" w:type="dxa"/>
              <w:left w:w="108" w:type="dxa"/>
              <w:bottom w:w="0" w:type="dxa"/>
              <w:right w:w="108" w:type="dxa"/>
            </w:tcMar>
          </w:tcPr>
          <w:p w14:paraId="00462C27">
            <w:pPr>
              <w:pBdr>
                <w:top w:val="none" w:color="000000" w:sz="0" w:space="0"/>
                <w:left w:val="none" w:color="000000" w:sz="0" w:space="0"/>
                <w:bottom w:val="none" w:color="000000" w:sz="0" w:space="0"/>
                <w:right w:val="none" w:color="000000" w:sz="0" w:space="0"/>
              </w:pBdr>
              <w:spacing w:after="0" w:line="340" w:lineRule="atLeast"/>
              <w:jc w:val="center"/>
              <w:rPr>
                <w:color w:val="auto"/>
                <w:highlight w:val="none"/>
              </w:rPr>
            </w:pPr>
            <w:r>
              <w:rPr>
                <w:rFonts w:ascii="仿宋" w:hAnsi="仿宋" w:eastAsia="仿宋" w:cs="仿宋"/>
                <w:color w:val="auto"/>
                <w:sz w:val="24"/>
                <w:highlight w:val="none"/>
              </w:rPr>
              <w:t>4</w:t>
            </w:r>
          </w:p>
        </w:tc>
        <w:tc>
          <w:tcPr>
            <w:tcW w:w="1871" w:type="dxa"/>
            <w:tcBorders>
              <w:top w:val="nil"/>
              <w:left w:val="nil"/>
              <w:bottom w:val="single" w:color="000000" w:sz="12" w:space="0"/>
              <w:right w:val="single" w:color="000000" w:sz="8" w:space="0"/>
            </w:tcBorders>
            <w:tcMar>
              <w:top w:w="0" w:type="dxa"/>
              <w:left w:w="108" w:type="dxa"/>
              <w:bottom w:w="0" w:type="dxa"/>
              <w:right w:w="108" w:type="dxa"/>
            </w:tcMar>
            <w:vAlign w:val="center"/>
          </w:tcPr>
          <w:p w14:paraId="1327B721">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12" w:space="0"/>
              <w:right w:val="single" w:color="000000" w:sz="8" w:space="0"/>
            </w:tcBorders>
            <w:tcMar>
              <w:top w:w="0" w:type="dxa"/>
              <w:left w:w="108" w:type="dxa"/>
              <w:bottom w:w="0" w:type="dxa"/>
              <w:right w:w="108" w:type="dxa"/>
            </w:tcMar>
            <w:vAlign w:val="center"/>
          </w:tcPr>
          <w:p w14:paraId="23251212">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12" w:space="0"/>
              <w:right w:val="single" w:color="000000" w:sz="8" w:space="0"/>
            </w:tcBorders>
            <w:tcMar>
              <w:top w:w="0" w:type="dxa"/>
              <w:left w:w="108" w:type="dxa"/>
              <w:bottom w:w="0" w:type="dxa"/>
              <w:right w:w="108" w:type="dxa"/>
            </w:tcMar>
            <w:vAlign w:val="center"/>
          </w:tcPr>
          <w:p w14:paraId="08402DE0">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c>
          <w:tcPr>
            <w:tcW w:w="1871" w:type="dxa"/>
            <w:tcBorders>
              <w:top w:val="nil"/>
              <w:left w:val="nil"/>
              <w:bottom w:val="single" w:color="000000" w:sz="12" w:space="0"/>
              <w:right w:val="single" w:color="000000" w:sz="12" w:space="0"/>
            </w:tcBorders>
            <w:tcMar>
              <w:top w:w="0" w:type="dxa"/>
              <w:left w:w="108" w:type="dxa"/>
              <w:bottom w:w="0" w:type="dxa"/>
              <w:right w:w="108" w:type="dxa"/>
            </w:tcMar>
          </w:tcPr>
          <w:p w14:paraId="266C861A">
            <w:pPr>
              <w:pBdr>
                <w:top w:val="none" w:color="000000" w:sz="0" w:space="0"/>
                <w:left w:val="none" w:color="000000" w:sz="0" w:space="0"/>
                <w:bottom w:val="none" w:color="000000" w:sz="0" w:space="0"/>
                <w:right w:val="none" w:color="000000" w:sz="0" w:space="0"/>
              </w:pBdr>
              <w:spacing w:after="0" w:line="340" w:lineRule="atLeast"/>
              <w:rPr>
                <w:color w:val="auto"/>
                <w:highlight w:val="none"/>
              </w:rPr>
            </w:pPr>
            <w:r>
              <w:rPr>
                <w:rFonts w:ascii="仿宋" w:hAnsi="仿宋" w:eastAsia="仿宋" w:cs="仿宋"/>
                <w:color w:val="auto"/>
                <w:sz w:val="24"/>
                <w:highlight w:val="none"/>
              </w:rPr>
              <w:t> </w:t>
            </w:r>
          </w:p>
        </w:tc>
      </w:tr>
    </w:tbl>
    <w:p w14:paraId="70479B22">
      <w:pPr>
        <w:pBdr>
          <w:top w:val="none" w:color="000000" w:sz="0" w:space="0"/>
          <w:left w:val="none" w:color="000000" w:sz="0" w:space="0"/>
          <w:bottom w:val="none" w:color="000000" w:sz="0" w:space="0"/>
          <w:right w:val="none" w:color="000000" w:sz="0" w:space="0"/>
        </w:pBdr>
        <w:spacing w:after="0" w:line="71" w:lineRule="atLeast"/>
        <w:jc w:val="both"/>
        <w:rPr>
          <w:color w:val="auto"/>
          <w:highlight w:val="none"/>
        </w:rPr>
      </w:pPr>
      <w:r>
        <w:rPr>
          <w:rFonts w:ascii="仿宋" w:hAnsi="仿宋" w:eastAsia="仿宋" w:cs="仿宋"/>
          <w:b/>
          <w:color w:val="auto"/>
          <w:sz w:val="24"/>
          <w:highlight w:val="none"/>
        </w:rPr>
        <w:t>注：</w:t>
      </w:r>
    </w:p>
    <w:p w14:paraId="31DF658D">
      <w:pPr>
        <w:pBdr>
          <w:top w:val="none" w:color="000000" w:sz="0" w:space="0"/>
          <w:left w:val="none" w:color="000000" w:sz="0" w:space="0"/>
          <w:bottom w:val="none" w:color="000000" w:sz="0" w:space="0"/>
          <w:right w:val="none" w:color="000000" w:sz="0" w:space="0"/>
        </w:pBdr>
        <w:spacing w:after="0" w:line="71" w:lineRule="atLeast"/>
        <w:ind w:firstLine="480"/>
        <w:jc w:val="both"/>
        <w:rPr>
          <w:color w:val="auto"/>
          <w:highlight w:val="none"/>
          <w:lang w:eastAsia="zh-CN"/>
        </w:rPr>
      </w:pPr>
      <w:r>
        <w:rPr>
          <w:rFonts w:ascii="仿宋" w:hAnsi="仿宋" w:eastAsia="仿宋" w:cs="仿宋"/>
          <w:color w:val="auto"/>
          <w:sz w:val="24"/>
          <w:highlight w:val="none"/>
          <w:lang w:eastAsia="zh-CN"/>
        </w:rPr>
        <w:t>1.供应商提交的响应文件中与磋商文件“项目需求”中的技术部分的要求，应逐条填列在偏离表中</w:t>
      </w:r>
      <w:r>
        <w:rPr>
          <w:rFonts w:hint="eastAsia" w:ascii="仿宋" w:hAnsi="仿宋" w:eastAsia="仿宋" w:cs="仿宋"/>
          <w:color w:val="auto"/>
          <w:sz w:val="24"/>
          <w:highlight w:val="none"/>
          <w:lang w:eastAsia="zh-CN"/>
        </w:rPr>
        <w:t>，若完全响应本项目需求且无偏离，</w:t>
      </w:r>
      <w:r>
        <w:rPr>
          <w:rFonts w:hint="eastAsia" w:ascii="仿宋" w:hAnsi="仿宋" w:eastAsia="仿宋" w:cs="仿宋"/>
          <w:color w:val="auto"/>
          <w:sz w:val="24"/>
          <w:highlight w:val="none"/>
          <w:lang w:val="en-US" w:eastAsia="zh-CN"/>
        </w:rPr>
        <w:t>响应文件中</w:t>
      </w:r>
      <w:r>
        <w:rPr>
          <w:rFonts w:hint="eastAsia" w:ascii="仿宋" w:hAnsi="仿宋" w:eastAsia="仿宋" w:cs="仿宋"/>
          <w:color w:val="auto"/>
          <w:sz w:val="24"/>
          <w:highlight w:val="none"/>
          <w:lang w:eastAsia="zh-CN"/>
        </w:rPr>
        <w:t>本表可空白盖章提供</w:t>
      </w:r>
      <w:r>
        <w:rPr>
          <w:rFonts w:ascii="仿宋" w:hAnsi="仿宋" w:eastAsia="仿宋" w:cs="仿宋"/>
          <w:color w:val="auto"/>
          <w:sz w:val="24"/>
          <w:highlight w:val="none"/>
          <w:lang w:eastAsia="zh-CN"/>
        </w:rPr>
        <w:t>。</w:t>
      </w:r>
    </w:p>
    <w:p w14:paraId="28AB077C">
      <w:pPr>
        <w:pBdr>
          <w:top w:val="none" w:color="000000" w:sz="0" w:space="0"/>
          <w:left w:val="none" w:color="000000" w:sz="0" w:space="0"/>
          <w:bottom w:val="none" w:color="000000" w:sz="0" w:space="0"/>
          <w:right w:val="none" w:color="000000" w:sz="0" w:space="0"/>
        </w:pBdr>
        <w:spacing w:after="0" w:line="71" w:lineRule="atLeast"/>
        <w:ind w:firstLine="480"/>
        <w:jc w:val="both"/>
        <w:rPr>
          <w:color w:val="auto"/>
          <w:highlight w:val="none"/>
          <w:lang w:eastAsia="zh-CN"/>
        </w:rPr>
      </w:pPr>
      <w:r>
        <w:rPr>
          <w:rFonts w:ascii="仿宋" w:hAnsi="仿宋" w:eastAsia="仿宋" w:cs="仿宋"/>
          <w:color w:val="auto"/>
          <w:sz w:val="24"/>
          <w:highlight w:val="none"/>
          <w:lang w:eastAsia="zh-CN"/>
        </w:rPr>
        <w:t>2. “偏离说明”一栏选择“正偏离”、“无偏离”、“负偏离”进行填写。正偏离、无偏离的确认和负偏离的是否响应招标文件，由评委认定。</w:t>
      </w:r>
    </w:p>
    <w:p w14:paraId="08919C15">
      <w:pPr>
        <w:pBdr>
          <w:top w:val="none" w:color="000000" w:sz="0" w:space="0"/>
          <w:left w:val="none" w:color="000000" w:sz="0" w:space="0"/>
          <w:bottom w:val="none" w:color="000000" w:sz="0" w:space="0"/>
          <w:right w:val="none" w:color="000000" w:sz="0" w:space="0"/>
        </w:pBdr>
        <w:spacing w:after="0" w:line="71" w:lineRule="atLeast"/>
        <w:ind w:firstLine="480"/>
        <w:jc w:val="both"/>
        <w:rPr>
          <w:color w:val="auto"/>
          <w:highlight w:val="none"/>
          <w:lang w:eastAsia="zh-CN"/>
        </w:rPr>
      </w:pPr>
      <w:r>
        <w:rPr>
          <w:rFonts w:ascii="仿宋" w:hAnsi="仿宋" w:eastAsia="仿宋" w:cs="仿宋"/>
          <w:color w:val="auto"/>
          <w:sz w:val="24"/>
          <w:highlight w:val="none"/>
          <w:lang w:eastAsia="zh-CN"/>
        </w:rPr>
        <w:t>3.供应商如果虚假响应，将被暂停参加南通市经济技术开发区政府采购活动。</w:t>
      </w:r>
    </w:p>
    <w:p w14:paraId="65BFB420">
      <w:pPr>
        <w:pBdr>
          <w:top w:val="none" w:color="000000" w:sz="0" w:space="0"/>
          <w:left w:val="none" w:color="000000" w:sz="0" w:space="0"/>
          <w:bottom w:val="none" w:color="000000" w:sz="0" w:space="0"/>
          <w:right w:val="none" w:color="000000" w:sz="0" w:space="0"/>
        </w:pBdr>
        <w:spacing w:after="0" w:line="71" w:lineRule="atLeast"/>
        <w:ind w:firstLine="480"/>
        <w:jc w:val="both"/>
        <w:rPr>
          <w:color w:val="auto"/>
          <w:highlight w:val="none"/>
          <w:lang w:eastAsia="zh-CN"/>
        </w:rPr>
      </w:pPr>
      <w:r>
        <w:rPr>
          <w:rFonts w:ascii="仿宋" w:hAnsi="仿宋" w:eastAsia="仿宋" w:cs="仿宋"/>
          <w:color w:val="auto"/>
          <w:sz w:val="24"/>
          <w:highlight w:val="none"/>
          <w:lang w:eastAsia="zh-CN"/>
        </w:rPr>
        <w:t>4.供应商若提供其他增值服务，可以在表中自行据实填写。</w:t>
      </w:r>
    </w:p>
    <w:p w14:paraId="53C31A4F">
      <w:pPr>
        <w:pBdr>
          <w:top w:val="none" w:color="000000" w:sz="0" w:space="0"/>
          <w:left w:val="none" w:color="000000" w:sz="0" w:space="0"/>
          <w:bottom w:val="none" w:color="000000" w:sz="0" w:space="0"/>
          <w:right w:val="none" w:color="000000" w:sz="0" w:space="0"/>
        </w:pBdr>
        <w:spacing w:after="120"/>
        <w:ind w:firstLine="240"/>
        <w:jc w:val="both"/>
        <w:rPr>
          <w:color w:val="auto"/>
          <w:highlight w:val="none"/>
          <w:lang w:eastAsia="zh-CN"/>
        </w:rPr>
      </w:pPr>
      <w:r>
        <w:rPr>
          <w:rFonts w:ascii="仿宋" w:hAnsi="仿宋" w:eastAsia="仿宋" w:cs="仿宋"/>
          <w:color w:val="auto"/>
          <w:sz w:val="24"/>
          <w:highlight w:val="none"/>
          <w:lang w:eastAsia="zh-CN"/>
        </w:rPr>
        <w:t> </w:t>
      </w:r>
    </w:p>
    <w:p w14:paraId="5CCF216D">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 </w:t>
      </w:r>
    </w:p>
    <w:p w14:paraId="2CDDE363">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 </w:t>
      </w:r>
    </w:p>
    <w:p w14:paraId="0413A263">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4"/>
          <w:highlight w:val="none"/>
          <w:lang w:eastAsia="zh-CN"/>
        </w:rPr>
        <w:t> </w:t>
      </w:r>
    </w:p>
    <w:p w14:paraId="7766FF5A">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4"/>
          <w:highlight w:val="none"/>
          <w:lang w:eastAsia="zh-CN"/>
        </w:rPr>
        <w:t> </w:t>
      </w:r>
    </w:p>
    <w:p w14:paraId="15232DDD">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4"/>
          <w:highlight w:val="none"/>
          <w:lang w:eastAsia="zh-CN"/>
        </w:rPr>
        <w:t> </w:t>
      </w:r>
    </w:p>
    <w:p w14:paraId="73B0D3AC">
      <w:pPr>
        <w:pBdr>
          <w:top w:val="none" w:color="000000" w:sz="0" w:space="0"/>
          <w:left w:val="none" w:color="000000" w:sz="0" w:space="0"/>
          <w:bottom w:val="none" w:color="000000" w:sz="0" w:space="0"/>
          <w:right w:val="none" w:color="000000" w:sz="0" w:space="0"/>
        </w:pBdr>
        <w:spacing w:after="0"/>
        <w:jc w:val="both"/>
        <w:rPr>
          <w:rFonts w:ascii="Times New Roman" w:hAnsi="Times New Roman" w:eastAsia="Times New Roman" w:cs="Times New Roman"/>
          <w:color w:val="auto"/>
          <w:highlight w:val="none"/>
          <w:lang w:eastAsia="zh-CN"/>
        </w:rPr>
      </w:pPr>
    </w:p>
    <w:p w14:paraId="7F43BE48">
      <w:pPr>
        <w:pBdr>
          <w:top w:val="none" w:color="000000" w:sz="0" w:space="0"/>
          <w:left w:val="none" w:color="000000" w:sz="0" w:space="0"/>
          <w:bottom w:val="none" w:color="000000" w:sz="0" w:space="0"/>
          <w:right w:val="none" w:color="000000" w:sz="0" w:space="0"/>
        </w:pBdr>
        <w:spacing w:after="0" w:line="71" w:lineRule="atLeast"/>
        <w:jc w:val="center"/>
        <w:rPr>
          <w:rFonts w:hint="eastAsia" w:ascii="仿宋" w:hAnsi="仿宋" w:eastAsia="仿宋" w:cs="仿宋"/>
          <w:b/>
          <w:bCs/>
          <w:color w:val="auto"/>
          <w:sz w:val="32"/>
          <w:szCs w:val="32"/>
          <w:highlight w:val="none"/>
          <w:lang w:eastAsia="zh-CN"/>
        </w:rPr>
      </w:pPr>
    </w:p>
    <w:p w14:paraId="7AC0A4DF">
      <w:pPr>
        <w:pBdr>
          <w:top w:val="none" w:color="000000" w:sz="0" w:space="0"/>
          <w:left w:val="none" w:color="000000" w:sz="0" w:space="0"/>
          <w:bottom w:val="none" w:color="000000" w:sz="0" w:space="0"/>
          <w:right w:val="none" w:color="000000" w:sz="0" w:space="0"/>
        </w:pBdr>
        <w:spacing w:after="0" w:line="71" w:lineRule="atLeast"/>
        <w:jc w:val="center"/>
        <w:rPr>
          <w:rFonts w:hint="eastAsia" w:ascii="仿宋" w:hAnsi="仿宋" w:eastAsia="仿宋" w:cs="仿宋"/>
          <w:b/>
          <w:bCs/>
          <w:color w:val="auto"/>
          <w:sz w:val="32"/>
          <w:szCs w:val="32"/>
          <w:highlight w:val="none"/>
          <w:lang w:eastAsia="zh-CN"/>
        </w:rPr>
      </w:pPr>
      <w:r>
        <w:rPr>
          <w:rFonts w:ascii="仿宋" w:hAnsi="仿宋" w:eastAsia="仿宋" w:cs="仿宋"/>
          <w:b/>
          <w:color w:val="auto"/>
          <w:sz w:val="32"/>
          <w:highlight w:val="none"/>
          <w:lang w:eastAsia="zh-CN"/>
        </w:rPr>
        <w:t>四、技术标其他格式自拟</w:t>
      </w:r>
    </w:p>
    <w:p w14:paraId="28CE9E18">
      <w:pPr>
        <w:pBdr>
          <w:top w:val="none" w:color="000000" w:sz="0" w:space="0"/>
          <w:left w:val="none" w:color="000000" w:sz="0" w:space="0"/>
          <w:bottom w:val="none" w:color="000000" w:sz="0" w:space="0"/>
          <w:right w:val="none" w:color="000000" w:sz="0" w:space="0"/>
        </w:pBdr>
        <w:spacing w:after="0" w:line="460" w:lineRule="atLeast"/>
        <w:jc w:val="both"/>
        <w:rPr>
          <w:color w:val="auto"/>
          <w:highlight w:val="none"/>
          <w:lang w:eastAsia="zh-CN"/>
        </w:rPr>
      </w:pPr>
      <w:r>
        <w:rPr>
          <w:rFonts w:ascii="仿宋" w:hAnsi="仿宋" w:eastAsia="仿宋" w:cs="仿宋"/>
          <w:color w:val="auto"/>
          <w:sz w:val="24"/>
          <w:highlight w:val="none"/>
          <w:lang w:eastAsia="zh-CN"/>
        </w:rPr>
        <w:t> </w:t>
      </w:r>
    </w:p>
    <w:p w14:paraId="37313700">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8"/>
          <w:highlight w:val="none"/>
          <w:lang w:eastAsia="zh-CN"/>
        </w:rPr>
        <w:t> </w:t>
      </w:r>
    </w:p>
    <w:p w14:paraId="2CC07539">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highlight w:val="none"/>
          <w:lang w:eastAsia="zh-CN"/>
        </w:rPr>
        <w:t> </w:t>
      </w:r>
    </w:p>
    <w:p w14:paraId="56EC3E02">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8"/>
          <w:highlight w:val="none"/>
          <w:lang w:eastAsia="zh-CN"/>
        </w:rPr>
        <w:t> </w:t>
      </w:r>
    </w:p>
    <w:p w14:paraId="7F450AC2">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highlight w:val="none"/>
          <w:lang w:eastAsia="zh-CN"/>
        </w:rPr>
        <w:t> </w:t>
      </w:r>
    </w:p>
    <w:p w14:paraId="3BC33B3A">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8"/>
          <w:highlight w:val="none"/>
          <w:lang w:eastAsia="zh-CN"/>
        </w:rPr>
        <w:t> </w:t>
      </w:r>
    </w:p>
    <w:p w14:paraId="292140E0">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highlight w:val="none"/>
          <w:lang w:eastAsia="zh-CN"/>
        </w:rPr>
        <w:t> </w:t>
      </w:r>
    </w:p>
    <w:p w14:paraId="3762094C">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8"/>
          <w:highlight w:val="none"/>
          <w:lang w:eastAsia="zh-CN"/>
        </w:rPr>
        <w:t> </w:t>
      </w:r>
    </w:p>
    <w:p w14:paraId="5F42361F">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highlight w:val="none"/>
          <w:lang w:eastAsia="zh-CN"/>
        </w:rPr>
        <w:t> </w:t>
      </w:r>
    </w:p>
    <w:p w14:paraId="42D9CB7F">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4"/>
          <w:highlight w:val="none"/>
          <w:lang w:eastAsia="zh-CN"/>
        </w:rPr>
        <w:t> </w:t>
      </w:r>
    </w:p>
    <w:p w14:paraId="4E304611">
      <w:pPr>
        <w:pBdr>
          <w:top w:val="none" w:color="000000" w:sz="0" w:space="0"/>
          <w:left w:val="none" w:color="000000" w:sz="0" w:space="0"/>
          <w:bottom w:val="none" w:color="000000" w:sz="0" w:space="0"/>
          <w:right w:val="none" w:color="000000" w:sz="0" w:space="0"/>
        </w:pBdr>
        <w:spacing w:after="0"/>
        <w:jc w:val="both"/>
        <w:rPr>
          <w:rFonts w:ascii="仿宋" w:hAnsi="仿宋" w:eastAsia="仿宋" w:cs="仿宋"/>
          <w:color w:val="auto"/>
          <w:sz w:val="24"/>
          <w:highlight w:val="none"/>
          <w:lang w:eastAsia="zh-CN"/>
        </w:rPr>
      </w:pPr>
      <w:r>
        <w:rPr>
          <w:rFonts w:ascii="仿宋" w:hAnsi="仿宋" w:eastAsia="仿宋" w:cs="仿宋"/>
          <w:color w:val="auto"/>
          <w:sz w:val="24"/>
          <w:highlight w:val="none"/>
          <w:lang w:eastAsia="zh-CN"/>
        </w:rPr>
        <w:t> </w:t>
      </w:r>
    </w:p>
    <w:p w14:paraId="321C538B">
      <w:pPr>
        <w:pBdr>
          <w:top w:val="none" w:color="000000" w:sz="0" w:space="0"/>
          <w:left w:val="none" w:color="000000" w:sz="0" w:space="0"/>
          <w:bottom w:val="none" w:color="000000" w:sz="0" w:space="0"/>
          <w:right w:val="none" w:color="000000" w:sz="0" w:space="0"/>
        </w:pBdr>
        <w:spacing w:after="0"/>
        <w:jc w:val="both"/>
        <w:rPr>
          <w:rFonts w:ascii="仿宋" w:hAnsi="仿宋" w:eastAsia="仿宋" w:cs="仿宋"/>
          <w:color w:val="auto"/>
          <w:sz w:val="24"/>
          <w:highlight w:val="none"/>
          <w:lang w:eastAsia="zh-CN"/>
        </w:rPr>
      </w:pPr>
    </w:p>
    <w:p w14:paraId="69216491">
      <w:pPr>
        <w:pBdr>
          <w:top w:val="none" w:color="000000" w:sz="0" w:space="0"/>
          <w:left w:val="none" w:color="000000" w:sz="0" w:space="0"/>
          <w:bottom w:val="none" w:color="000000" w:sz="0" w:space="0"/>
          <w:right w:val="none" w:color="000000" w:sz="0" w:space="0"/>
        </w:pBdr>
        <w:spacing w:after="0"/>
        <w:jc w:val="both"/>
        <w:rPr>
          <w:rFonts w:ascii="仿宋" w:hAnsi="仿宋" w:eastAsia="仿宋" w:cs="仿宋"/>
          <w:color w:val="auto"/>
          <w:sz w:val="24"/>
          <w:highlight w:val="none"/>
          <w:lang w:eastAsia="zh-CN"/>
        </w:rPr>
      </w:pPr>
    </w:p>
    <w:p w14:paraId="38DEF1E7">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4"/>
          <w:highlight w:val="none"/>
          <w:lang w:eastAsia="zh-CN"/>
        </w:rPr>
        <w:t> </w:t>
      </w:r>
    </w:p>
    <w:p w14:paraId="6002F372">
      <w:pPr>
        <w:pBdr>
          <w:top w:val="none" w:color="000000" w:sz="0" w:space="0"/>
          <w:left w:val="none" w:color="000000" w:sz="0" w:space="0"/>
          <w:bottom w:val="none" w:color="000000" w:sz="0" w:space="0"/>
          <w:right w:val="none" w:color="000000" w:sz="0" w:space="0"/>
        </w:pBdr>
        <w:spacing w:after="0"/>
        <w:jc w:val="both"/>
        <w:rPr>
          <w:rFonts w:hint="eastAsia" w:ascii="仿宋" w:hAnsi="仿宋" w:eastAsia="仿宋" w:cs="仿宋"/>
          <w:b/>
          <w:bCs/>
          <w:color w:val="auto"/>
          <w:sz w:val="28"/>
          <w:szCs w:val="28"/>
          <w:highlight w:val="none"/>
          <w:lang w:eastAsia="zh-CN"/>
        </w:rPr>
      </w:pPr>
      <w:r>
        <w:rPr>
          <w:rFonts w:ascii="仿宋" w:hAnsi="仿宋" w:eastAsia="仿宋" w:cs="仿宋"/>
          <w:color w:val="auto"/>
          <w:sz w:val="24"/>
          <w:highlight w:val="none"/>
          <w:lang w:eastAsia="zh-CN"/>
        </w:rPr>
        <w:t> </w:t>
      </w:r>
    </w:p>
    <w:p w14:paraId="2CADFED9">
      <w:pPr>
        <w:pBdr>
          <w:top w:val="none" w:color="000000" w:sz="0" w:space="0"/>
          <w:left w:val="none" w:color="000000" w:sz="0" w:space="0"/>
          <w:bottom w:val="none" w:color="000000" w:sz="0" w:space="0"/>
          <w:right w:val="none" w:color="000000" w:sz="0" w:space="0"/>
        </w:pBdr>
        <w:spacing w:after="0" w:line="85" w:lineRule="atLeast"/>
        <w:jc w:val="center"/>
        <w:rPr>
          <w:rFonts w:hint="eastAsia" w:ascii="仿宋" w:hAnsi="仿宋" w:eastAsia="仿宋" w:cs="仿宋"/>
          <w:color w:val="auto"/>
          <w:sz w:val="28"/>
          <w:szCs w:val="28"/>
          <w:highlight w:val="none"/>
          <w:lang w:eastAsia="zh-CN"/>
        </w:rPr>
      </w:pPr>
      <w:r>
        <w:rPr>
          <w:rFonts w:ascii="仿宋" w:hAnsi="仿宋" w:eastAsia="仿宋" w:cs="仿宋"/>
          <w:color w:val="auto"/>
          <w:sz w:val="28"/>
          <w:highlight w:val="none"/>
          <w:lang w:eastAsia="zh-CN"/>
        </w:rPr>
        <w:t>第三部分  价格标主要内容（单独密封）</w:t>
      </w:r>
    </w:p>
    <w:p w14:paraId="038E57E1">
      <w:pPr>
        <w:pBdr>
          <w:top w:val="none" w:color="000000" w:sz="0" w:space="0"/>
          <w:left w:val="none" w:color="000000" w:sz="0" w:space="0"/>
          <w:bottom w:val="none" w:color="000000" w:sz="0" w:space="0"/>
          <w:right w:val="none" w:color="000000" w:sz="0" w:space="0"/>
        </w:pBdr>
        <w:spacing w:after="0" w:line="85" w:lineRule="atLeast"/>
        <w:jc w:val="center"/>
        <w:rPr>
          <w:rFonts w:hint="eastAsia" w:ascii="仿宋" w:hAnsi="仿宋" w:eastAsia="仿宋" w:cs="仿宋"/>
          <w:color w:val="auto"/>
          <w:sz w:val="24"/>
          <w:highlight w:val="none"/>
          <w:lang w:eastAsia="zh-CN"/>
        </w:rPr>
      </w:pPr>
    </w:p>
    <w:p w14:paraId="2C82926C">
      <w:pPr>
        <w:pBdr>
          <w:top w:val="none" w:color="000000" w:sz="0" w:space="0"/>
          <w:left w:val="none" w:color="000000" w:sz="0" w:space="0"/>
          <w:bottom w:val="none" w:color="000000" w:sz="0" w:space="0"/>
          <w:right w:val="none" w:color="000000" w:sz="0" w:space="0"/>
        </w:pBdr>
        <w:spacing w:after="0" w:line="85" w:lineRule="atLeast"/>
        <w:jc w:val="center"/>
        <w:rPr>
          <w:rFonts w:hint="eastAsia" w:ascii="仿宋" w:hAnsi="仿宋" w:eastAsia="仿宋" w:cs="仿宋"/>
          <w:color w:val="auto"/>
          <w:sz w:val="24"/>
          <w:highlight w:val="none"/>
          <w:lang w:eastAsia="zh-CN"/>
        </w:rPr>
      </w:pPr>
    </w:p>
    <w:p w14:paraId="25E31C4B">
      <w:pPr>
        <w:pBdr>
          <w:top w:val="none" w:color="000000" w:sz="0" w:space="0"/>
          <w:left w:val="none" w:color="000000" w:sz="0" w:space="0"/>
          <w:bottom w:val="none" w:color="000000" w:sz="0" w:space="0"/>
          <w:right w:val="none" w:color="000000" w:sz="0" w:space="0"/>
        </w:pBdr>
        <w:spacing w:after="0" w:line="85" w:lineRule="atLeast"/>
        <w:jc w:val="center"/>
        <w:rPr>
          <w:color w:val="auto"/>
          <w:highlight w:val="none"/>
          <w:lang w:eastAsia="zh-CN"/>
        </w:rPr>
      </w:pPr>
      <w:r>
        <w:rPr>
          <w:rFonts w:ascii="仿宋" w:hAnsi="仿宋" w:eastAsia="仿宋" w:cs="仿宋"/>
          <w:color w:val="auto"/>
          <w:sz w:val="24"/>
          <w:highlight w:val="none"/>
          <w:lang w:eastAsia="zh-CN"/>
        </w:rPr>
        <w:t>目录</w:t>
      </w:r>
    </w:p>
    <w:p w14:paraId="7890861E">
      <w:pPr>
        <w:pBdr>
          <w:top w:val="none" w:color="000000" w:sz="0" w:space="0"/>
          <w:left w:val="none" w:color="000000" w:sz="0" w:space="0"/>
          <w:bottom w:val="none" w:color="000000" w:sz="0" w:space="0"/>
          <w:right w:val="none" w:color="000000" w:sz="0" w:space="0"/>
        </w:pBdr>
        <w:spacing w:after="0" w:line="85" w:lineRule="atLeast"/>
        <w:ind w:firstLine="840"/>
        <w:jc w:val="both"/>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1、封面</w:t>
      </w:r>
    </w:p>
    <w:p w14:paraId="790FA8BF">
      <w:pPr>
        <w:pBdr>
          <w:top w:val="none" w:color="000000" w:sz="0" w:space="0"/>
          <w:left w:val="none" w:color="000000" w:sz="0" w:space="0"/>
          <w:bottom w:val="none" w:color="000000" w:sz="0" w:space="0"/>
          <w:right w:val="none" w:color="000000" w:sz="0" w:space="0"/>
        </w:pBdr>
        <w:spacing w:after="0" w:line="85" w:lineRule="atLeast"/>
        <w:ind w:firstLine="840"/>
        <w:jc w:val="both"/>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2、供应商响应文件报价表（第一次磋商报价）</w:t>
      </w:r>
    </w:p>
    <w:p w14:paraId="050B9A71">
      <w:pPr>
        <w:pBdr>
          <w:top w:val="none" w:color="000000" w:sz="0" w:space="0"/>
          <w:left w:val="none" w:color="000000" w:sz="0" w:space="0"/>
          <w:bottom w:val="none" w:color="000000" w:sz="0" w:space="0"/>
          <w:right w:val="none" w:color="000000" w:sz="0" w:space="0"/>
        </w:pBdr>
        <w:spacing w:after="0" w:line="85" w:lineRule="atLeast"/>
        <w:ind w:firstLine="840"/>
        <w:jc w:val="both"/>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3、分项报价明细表（服务类）</w:t>
      </w:r>
    </w:p>
    <w:p w14:paraId="76DF8741">
      <w:pPr>
        <w:pBdr>
          <w:top w:val="none" w:color="000000" w:sz="0" w:space="0"/>
          <w:left w:val="none" w:color="000000" w:sz="0" w:space="0"/>
          <w:bottom w:val="none" w:color="000000" w:sz="0" w:space="0"/>
          <w:right w:val="none" w:color="000000" w:sz="0" w:space="0"/>
        </w:pBdr>
        <w:spacing w:after="0" w:line="85" w:lineRule="atLeast"/>
        <w:ind w:firstLine="84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4、供应商响应文件报价表（最终）</w:t>
      </w:r>
    </w:p>
    <w:p w14:paraId="6AF72B08">
      <w:pPr>
        <w:pBdr>
          <w:top w:val="none" w:color="000000" w:sz="0" w:space="0"/>
          <w:left w:val="none" w:color="000000" w:sz="0" w:space="0"/>
          <w:bottom w:val="none" w:color="000000" w:sz="0" w:space="0"/>
          <w:right w:val="none" w:color="000000" w:sz="0" w:space="0"/>
        </w:pBdr>
        <w:spacing w:after="0" w:line="85" w:lineRule="atLeast"/>
        <w:ind w:firstLine="84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eastAsia="zh-CN"/>
        </w:rPr>
        <w:t>5、</w:t>
      </w:r>
      <w:r>
        <w:rPr>
          <w:rFonts w:hint="eastAsia" w:ascii="仿宋" w:hAnsi="仿宋" w:eastAsia="仿宋" w:cs="仿宋"/>
          <w:color w:val="auto"/>
          <w:highlight w:val="none"/>
          <w:lang w:val="zh-CN" w:eastAsia="zh-CN"/>
        </w:rPr>
        <w:t>中小企业声明函（如有，需提供）</w:t>
      </w:r>
    </w:p>
    <w:p w14:paraId="60E8BBC7">
      <w:pPr>
        <w:pBdr>
          <w:top w:val="none" w:color="000000" w:sz="0" w:space="0"/>
          <w:left w:val="none" w:color="000000" w:sz="0" w:space="0"/>
          <w:bottom w:val="none" w:color="000000" w:sz="0" w:space="0"/>
          <w:right w:val="none" w:color="000000" w:sz="0" w:space="0"/>
        </w:pBdr>
        <w:spacing w:after="0" w:line="85" w:lineRule="atLeast"/>
        <w:ind w:firstLine="84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eastAsia="zh-CN"/>
        </w:rPr>
        <w:t>6、</w:t>
      </w:r>
      <w:r>
        <w:rPr>
          <w:rFonts w:hint="eastAsia" w:ascii="仿宋" w:hAnsi="仿宋" w:eastAsia="仿宋" w:cs="仿宋"/>
          <w:color w:val="auto"/>
          <w:highlight w:val="none"/>
          <w:lang w:val="zh-CN" w:eastAsia="zh-CN"/>
        </w:rPr>
        <w:t>残疾人福利性单位声明函（如有，需提供）</w:t>
      </w:r>
    </w:p>
    <w:p w14:paraId="7DEA88B0">
      <w:pPr>
        <w:pBdr>
          <w:top w:val="none" w:color="000000" w:sz="0" w:space="0"/>
          <w:left w:val="none" w:color="000000" w:sz="0" w:space="0"/>
          <w:bottom w:val="none" w:color="000000" w:sz="0" w:space="0"/>
          <w:right w:val="none" w:color="000000" w:sz="0" w:space="0"/>
        </w:pBdr>
        <w:spacing w:after="0" w:line="85" w:lineRule="atLeast"/>
        <w:ind w:firstLine="84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eastAsia="zh-CN"/>
        </w:rPr>
        <w:t>7、</w:t>
      </w:r>
      <w:r>
        <w:rPr>
          <w:rFonts w:hint="eastAsia" w:ascii="仿宋" w:hAnsi="仿宋" w:eastAsia="仿宋" w:cs="仿宋"/>
          <w:color w:val="auto"/>
          <w:highlight w:val="none"/>
          <w:lang w:val="zh-CN" w:eastAsia="zh-CN"/>
        </w:rPr>
        <w:t>监狱企业的证明（如有，需提供）</w:t>
      </w:r>
    </w:p>
    <w:p w14:paraId="3CAC0F35">
      <w:pPr>
        <w:pBdr>
          <w:top w:val="none" w:color="000000" w:sz="0" w:space="0"/>
          <w:left w:val="none" w:color="000000" w:sz="0" w:space="0"/>
          <w:bottom w:val="none" w:color="000000" w:sz="0" w:space="0"/>
          <w:right w:val="none" w:color="000000" w:sz="0" w:space="0"/>
        </w:pBdr>
        <w:spacing w:after="0" w:line="85" w:lineRule="atLeast"/>
        <w:ind w:firstLine="840"/>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lang w:val="zh-CN" w:eastAsia="zh-CN"/>
        </w:rPr>
        <w:t>绿色采购的产品明细清单及各产品认证证明材料（如有，需提供）</w:t>
      </w:r>
    </w:p>
    <w:p w14:paraId="58D90155">
      <w:pPr>
        <w:pStyle w:val="35"/>
        <w:ind w:firstLine="480"/>
        <w:rPr>
          <w:rFonts w:hint="eastAsia" w:ascii="仿宋" w:hAnsi="仿宋" w:eastAsia="仿宋" w:cs="仿宋"/>
          <w:color w:val="auto"/>
          <w:highlight w:val="none"/>
          <w:lang w:eastAsia="zh-CN"/>
        </w:rPr>
      </w:pPr>
    </w:p>
    <w:p w14:paraId="3DAAC4DD">
      <w:pPr>
        <w:pBdr>
          <w:top w:val="none" w:color="000000" w:sz="0" w:space="0"/>
          <w:left w:val="none" w:color="000000" w:sz="0" w:space="0"/>
          <w:bottom w:val="none" w:color="000000" w:sz="0" w:space="0"/>
          <w:right w:val="none" w:color="000000" w:sz="0" w:space="0"/>
        </w:pBdr>
        <w:spacing w:after="0" w:line="85" w:lineRule="atLeast"/>
        <w:ind w:firstLine="840"/>
        <w:jc w:val="both"/>
        <w:rPr>
          <w:color w:val="auto"/>
          <w:highlight w:val="none"/>
          <w:lang w:eastAsia="zh-CN"/>
        </w:rPr>
      </w:pPr>
      <w:r>
        <w:rPr>
          <w:rFonts w:ascii="仿宋" w:hAnsi="仿宋" w:eastAsia="仿宋" w:cs="仿宋"/>
          <w:color w:val="auto"/>
          <w:sz w:val="24"/>
          <w:highlight w:val="none"/>
          <w:lang w:eastAsia="zh-CN"/>
        </w:rPr>
        <w:t> </w:t>
      </w:r>
    </w:p>
    <w:p w14:paraId="427CC197">
      <w:pPr>
        <w:pBdr>
          <w:top w:val="none" w:color="000000" w:sz="0" w:space="0"/>
          <w:left w:val="none" w:color="000000" w:sz="0" w:space="0"/>
          <w:bottom w:val="none" w:color="000000" w:sz="0" w:space="0"/>
          <w:right w:val="none" w:color="000000" w:sz="0" w:space="0"/>
        </w:pBdr>
        <w:spacing w:after="0" w:line="85" w:lineRule="atLeast"/>
        <w:ind w:firstLine="843"/>
        <w:jc w:val="both"/>
        <w:rPr>
          <w:color w:val="auto"/>
          <w:highlight w:val="none"/>
          <w:lang w:eastAsia="zh-CN"/>
        </w:rPr>
      </w:pPr>
      <w:r>
        <w:rPr>
          <w:rFonts w:ascii="仿宋" w:hAnsi="仿宋" w:eastAsia="仿宋" w:cs="仿宋"/>
          <w:b/>
          <w:color w:val="auto"/>
          <w:sz w:val="24"/>
          <w:highlight w:val="none"/>
          <w:lang w:eastAsia="zh-CN"/>
        </w:rPr>
        <w:t>注明：供应商响应文件报价表（最终），此表报价请空着，在开标现场填写，需提前加盖公章。</w:t>
      </w:r>
    </w:p>
    <w:p w14:paraId="261356C2">
      <w:pPr>
        <w:pBdr>
          <w:top w:val="none" w:color="000000" w:sz="0" w:space="0"/>
          <w:left w:val="none" w:color="000000" w:sz="0" w:space="0"/>
          <w:bottom w:val="none" w:color="000000" w:sz="0" w:space="0"/>
          <w:right w:val="none" w:color="000000" w:sz="0" w:space="0"/>
        </w:pBdr>
        <w:spacing w:after="0" w:line="85" w:lineRule="atLeast"/>
        <w:ind w:firstLine="843"/>
        <w:jc w:val="both"/>
        <w:rPr>
          <w:color w:val="auto"/>
          <w:highlight w:val="none"/>
          <w:lang w:eastAsia="zh-CN"/>
        </w:rPr>
      </w:pPr>
      <w:r>
        <w:rPr>
          <w:rFonts w:ascii="仿宋" w:hAnsi="仿宋" w:eastAsia="仿宋" w:cs="仿宋"/>
          <w:b/>
          <w:color w:val="auto"/>
          <w:sz w:val="24"/>
          <w:highlight w:val="none"/>
          <w:lang w:eastAsia="zh-CN"/>
        </w:rPr>
        <w:t>  </w:t>
      </w:r>
    </w:p>
    <w:p w14:paraId="7C170C38">
      <w:pPr>
        <w:pBdr>
          <w:top w:val="none" w:color="000000" w:sz="0" w:space="0"/>
          <w:left w:val="none" w:color="000000" w:sz="0" w:space="0"/>
          <w:bottom w:val="none" w:color="000000" w:sz="0" w:space="0"/>
          <w:right w:val="none" w:color="000000" w:sz="0" w:space="0"/>
        </w:pBdr>
        <w:spacing w:after="0"/>
        <w:rPr>
          <w:color w:val="auto"/>
          <w:highlight w:val="none"/>
          <w:lang w:eastAsia="zh-CN"/>
        </w:rPr>
      </w:pPr>
      <w:r>
        <w:rPr>
          <w:color w:val="auto"/>
          <w:highlight w:val="none"/>
          <w:lang w:eastAsia="zh-CN"/>
        </w:rPr>
        <w:br w:type="page" w:clear="all"/>
      </w:r>
    </w:p>
    <w:p w14:paraId="3B167234">
      <w:pPr>
        <w:pBdr>
          <w:top w:val="none" w:color="000000" w:sz="0" w:space="0"/>
          <w:left w:val="none" w:color="000000" w:sz="0" w:space="0"/>
          <w:bottom w:val="none" w:color="000000" w:sz="0" w:space="0"/>
          <w:right w:val="none" w:color="000000" w:sz="0" w:space="0"/>
        </w:pBdr>
        <w:spacing w:after="0"/>
        <w:rPr>
          <w:color w:val="auto"/>
          <w:highlight w:val="none"/>
          <w:lang w:eastAsia="zh-CN"/>
        </w:rPr>
      </w:pPr>
      <w:r>
        <w:rPr>
          <w:rFonts w:ascii="仿宋" w:hAnsi="仿宋" w:eastAsia="仿宋" w:cs="仿宋"/>
          <w:color w:val="auto"/>
          <w:sz w:val="24"/>
          <w:highlight w:val="none"/>
          <w:lang w:eastAsia="zh-CN"/>
        </w:rPr>
        <w:t xml:space="preserve"> </w:t>
      </w:r>
    </w:p>
    <w:p w14:paraId="3C799DC5">
      <w:pPr>
        <w:pBdr>
          <w:top w:val="none" w:color="000000" w:sz="0" w:space="0"/>
          <w:left w:val="none" w:color="000000" w:sz="0" w:space="0"/>
          <w:bottom w:val="none" w:color="000000" w:sz="0" w:space="0"/>
          <w:right w:val="none" w:color="000000" w:sz="0" w:space="0"/>
        </w:pBdr>
        <w:spacing w:after="0"/>
        <w:jc w:val="center"/>
        <w:rPr>
          <w:rFonts w:eastAsia="仿宋"/>
          <w:color w:val="auto"/>
          <w:highlight w:val="none"/>
          <w:lang w:eastAsia="zh-CN"/>
        </w:rPr>
      </w:pPr>
      <w:r>
        <w:rPr>
          <w:rFonts w:ascii="仿宋" w:hAnsi="仿宋" w:eastAsia="仿宋" w:cs="仿宋"/>
          <w:b/>
          <w:color w:val="auto"/>
          <w:sz w:val="28"/>
          <w:highlight w:val="none"/>
          <w:lang w:eastAsia="zh-CN"/>
        </w:rPr>
        <w:t>一、供应商响应文件报价表</w:t>
      </w:r>
      <w:r>
        <w:rPr>
          <w:rFonts w:hint="eastAsia" w:ascii="仿宋" w:hAnsi="仿宋" w:eastAsia="仿宋" w:cs="仿宋"/>
          <w:b/>
          <w:color w:val="auto"/>
          <w:sz w:val="28"/>
          <w:highlight w:val="none"/>
          <w:lang w:eastAsia="zh-CN"/>
        </w:rPr>
        <w:t>（首次）</w:t>
      </w:r>
    </w:p>
    <w:p w14:paraId="79ADCB3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项目编号：</w:t>
      </w:r>
    </w:p>
    <w:tbl>
      <w:tblPr>
        <w:tblStyle w:val="3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23B3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0E4D2B0E">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磋商货物、服务名称</w:t>
            </w:r>
          </w:p>
        </w:tc>
        <w:tc>
          <w:tcPr>
            <w:tcW w:w="4607" w:type="dxa"/>
            <w:noWrap w:val="0"/>
            <w:vAlign w:val="top"/>
          </w:tcPr>
          <w:p w14:paraId="47D2F87B">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磋商</w:t>
            </w:r>
            <w:r>
              <w:rPr>
                <w:rFonts w:hint="eastAsia" w:ascii="仿宋_GB2312" w:hAnsi="仿宋_GB2312" w:eastAsia="仿宋_GB2312" w:cs="仿宋_GB2312"/>
                <w:color w:val="auto"/>
                <w:sz w:val="24"/>
                <w:szCs w:val="24"/>
                <w:highlight w:val="none"/>
                <w:lang w:val="en-US" w:eastAsia="zh-CN"/>
              </w:rPr>
              <w:t>合计报价（</w:t>
            </w:r>
            <w:r>
              <w:rPr>
                <w:rFonts w:hint="eastAsia" w:ascii="仿宋_GB2312" w:hAnsi="仿宋_GB2312" w:eastAsia="仿宋_GB2312" w:cs="仿宋_GB2312"/>
                <w:color w:val="auto"/>
                <w:sz w:val="24"/>
                <w:szCs w:val="24"/>
                <w:highlight w:val="none"/>
              </w:rPr>
              <w:t>元</w:t>
            </w:r>
            <w:r>
              <w:rPr>
                <w:rFonts w:hint="eastAsia" w:ascii="仿宋_GB2312" w:hAnsi="仿宋_GB2312" w:eastAsia="仿宋_GB2312" w:cs="仿宋_GB2312"/>
                <w:color w:val="auto"/>
                <w:sz w:val="24"/>
                <w:szCs w:val="24"/>
                <w:highlight w:val="none"/>
                <w:lang w:val="en-US" w:eastAsia="zh-CN"/>
              </w:rPr>
              <w:t>）</w:t>
            </w:r>
          </w:p>
        </w:tc>
      </w:tr>
      <w:tr w14:paraId="033F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top"/>
          </w:tcPr>
          <w:p w14:paraId="7980DF6B">
            <w:pPr>
              <w:rPr>
                <w:rFonts w:hint="eastAsia" w:ascii="仿宋_GB2312" w:hAnsi="仿宋_GB2312" w:eastAsia="仿宋_GB2312" w:cs="仿宋_GB2312"/>
                <w:color w:val="auto"/>
                <w:sz w:val="24"/>
                <w:szCs w:val="24"/>
                <w:highlight w:val="none"/>
              </w:rPr>
            </w:pPr>
          </w:p>
        </w:tc>
        <w:tc>
          <w:tcPr>
            <w:tcW w:w="4607" w:type="dxa"/>
            <w:noWrap w:val="0"/>
            <w:vAlign w:val="top"/>
          </w:tcPr>
          <w:p w14:paraId="6F7C730A">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大写：</w:t>
            </w:r>
          </w:p>
          <w:p w14:paraId="2782E3F7">
            <w:pPr>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小写：元（人民币）</w:t>
            </w:r>
          </w:p>
        </w:tc>
      </w:tr>
    </w:tbl>
    <w:p w14:paraId="2F1050F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w:t>
      </w:r>
    </w:p>
    <w:p w14:paraId="7CD5791E">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填写说明：</w:t>
      </w:r>
    </w:p>
    <w:p w14:paraId="5C138CE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1、报价总表必须加盖供应商公章（</w:t>
      </w:r>
      <w:r>
        <w:rPr>
          <w:rFonts w:hint="eastAsia" w:ascii="仿宋_GB2312" w:hAnsi="仿宋_GB2312" w:eastAsia="仿宋_GB2312" w:cs="仿宋_GB2312"/>
          <w:color w:val="auto"/>
          <w:sz w:val="24"/>
          <w:szCs w:val="24"/>
          <w:highlight w:val="none"/>
          <w:lang w:val="en-US" w:eastAsia="zh-CN"/>
        </w:rPr>
        <w:t>复印</w:t>
      </w:r>
      <w:r>
        <w:rPr>
          <w:rFonts w:hint="eastAsia" w:ascii="仿宋_GB2312" w:hAnsi="仿宋_GB2312" w:eastAsia="仿宋_GB2312" w:cs="仿宋_GB2312"/>
          <w:color w:val="auto"/>
          <w:sz w:val="24"/>
          <w:szCs w:val="24"/>
          <w:highlight w:val="none"/>
        </w:rPr>
        <w:t>件无效）。</w:t>
      </w:r>
    </w:p>
    <w:p w14:paraId="1E6DD9D4">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2、如有分包，供应商参与任何一个包的标的，都需单独填写报价表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本项目不允许分包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p>
    <w:p w14:paraId="79FB1C4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3、报价保留小数点精确到后两位。</w:t>
      </w:r>
    </w:p>
    <w:p w14:paraId="7E499630">
      <w:pPr>
        <w:spacing w:line="360" w:lineRule="auto"/>
        <w:rPr>
          <w:rFonts w:hint="eastAsia" w:ascii="仿宋_GB2312" w:hAnsi="仿宋_GB2312" w:eastAsia="仿宋_GB2312" w:cs="仿宋_GB2312"/>
          <w:color w:val="auto"/>
          <w:sz w:val="24"/>
          <w:szCs w:val="24"/>
          <w:highlight w:val="none"/>
        </w:rPr>
      </w:pPr>
    </w:p>
    <w:p w14:paraId="405CB0DD">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法定代表人或者授权代表（签字或盖章）：                    </w:t>
      </w:r>
    </w:p>
    <w:p w14:paraId="735F6056">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磋商供应商全称（盖章）：</w:t>
      </w:r>
    </w:p>
    <w:p w14:paraId="0C3C9B45">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日期：    年   月    日</w:t>
      </w:r>
    </w:p>
    <w:p w14:paraId="6118D517">
      <w:pPr>
        <w:spacing w:line="360" w:lineRule="auto"/>
        <w:rPr>
          <w:rFonts w:hint="eastAsia" w:ascii="仿宋_GB2312" w:hAnsi="仿宋_GB2312" w:eastAsia="仿宋_GB2312" w:cs="仿宋_GB2312"/>
          <w:color w:val="auto"/>
          <w:sz w:val="24"/>
          <w:szCs w:val="24"/>
          <w:highlight w:val="none"/>
        </w:rPr>
      </w:pPr>
    </w:p>
    <w:p w14:paraId="42EECC4C">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2005E472">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65F325E8">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33946386">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60ACC2F7">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3F374C75">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0DA47765">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51F753D3">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32"/>
          <w:highlight w:val="none"/>
          <w:lang w:eastAsia="zh-CN"/>
        </w:rPr>
        <w:t> </w:t>
      </w:r>
    </w:p>
    <w:p w14:paraId="51699628">
      <w:pPr>
        <w:pBdr>
          <w:top w:val="none" w:color="000000" w:sz="0" w:space="0"/>
          <w:left w:val="none" w:color="000000" w:sz="0" w:space="0"/>
          <w:bottom w:val="none" w:color="000000" w:sz="0" w:space="0"/>
          <w:right w:val="none" w:color="000000" w:sz="0" w:space="0"/>
        </w:pBdr>
        <w:spacing w:after="0"/>
        <w:ind w:firstLine="420"/>
        <w:jc w:val="both"/>
        <w:rPr>
          <w:rFonts w:ascii="Times New Roman" w:hAnsi="Times New Roman" w:eastAsia="Times New Roman" w:cs="Times New Roman"/>
          <w:color w:val="auto"/>
          <w:highlight w:val="none"/>
          <w:lang w:eastAsia="zh-CN"/>
        </w:rPr>
      </w:pPr>
      <w:r>
        <w:rPr>
          <w:rFonts w:ascii="Times New Roman" w:hAnsi="Times New Roman" w:eastAsia="Times New Roman" w:cs="Times New Roman"/>
          <w:color w:val="auto"/>
          <w:highlight w:val="none"/>
          <w:lang w:eastAsia="zh-CN"/>
        </w:rPr>
        <w:t> </w:t>
      </w:r>
    </w:p>
    <w:p w14:paraId="3D10DC0F">
      <w:pPr>
        <w:pStyle w:val="35"/>
        <w:ind w:firstLine="440"/>
        <w:rPr>
          <w:rFonts w:ascii="Times New Roman" w:hAnsi="Times New Roman" w:eastAsia="Times New Roman" w:cs="Times New Roman"/>
          <w:color w:val="auto"/>
          <w:sz w:val="22"/>
          <w:highlight w:val="none"/>
          <w:lang w:eastAsia="zh-CN"/>
        </w:rPr>
      </w:pPr>
    </w:p>
    <w:p w14:paraId="06A5A33C">
      <w:pPr>
        <w:rPr>
          <w:rFonts w:ascii="Times New Roman" w:hAnsi="Times New Roman" w:eastAsia="Times New Roman" w:cs="Times New Roman"/>
          <w:color w:val="auto"/>
          <w:highlight w:val="none"/>
          <w:lang w:eastAsia="zh-CN"/>
        </w:rPr>
      </w:pPr>
    </w:p>
    <w:p w14:paraId="15C80318">
      <w:pPr>
        <w:pStyle w:val="35"/>
        <w:ind w:firstLine="440"/>
        <w:rPr>
          <w:rFonts w:ascii="Times New Roman" w:hAnsi="Times New Roman" w:eastAsia="Times New Roman" w:cs="Times New Roman"/>
          <w:color w:val="auto"/>
          <w:sz w:val="22"/>
          <w:highlight w:val="none"/>
          <w:lang w:eastAsia="zh-CN"/>
        </w:rPr>
      </w:pPr>
    </w:p>
    <w:p w14:paraId="69F185D1">
      <w:pPr>
        <w:rPr>
          <w:rFonts w:ascii="Times New Roman" w:hAnsi="Times New Roman" w:eastAsia="Times New Roman" w:cs="Times New Roman"/>
          <w:color w:val="auto"/>
          <w:highlight w:val="none"/>
          <w:lang w:eastAsia="zh-CN"/>
        </w:rPr>
      </w:pPr>
    </w:p>
    <w:p w14:paraId="7848C1AC">
      <w:pPr>
        <w:pStyle w:val="35"/>
        <w:ind w:firstLine="440"/>
        <w:rPr>
          <w:rFonts w:ascii="Times New Roman" w:hAnsi="Times New Roman" w:eastAsia="Times New Roman" w:cs="Times New Roman"/>
          <w:color w:val="auto"/>
          <w:sz w:val="22"/>
          <w:highlight w:val="none"/>
          <w:lang w:eastAsia="zh-CN"/>
        </w:rPr>
      </w:pPr>
    </w:p>
    <w:p w14:paraId="3A05AE64">
      <w:pPr>
        <w:rPr>
          <w:rFonts w:ascii="Times New Roman" w:hAnsi="Times New Roman" w:eastAsia="Times New Roman" w:cs="Times New Roman"/>
          <w:color w:val="auto"/>
          <w:highlight w:val="none"/>
          <w:lang w:eastAsia="zh-CN"/>
        </w:rPr>
      </w:pPr>
    </w:p>
    <w:p w14:paraId="23DF64BA">
      <w:pPr>
        <w:pStyle w:val="35"/>
        <w:ind w:firstLine="480"/>
        <w:rPr>
          <w:color w:val="auto"/>
          <w:highlight w:val="none"/>
          <w:lang w:eastAsia="zh-CN"/>
        </w:rPr>
      </w:pPr>
    </w:p>
    <w:p w14:paraId="7A8B3734">
      <w:pPr>
        <w:pBdr>
          <w:top w:val="none" w:color="000000" w:sz="0" w:space="0"/>
          <w:left w:val="none" w:color="000000" w:sz="0" w:space="0"/>
          <w:bottom w:val="none" w:color="000000" w:sz="0" w:space="0"/>
          <w:right w:val="none" w:color="000000" w:sz="0" w:space="0"/>
        </w:pBdr>
        <w:spacing w:after="0"/>
        <w:ind w:firstLine="420"/>
        <w:jc w:val="both"/>
        <w:rPr>
          <w:color w:val="auto"/>
          <w:highlight w:val="none"/>
          <w:lang w:eastAsia="zh-CN"/>
        </w:rPr>
      </w:pPr>
      <w:r>
        <w:rPr>
          <w:rFonts w:ascii="Times New Roman" w:hAnsi="Times New Roman" w:eastAsia="Times New Roman" w:cs="Times New Roman"/>
          <w:color w:val="auto"/>
          <w:highlight w:val="none"/>
          <w:lang w:eastAsia="zh-CN"/>
        </w:rPr>
        <w:t> </w:t>
      </w:r>
    </w:p>
    <w:p w14:paraId="31EB92E3">
      <w:pPr>
        <w:pBdr>
          <w:top w:val="none" w:color="000000" w:sz="0" w:space="0"/>
          <w:left w:val="none" w:color="000000" w:sz="0" w:space="0"/>
          <w:bottom w:val="none" w:color="000000" w:sz="0" w:space="0"/>
          <w:right w:val="none" w:color="000000" w:sz="0" w:space="0"/>
        </w:pBdr>
        <w:spacing w:after="0"/>
        <w:jc w:val="center"/>
        <w:rPr>
          <w:color w:val="auto"/>
          <w:highlight w:val="none"/>
          <w:lang w:eastAsia="zh-CN"/>
        </w:rPr>
      </w:pPr>
      <w:r>
        <w:rPr>
          <w:rFonts w:ascii="仿宋" w:hAnsi="仿宋" w:eastAsia="仿宋" w:cs="仿宋"/>
          <w:b/>
          <w:color w:val="auto"/>
          <w:sz w:val="28"/>
          <w:highlight w:val="none"/>
          <w:lang w:eastAsia="zh-CN"/>
        </w:rPr>
        <w:t>二、分项报价明细表（服务类）</w:t>
      </w:r>
    </w:p>
    <w:tbl>
      <w:tblPr>
        <w:tblStyle w:val="36"/>
        <w:tblW w:w="984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6"/>
        <w:gridCol w:w="1827"/>
        <w:gridCol w:w="1046"/>
        <w:gridCol w:w="4161"/>
        <w:gridCol w:w="1055"/>
        <w:gridCol w:w="1100"/>
      </w:tblGrid>
      <w:tr w14:paraId="1EA0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52E06F1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序号</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00987B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服务项目</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40E23A3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服务内容</w:t>
            </w:r>
          </w:p>
        </w:tc>
        <w:tc>
          <w:tcPr>
            <w:tcW w:w="4161" w:type="dxa"/>
            <w:tcBorders>
              <w:top w:val="single" w:color="000000" w:sz="4" w:space="0"/>
              <w:left w:val="single" w:color="000000" w:sz="4" w:space="0"/>
              <w:bottom w:val="single" w:color="000000" w:sz="4" w:space="0"/>
              <w:right w:val="single" w:color="000000" w:sz="4" w:space="0"/>
            </w:tcBorders>
            <w:noWrap/>
            <w:vAlign w:val="center"/>
          </w:tcPr>
          <w:p w14:paraId="51B027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收费标准最高限价</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6902B0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报价</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1B4C3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备注</w:t>
            </w:r>
          </w:p>
        </w:tc>
      </w:tr>
      <w:tr w14:paraId="25E1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67AA70E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632A333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送餐助餐送餐配餐</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35350AF6">
            <w:pPr>
              <w:jc w:val="center"/>
              <w:rPr>
                <w:rFonts w:hint="eastAsia" w:ascii="仿宋_GB2312" w:hAnsi="仿宋_GB2312" w:eastAsia="仿宋_GB2312" w:cs="仿宋_GB2312"/>
                <w:i w:val="0"/>
                <w:iCs w:val="0"/>
                <w:color w:val="auto"/>
                <w:sz w:val="24"/>
                <w:szCs w:val="24"/>
                <w:highlight w:val="none"/>
                <w:u w:val="none"/>
              </w:rPr>
            </w:pPr>
          </w:p>
        </w:tc>
        <w:tc>
          <w:tcPr>
            <w:tcW w:w="4161" w:type="dxa"/>
            <w:tcBorders>
              <w:top w:val="single" w:color="000000" w:sz="4" w:space="0"/>
              <w:left w:val="single" w:color="000000" w:sz="4" w:space="0"/>
              <w:bottom w:val="single" w:color="000000" w:sz="4" w:space="0"/>
              <w:right w:val="single" w:color="000000" w:sz="4" w:space="0"/>
            </w:tcBorders>
            <w:noWrap/>
            <w:vAlign w:val="center"/>
          </w:tcPr>
          <w:p w14:paraId="7D21650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第一年 10 元/餐/人，正餐配一大荤一小荤一素一汤，主食一份。</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574E56B3">
            <w:pPr>
              <w:jc w:val="center"/>
              <w:rPr>
                <w:rFonts w:hint="eastAsia" w:ascii="仿宋_GB2312" w:hAnsi="仿宋_GB2312"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96601CD">
            <w:pPr>
              <w:rPr>
                <w:rFonts w:hint="eastAsia" w:ascii="仿宋_GB2312" w:hAnsi="仿宋_GB2312" w:eastAsia="仿宋_GB2312" w:cs="仿宋_GB2312"/>
                <w:i w:val="0"/>
                <w:iCs w:val="0"/>
                <w:color w:val="auto"/>
                <w:sz w:val="24"/>
                <w:szCs w:val="24"/>
                <w:highlight w:val="none"/>
                <w:u w:val="none"/>
              </w:rPr>
            </w:pPr>
          </w:p>
        </w:tc>
      </w:tr>
      <w:tr w14:paraId="7C78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40D08D3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827" w:type="dxa"/>
            <w:vMerge w:val="restart"/>
            <w:tcBorders>
              <w:top w:val="single" w:color="000000" w:sz="4" w:space="0"/>
              <w:left w:val="single" w:color="000000" w:sz="4" w:space="0"/>
              <w:bottom w:val="single" w:color="000000" w:sz="4" w:space="0"/>
              <w:right w:val="single" w:color="000000" w:sz="4" w:space="0"/>
            </w:tcBorders>
            <w:noWrap/>
            <w:vAlign w:val="center"/>
          </w:tcPr>
          <w:p w14:paraId="511A93C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生活照料</w:t>
            </w:r>
          </w:p>
        </w:tc>
        <w:tc>
          <w:tcPr>
            <w:tcW w:w="1046" w:type="dxa"/>
            <w:vMerge w:val="restart"/>
            <w:tcBorders>
              <w:top w:val="single" w:color="000000" w:sz="4" w:space="0"/>
              <w:left w:val="single" w:color="000000" w:sz="4" w:space="0"/>
              <w:bottom w:val="single" w:color="000000" w:sz="4" w:space="0"/>
              <w:right w:val="single" w:color="000000" w:sz="4" w:space="0"/>
            </w:tcBorders>
            <w:noWrap/>
            <w:vAlign w:val="center"/>
          </w:tcPr>
          <w:p w14:paraId="3FF3394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助浴</w:t>
            </w:r>
          </w:p>
        </w:tc>
        <w:tc>
          <w:tcPr>
            <w:tcW w:w="4161" w:type="dxa"/>
            <w:tcBorders>
              <w:top w:val="single" w:color="000000" w:sz="4" w:space="0"/>
              <w:left w:val="single" w:color="000000" w:sz="4" w:space="0"/>
              <w:bottom w:val="single" w:color="000000" w:sz="4" w:space="0"/>
              <w:right w:val="single" w:color="000000" w:sz="4" w:space="0"/>
            </w:tcBorders>
            <w:noWrap/>
            <w:vAlign w:val="center"/>
          </w:tcPr>
          <w:p w14:paraId="7D8C49F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定点助浴 20元/次（使用淋浴设备，配套坐浴椅，全身清洗）</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6DF665BC">
            <w:pPr>
              <w:jc w:val="center"/>
              <w:rPr>
                <w:rFonts w:hint="eastAsia" w:ascii="仿宋_GB2312" w:hAnsi="仿宋_GB2312"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99EB38C">
            <w:pPr>
              <w:rPr>
                <w:rFonts w:hint="eastAsia" w:ascii="仿宋_GB2312" w:hAnsi="仿宋_GB2312" w:eastAsia="仿宋_GB2312" w:cs="仿宋_GB2312"/>
                <w:i w:val="0"/>
                <w:iCs w:val="0"/>
                <w:color w:val="auto"/>
                <w:sz w:val="24"/>
                <w:szCs w:val="24"/>
                <w:highlight w:val="none"/>
                <w:u w:val="none"/>
              </w:rPr>
            </w:pPr>
          </w:p>
        </w:tc>
      </w:tr>
      <w:tr w14:paraId="11AD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397043B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4BAF6B0B">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ign w:val="center"/>
          </w:tcPr>
          <w:p w14:paraId="76D4F7B8">
            <w:pPr>
              <w:jc w:val="center"/>
              <w:rPr>
                <w:rFonts w:hint="eastAsia" w:ascii="仿宋_GB2312" w:hAnsi="仿宋_GB2312" w:eastAsia="仿宋_GB2312" w:cs="仿宋_GB2312"/>
                <w:i w:val="0"/>
                <w:iCs w:val="0"/>
                <w:color w:val="auto"/>
                <w:sz w:val="24"/>
                <w:szCs w:val="24"/>
                <w:highlight w:val="none"/>
                <w:u w:val="none"/>
              </w:rPr>
            </w:pPr>
          </w:p>
        </w:tc>
        <w:tc>
          <w:tcPr>
            <w:tcW w:w="4161" w:type="dxa"/>
            <w:tcBorders>
              <w:top w:val="single" w:color="000000" w:sz="4" w:space="0"/>
              <w:left w:val="single" w:color="000000" w:sz="4" w:space="0"/>
              <w:bottom w:val="single" w:color="000000" w:sz="4" w:space="0"/>
              <w:right w:val="single" w:color="000000" w:sz="4" w:space="0"/>
            </w:tcBorders>
            <w:noWrap/>
            <w:vAlign w:val="center"/>
          </w:tcPr>
          <w:p w14:paraId="4C4E417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上门助浴 40元/次（使用淋浴设备，配套坐浴椅，全身清洗）</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565A3531">
            <w:pPr>
              <w:jc w:val="center"/>
              <w:rPr>
                <w:rFonts w:hint="eastAsia" w:ascii="仿宋_GB2312" w:hAnsi="仿宋_GB2312"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ECE2497">
            <w:pPr>
              <w:rPr>
                <w:rFonts w:hint="eastAsia" w:ascii="仿宋_GB2312" w:hAnsi="仿宋_GB2312" w:eastAsia="仿宋_GB2312" w:cs="仿宋_GB2312"/>
                <w:i w:val="0"/>
                <w:iCs w:val="0"/>
                <w:color w:val="auto"/>
                <w:sz w:val="24"/>
                <w:szCs w:val="24"/>
                <w:highlight w:val="none"/>
                <w:u w:val="none"/>
              </w:rPr>
            </w:pPr>
          </w:p>
        </w:tc>
      </w:tr>
      <w:tr w14:paraId="10F01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3C7C8DB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5F663843">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restart"/>
            <w:tcBorders>
              <w:top w:val="single" w:color="000000" w:sz="4" w:space="0"/>
              <w:left w:val="single" w:color="000000" w:sz="4" w:space="0"/>
              <w:bottom w:val="single" w:color="000000" w:sz="4" w:space="0"/>
              <w:right w:val="single" w:color="000000" w:sz="4" w:space="0"/>
            </w:tcBorders>
            <w:noWrap/>
            <w:vAlign w:val="center"/>
          </w:tcPr>
          <w:p w14:paraId="7D298A2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理发</w:t>
            </w:r>
          </w:p>
        </w:tc>
        <w:tc>
          <w:tcPr>
            <w:tcW w:w="4161" w:type="dxa"/>
            <w:tcBorders>
              <w:top w:val="single" w:color="000000" w:sz="4" w:space="0"/>
              <w:left w:val="single" w:color="000000" w:sz="4" w:space="0"/>
              <w:bottom w:val="single" w:color="000000" w:sz="4" w:space="0"/>
              <w:right w:val="single" w:color="000000" w:sz="4" w:space="0"/>
            </w:tcBorders>
            <w:noWrap/>
            <w:vAlign w:val="center"/>
          </w:tcPr>
          <w:p w14:paraId="2E3CAB2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定点服务 10元/次</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02967CEF">
            <w:pPr>
              <w:jc w:val="center"/>
              <w:rPr>
                <w:rFonts w:hint="eastAsia" w:ascii="仿宋_GB2312" w:hAnsi="仿宋_GB2312"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ADB055E">
            <w:pPr>
              <w:rPr>
                <w:rFonts w:hint="eastAsia" w:ascii="仿宋_GB2312" w:hAnsi="仿宋_GB2312" w:eastAsia="仿宋_GB2312" w:cs="仿宋_GB2312"/>
                <w:i w:val="0"/>
                <w:iCs w:val="0"/>
                <w:color w:val="auto"/>
                <w:sz w:val="24"/>
                <w:szCs w:val="24"/>
                <w:highlight w:val="none"/>
                <w:u w:val="none"/>
              </w:rPr>
            </w:pPr>
          </w:p>
        </w:tc>
      </w:tr>
      <w:tr w14:paraId="506D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nil"/>
              <w:right w:val="single" w:color="000000" w:sz="4" w:space="0"/>
            </w:tcBorders>
            <w:noWrap/>
            <w:vAlign w:val="center"/>
          </w:tcPr>
          <w:p w14:paraId="4B043FB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69419FC0">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ign w:val="center"/>
          </w:tcPr>
          <w:p w14:paraId="383892E8">
            <w:pPr>
              <w:jc w:val="center"/>
              <w:rPr>
                <w:rFonts w:hint="eastAsia" w:ascii="仿宋_GB2312" w:hAnsi="仿宋_GB2312" w:eastAsia="仿宋_GB2312" w:cs="仿宋_GB2312"/>
                <w:i w:val="0"/>
                <w:iCs w:val="0"/>
                <w:color w:val="auto"/>
                <w:sz w:val="24"/>
                <w:szCs w:val="24"/>
                <w:highlight w:val="none"/>
                <w:u w:val="none"/>
              </w:rPr>
            </w:pPr>
          </w:p>
        </w:tc>
        <w:tc>
          <w:tcPr>
            <w:tcW w:w="4161" w:type="dxa"/>
            <w:tcBorders>
              <w:top w:val="single" w:color="000000" w:sz="4" w:space="0"/>
              <w:left w:val="single" w:color="000000" w:sz="4" w:space="0"/>
              <w:bottom w:val="single" w:color="000000" w:sz="4" w:space="0"/>
              <w:right w:val="single" w:color="000000" w:sz="4" w:space="0"/>
            </w:tcBorders>
            <w:noWrap/>
            <w:vAlign w:val="center"/>
          </w:tcPr>
          <w:p w14:paraId="328AC33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上门理发 30元/次</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22D2C4E8">
            <w:pPr>
              <w:jc w:val="center"/>
              <w:rPr>
                <w:rFonts w:hint="eastAsia" w:ascii="仿宋_GB2312" w:hAnsi="仿宋_GB2312"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8833F7C">
            <w:pPr>
              <w:rPr>
                <w:rFonts w:hint="eastAsia" w:ascii="仿宋_GB2312" w:hAnsi="仿宋_GB2312" w:eastAsia="仿宋_GB2312" w:cs="仿宋_GB2312"/>
                <w:i w:val="0"/>
                <w:iCs w:val="0"/>
                <w:color w:val="auto"/>
                <w:sz w:val="24"/>
                <w:szCs w:val="24"/>
                <w:highlight w:val="none"/>
                <w:u w:val="none"/>
              </w:rPr>
            </w:pPr>
          </w:p>
        </w:tc>
      </w:tr>
      <w:tr w14:paraId="7A5F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160FD4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827" w:type="dxa"/>
            <w:vMerge w:val="restart"/>
            <w:tcBorders>
              <w:top w:val="single" w:color="000000" w:sz="4" w:space="0"/>
              <w:left w:val="single" w:color="000000" w:sz="4" w:space="0"/>
              <w:bottom w:val="single" w:color="000000" w:sz="4" w:space="0"/>
              <w:right w:val="single" w:color="000000" w:sz="4" w:space="0"/>
            </w:tcBorders>
            <w:noWrap/>
            <w:vAlign w:val="center"/>
          </w:tcPr>
          <w:p w14:paraId="7D43FD4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生活照料</w:t>
            </w:r>
          </w:p>
        </w:tc>
        <w:tc>
          <w:tcPr>
            <w:tcW w:w="1046" w:type="dxa"/>
            <w:vMerge w:val="restart"/>
            <w:tcBorders>
              <w:top w:val="single" w:color="000000" w:sz="4" w:space="0"/>
              <w:left w:val="single" w:color="000000" w:sz="4" w:space="0"/>
              <w:bottom w:val="single" w:color="000000" w:sz="4" w:space="0"/>
              <w:right w:val="single" w:color="000000" w:sz="4" w:space="0"/>
            </w:tcBorders>
            <w:noWrap/>
            <w:vAlign w:val="center"/>
          </w:tcPr>
          <w:p w14:paraId="2C3B6A9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修脚</w:t>
            </w:r>
          </w:p>
        </w:tc>
        <w:tc>
          <w:tcPr>
            <w:tcW w:w="4161" w:type="dxa"/>
            <w:tcBorders>
              <w:top w:val="single" w:color="000000" w:sz="4" w:space="0"/>
              <w:left w:val="single" w:color="000000" w:sz="4" w:space="0"/>
              <w:bottom w:val="single" w:color="000000" w:sz="4" w:space="0"/>
              <w:right w:val="single" w:color="000000" w:sz="4" w:space="0"/>
            </w:tcBorders>
            <w:noWrap/>
            <w:vAlign w:val="center"/>
          </w:tcPr>
          <w:p w14:paraId="64AB94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定点服务 30元/次（普通修脚，刮死皮、剪指甲等）</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07B648DE">
            <w:pPr>
              <w:jc w:val="center"/>
              <w:rPr>
                <w:rFonts w:hint="eastAsia" w:ascii="仿宋_GB2312" w:hAnsi="仿宋_GB2312"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D58B52F">
            <w:pPr>
              <w:rPr>
                <w:rFonts w:hint="eastAsia" w:ascii="仿宋_GB2312" w:hAnsi="仿宋_GB2312" w:eastAsia="仿宋_GB2312" w:cs="仿宋_GB2312"/>
                <w:i w:val="0"/>
                <w:iCs w:val="0"/>
                <w:color w:val="auto"/>
                <w:sz w:val="24"/>
                <w:szCs w:val="24"/>
                <w:highlight w:val="none"/>
                <w:u w:val="none"/>
              </w:rPr>
            </w:pPr>
          </w:p>
        </w:tc>
      </w:tr>
      <w:tr w14:paraId="3A5F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0912984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16136470">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ign w:val="center"/>
          </w:tcPr>
          <w:p w14:paraId="7F13584C">
            <w:pPr>
              <w:jc w:val="center"/>
              <w:rPr>
                <w:rFonts w:hint="eastAsia" w:ascii="仿宋_GB2312" w:hAnsi="仿宋_GB2312" w:eastAsia="仿宋_GB2312" w:cs="仿宋_GB2312"/>
                <w:i w:val="0"/>
                <w:iCs w:val="0"/>
                <w:color w:val="auto"/>
                <w:sz w:val="24"/>
                <w:szCs w:val="24"/>
                <w:highlight w:val="none"/>
                <w:u w:val="none"/>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6539A61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上门修脚 50元/次（普通修脚，刮死皮、剪指甲等）</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22937179">
            <w:pPr>
              <w:jc w:val="center"/>
              <w:rPr>
                <w:rFonts w:hint="eastAsia" w:ascii="仿宋_GB2312" w:hAnsi="仿宋_GB2312"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18B02A3">
            <w:pPr>
              <w:rPr>
                <w:rFonts w:hint="eastAsia" w:ascii="仿宋_GB2312" w:hAnsi="仿宋_GB2312" w:eastAsia="仿宋_GB2312" w:cs="仿宋_GB2312"/>
                <w:i w:val="0"/>
                <w:iCs w:val="0"/>
                <w:color w:val="auto"/>
                <w:sz w:val="24"/>
                <w:szCs w:val="24"/>
                <w:highlight w:val="none"/>
                <w:u w:val="none"/>
              </w:rPr>
            </w:pPr>
          </w:p>
        </w:tc>
      </w:tr>
      <w:tr w14:paraId="0343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7FD4DAF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1D71B201">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ign w:val="center"/>
          </w:tcPr>
          <w:p w14:paraId="2410E33C">
            <w:pPr>
              <w:jc w:val="center"/>
              <w:rPr>
                <w:rFonts w:hint="eastAsia" w:ascii="仿宋_GB2312" w:hAnsi="仿宋_GB2312" w:eastAsia="仿宋_GB2312" w:cs="仿宋_GB2312"/>
                <w:i w:val="0"/>
                <w:iCs w:val="0"/>
                <w:color w:val="auto"/>
                <w:sz w:val="24"/>
                <w:szCs w:val="24"/>
                <w:highlight w:val="none"/>
                <w:u w:val="none"/>
              </w:rPr>
            </w:pPr>
          </w:p>
        </w:tc>
        <w:tc>
          <w:tcPr>
            <w:tcW w:w="4161" w:type="dxa"/>
            <w:tcBorders>
              <w:top w:val="single" w:color="000000" w:sz="4" w:space="0"/>
              <w:left w:val="single" w:color="000000" w:sz="4" w:space="0"/>
              <w:bottom w:val="single" w:color="000000" w:sz="4" w:space="0"/>
              <w:right w:val="single" w:color="000000" w:sz="4" w:space="0"/>
            </w:tcBorders>
            <w:noWrap/>
            <w:vAlign w:val="center"/>
          </w:tcPr>
          <w:p w14:paraId="4B9D12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鸡眼 10元/次（不含用药</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5679AAB3">
            <w:pPr>
              <w:jc w:val="center"/>
              <w:rPr>
                <w:rFonts w:hint="eastAsia" w:ascii="仿宋_GB2312" w:hAnsi="仿宋_GB2312"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2DFF98B">
            <w:pPr>
              <w:rPr>
                <w:rFonts w:hint="eastAsia" w:ascii="仿宋_GB2312" w:hAnsi="仿宋_GB2312" w:eastAsia="仿宋_GB2312" w:cs="仿宋_GB2312"/>
                <w:i w:val="0"/>
                <w:iCs w:val="0"/>
                <w:color w:val="auto"/>
                <w:sz w:val="24"/>
                <w:szCs w:val="24"/>
                <w:highlight w:val="none"/>
                <w:u w:val="none"/>
              </w:rPr>
            </w:pPr>
          </w:p>
        </w:tc>
      </w:tr>
      <w:tr w14:paraId="6D03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3B71C96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108499CB">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ign w:val="center"/>
          </w:tcPr>
          <w:p w14:paraId="38C1C7C9">
            <w:pPr>
              <w:jc w:val="center"/>
              <w:rPr>
                <w:rFonts w:hint="eastAsia" w:ascii="仿宋_GB2312" w:hAnsi="仿宋_GB2312" w:eastAsia="仿宋_GB2312" w:cs="仿宋_GB2312"/>
                <w:i w:val="0"/>
                <w:iCs w:val="0"/>
                <w:color w:val="auto"/>
                <w:sz w:val="24"/>
                <w:szCs w:val="24"/>
                <w:highlight w:val="none"/>
                <w:u w:val="none"/>
              </w:rPr>
            </w:pPr>
          </w:p>
        </w:tc>
        <w:tc>
          <w:tcPr>
            <w:tcW w:w="4161" w:type="dxa"/>
            <w:tcBorders>
              <w:top w:val="single" w:color="000000" w:sz="4" w:space="0"/>
              <w:left w:val="single" w:color="000000" w:sz="4" w:space="0"/>
              <w:bottom w:val="single" w:color="000000" w:sz="4" w:space="0"/>
              <w:right w:val="single" w:color="000000" w:sz="4" w:space="0"/>
            </w:tcBorders>
            <w:noWrap/>
            <w:vAlign w:val="center"/>
          </w:tcPr>
          <w:p w14:paraId="4D583EE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治甲沟炎 10元/次（不含用药）</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210C0F6D">
            <w:pPr>
              <w:jc w:val="center"/>
              <w:rPr>
                <w:rFonts w:hint="eastAsia" w:ascii="仿宋_GB2312" w:hAnsi="仿宋_GB2312"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AE41B57">
            <w:pPr>
              <w:rPr>
                <w:rFonts w:hint="eastAsia" w:ascii="仿宋_GB2312" w:hAnsi="仿宋_GB2312" w:eastAsia="仿宋_GB2312" w:cs="仿宋_GB2312"/>
                <w:i w:val="0"/>
                <w:iCs w:val="0"/>
                <w:color w:val="auto"/>
                <w:sz w:val="24"/>
                <w:szCs w:val="24"/>
                <w:highlight w:val="none"/>
                <w:u w:val="none"/>
              </w:rPr>
            </w:pPr>
          </w:p>
        </w:tc>
      </w:tr>
      <w:tr w14:paraId="4F87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6471D4D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548B90D4">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ign w:val="center"/>
          </w:tcPr>
          <w:p w14:paraId="67BF67AC">
            <w:pPr>
              <w:jc w:val="center"/>
              <w:rPr>
                <w:rFonts w:hint="eastAsia" w:ascii="仿宋_GB2312" w:hAnsi="仿宋_GB2312" w:eastAsia="仿宋_GB2312" w:cs="仿宋_GB2312"/>
                <w:i w:val="0"/>
                <w:iCs w:val="0"/>
                <w:color w:val="auto"/>
                <w:sz w:val="24"/>
                <w:szCs w:val="24"/>
                <w:highlight w:val="none"/>
                <w:u w:val="none"/>
              </w:rPr>
            </w:pPr>
          </w:p>
        </w:tc>
        <w:tc>
          <w:tcPr>
            <w:tcW w:w="4161" w:type="dxa"/>
            <w:tcBorders>
              <w:top w:val="single" w:color="000000" w:sz="4" w:space="0"/>
              <w:left w:val="single" w:color="000000" w:sz="4" w:space="0"/>
              <w:bottom w:val="single" w:color="000000" w:sz="4" w:space="0"/>
              <w:right w:val="single" w:color="000000" w:sz="4" w:space="0"/>
            </w:tcBorders>
            <w:noWrap/>
            <w:vAlign w:val="center"/>
          </w:tcPr>
          <w:p w14:paraId="2892DBD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修垫核 10元/次（不含用药）</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56EC495D">
            <w:pPr>
              <w:jc w:val="center"/>
              <w:rPr>
                <w:rFonts w:hint="eastAsia" w:ascii="仿宋_GB2312" w:hAnsi="仿宋_GB2312"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C26101C">
            <w:pPr>
              <w:rPr>
                <w:rFonts w:hint="eastAsia" w:ascii="仿宋_GB2312" w:hAnsi="仿宋_GB2312" w:eastAsia="仿宋_GB2312" w:cs="仿宋_GB2312"/>
                <w:i w:val="0"/>
                <w:iCs w:val="0"/>
                <w:color w:val="auto"/>
                <w:sz w:val="24"/>
                <w:szCs w:val="24"/>
                <w:highlight w:val="none"/>
                <w:u w:val="none"/>
              </w:rPr>
            </w:pPr>
          </w:p>
        </w:tc>
      </w:tr>
      <w:tr w14:paraId="522A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173A0F7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7F1EB44C">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ign w:val="center"/>
          </w:tcPr>
          <w:p w14:paraId="346D4AD6">
            <w:pPr>
              <w:jc w:val="center"/>
              <w:rPr>
                <w:rFonts w:hint="eastAsia" w:ascii="仿宋_GB2312" w:hAnsi="仿宋_GB2312" w:eastAsia="仿宋_GB2312" w:cs="仿宋_GB2312"/>
                <w:i w:val="0"/>
                <w:iCs w:val="0"/>
                <w:color w:val="auto"/>
                <w:sz w:val="24"/>
                <w:szCs w:val="24"/>
                <w:highlight w:val="none"/>
                <w:u w:val="none"/>
              </w:rPr>
            </w:pPr>
          </w:p>
        </w:tc>
        <w:tc>
          <w:tcPr>
            <w:tcW w:w="4161" w:type="dxa"/>
            <w:tcBorders>
              <w:top w:val="single" w:color="000000" w:sz="4" w:space="0"/>
              <w:left w:val="single" w:color="000000" w:sz="4" w:space="0"/>
              <w:bottom w:val="single" w:color="000000" w:sz="4" w:space="0"/>
              <w:right w:val="single" w:color="000000" w:sz="4" w:space="0"/>
            </w:tcBorders>
            <w:noWrap/>
            <w:vAlign w:val="center"/>
          </w:tcPr>
          <w:p w14:paraId="75AA01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修灰指甲 10元/次（不含用药）</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345324E7">
            <w:pPr>
              <w:jc w:val="center"/>
              <w:rPr>
                <w:rFonts w:hint="eastAsia" w:ascii="仿宋_GB2312" w:hAnsi="仿宋_GB2312"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4687480">
            <w:pPr>
              <w:rPr>
                <w:rFonts w:hint="eastAsia" w:ascii="仿宋_GB2312" w:hAnsi="仿宋_GB2312" w:eastAsia="仿宋_GB2312" w:cs="仿宋_GB2312"/>
                <w:i w:val="0"/>
                <w:iCs w:val="0"/>
                <w:color w:val="auto"/>
                <w:sz w:val="24"/>
                <w:szCs w:val="24"/>
                <w:highlight w:val="none"/>
                <w:u w:val="none"/>
              </w:rPr>
            </w:pPr>
          </w:p>
        </w:tc>
      </w:tr>
      <w:tr w14:paraId="6418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24B1880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827" w:type="dxa"/>
            <w:vMerge w:val="continue"/>
            <w:tcBorders>
              <w:top w:val="single" w:color="000000" w:sz="4" w:space="0"/>
              <w:left w:val="single" w:color="000000" w:sz="4" w:space="0"/>
              <w:bottom w:val="single" w:color="000000" w:sz="4" w:space="0"/>
              <w:right w:val="single" w:color="000000" w:sz="4" w:space="0"/>
            </w:tcBorders>
            <w:noWrap/>
            <w:vAlign w:val="center"/>
          </w:tcPr>
          <w:p w14:paraId="6C708EBB">
            <w:pPr>
              <w:jc w:val="center"/>
              <w:rPr>
                <w:rFonts w:hint="eastAsia" w:ascii="仿宋_GB2312" w:hAnsi="仿宋_GB2312" w:eastAsia="仿宋_GB2312" w:cs="仿宋_GB2312"/>
                <w:i w:val="0"/>
                <w:iCs w:val="0"/>
                <w:color w:val="auto"/>
                <w:sz w:val="24"/>
                <w:szCs w:val="24"/>
                <w:highlight w:val="none"/>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ign w:val="center"/>
          </w:tcPr>
          <w:p w14:paraId="3BB9F5C9">
            <w:pPr>
              <w:jc w:val="center"/>
              <w:rPr>
                <w:rFonts w:hint="eastAsia" w:ascii="仿宋_GB2312" w:hAnsi="仿宋_GB2312" w:eastAsia="仿宋_GB2312" w:cs="仿宋_GB2312"/>
                <w:i w:val="0"/>
                <w:iCs w:val="0"/>
                <w:color w:val="auto"/>
                <w:sz w:val="24"/>
                <w:szCs w:val="24"/>
                <w:highlight w:val="none"/>
                <w:u w:val="none"/>
              </w:rPr>
            </w:pPr>
          </w:p>
        </w:tc>
        <w:tc>
          <w:tcPr>
            <w:tcW w:w="4161" w:type="dxa"/>
            <w:tcBorders>
              <w:top w:val="single" w:color="000000" w:sz="4" w:space="0"/>
              <w:left w:val="single" w:color="000000" w:sz="4" w:space="0"/>
              <w:bottom w:val="single" w:color="000000" w:sz="4" w:space="0"/>
              <w:right w:val="single" w:color="000000" w:sz="4" w:space="0"/>
            </w:tcBorders>
            <w:noWrap/>
            <w:vAlign w:val="center"/>
          </w:tcPr>
          <w:p w14:paraId="4C593E0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修脚垫 10元/次（不含用药）</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3CAE53E0">
            <w:pPr>
              <w:jc w:val="center"/>
              <w:rPr>
                <w:rFonts w:hint="eastAsia" w:ascii="仿宋_GB2312" w:hAnsi="仿宋_GB2312"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619177E">
            <w:pPr>
              <w:rPr>
                <w:rFonts w:hint="eastAsia" w:ascii="仿宋_GB2312" w:hAnsi="仿宋_GB2312" w:eastAsia="仿宋_GB2312" w:cs="仿宋_GB2312"/>
                <w:i w:val="0"/>
                <w:iCs w:val="0"/>
                <w:color w:val="auto"/>
                <w:sz w:val="24"/>
                <w:szCs w:val="24"/>
                <w:highlight w:val="none"/>
                <w:u w:val="none"/>
              </w:rPr>
            </w:pPr>
          </w:p>
        </w:tc>
      </w:tr>
      <w:tr w14:paraId="74F1A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529" w:type="dxa"/>
            <w:gridSpan w:val="3"/>
            <w:tcBorders>
              <w:top w:val="single" w:color="000000" w:sz="4" w:space="0"/>
              <w:left w:val="single" w:color="000000" w:sz="4" w:space="0"/>
              <w:bottom w:val="single" w:color="000000" w:sz="4" w:space="0"/>
              <w:right w:val="single" w:color="000000" w:sz="4" w:space="0"/>
            </w:tcBorders>
            <w:noWrap/>
            <w:vAlign w:val="center"/>
          </w:tcPr>
          <w:p w14:paraId="4F7C1A7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合计价</w:t>
            </w:r>
          </w:p>
        </w:tc>
        <w:tc>
          <w:tcPr>
            <w:tcW w:w="4161" w:type="dxa"/>
            <w:tcBorders>
              <w:top w:val="single" w:color="000000" w:sz="4" w:space="0"/>
              <w:left w:val="single" w:color="000000" w:sz="4" w:space="0"/>
              <w:bottom w:val="single" w:color="000000" w:sz="4" w:space="0"/>
              <w:right w:val="nil"/>
            </w:tcBorders>
            <w:noWrap/>
            <w:vAlign w:val="center"/>
          </w:tcPr>
          <w:p w14:paraId="0B0E0219">
            <w:pPr>
              <w:rPr>
                <w:rFonts w:hint="eastAsia" w:ascii="仿宋_GB2312" w:hAnsi="仿宋_GB2312" w:eastAsia="仿宋_GB2312" w:cs="仿宋_GB2312"/>
                <w:i w:val="0"/>
                <w:iCs w:val="0"/>
                <w:color w:val="auto"/>
                <w:sz w:val="24"/>
                <w:szCs w:val="24"/>
                <w:highlight w:val="none"/>
                <w:u w:val="none"/>
              </w:rPr>
            </w:pP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7CED9DB0">
            <w:pPr>
              <w:rPr>
                <w:rFonts w:hint="eastAsia" w:ascii="仿宋_GB2312" w:hAnsi="仿宋_GB2312"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B3DB193">
            <w:pPr>
              <w:rPr>
                <w:rFonts w:hint="eastAsia" w:ascii="仿宋_GB2312" w:hAnsi="仿宋_GB2312" w:eastAsia="仿宋_GB2312" w:cs="仿宋_GB2312"/>
                <w:i w:val="0"/>
                <w:iCs w:val="0"/>
                <w:color w:val="auto"/>
                <w:sz w:val="24"/>
                <w:szCs w:val="24"/>
                <w:highlight w:val="none"/>
                <w:u w:val="none"/>
              </w:rPr>
            </w:pPr>
          </w:p>
        </w:tc>
      </w:tr>
      <w:tr w14:paraId="7AA8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45" w:type="dxa"/>
            <w:gridSpan w:val="6"/>
            <w:tcBorders>
              <w:top w:val="nil"/>
              <w:left w:val="nil"/>
              <w:bottom w:val="nil"/>
              <w:right w:val="nil"/>
            </w:tcBorders>
            <w:noWrap/>
            <w:vAlign w:val="center"/>
          </w:tcPr>
          <w:p w14:paraId="73E88751">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注：上述报价为南通市居家和社区基本养老服务项目清单中挑选的项目，本报价表中未体现的报价执行通民发[2018]94号文。</w:t>
            </w:r>
          </w:p>
        </w:tc>
      </w:tr>
    </w:tbl>
    <w:p w14:paraId="32D74160">
      <w:pPr>
        <w:spacing w:before="388" w:line="250" w:lineRule="exact"/>
        <w:ind w:firstLine="240" w:firstLineChars="100"/>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供应商：（盖章）</w:t>
      </w:r>
    </w:p>
    <w:p w14:paraId="7B9CC543">
      <w:pPr>
        <w:spacing w:before="271" w:line="250" w:lineRule="exact"/>
        <w:ind w:left="67"/>
        <w:rPr>
          <w:rFonts w:hint="eastAsia" w:ascii="仿宋_GB2312" w:hAnsi="仿宋_GB2312" w:eastAsia="仿宋_GB2312" w:cs="仿宋_GB2312"/>
          <w:color w:val="auto"/>
          <w:sz w:val="24"/>
          <w:szCs w:val="24"/>
          <w:highlight w:val="none"/>
          <w:lang w:val="en-US" w:eastAsia="en-US" w:bidi="ar-SA"/>
        </w:rPr>
      </w:pPr>
      <w:r>
        <w:rPr>
          <w:rFonts w:hint="eastAsia" w:ascii="仿宋_GB2312" w:hAnsi="仿宋_GB2312" w:eastAsia="仿宋_GB2312" w:cs="仿宋_GB2312"/>
          <w:color w:val="auto"/>
          <w:sz w:val="24"/>
          <w:szCs w:val="24"/>
          <w:highlight w:val="none"/>
          <w:lang w:val="en-US" w:eastAsia="en-US" w:bidi="ar-SA"/>
        </w:rPr>
        <w:t>法定代表人或被授权人（签字）：</w:t>
      </w:r>
    </w:p>
    <w:p w14:paraId="2B9A092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en-US" w:bidi="ar"/>
        </w:rPr>
      </w:pPr>
      <w:r>
        <w:rPr>
          <w:rFonts w:hint="eastAsia" w:ascii="仿宋_GB2312" w:hAnsi="仿宋_GB2312" w:eastAsia="仿宋_GB2312" w:cs="仿宋_GB2312"/>
          <w:i w:val="0"/>
          <w:iCs w:val="0"/>
          <w:color w:val="auto"/>
          <w:kern w:val="0"/>
          <w:sz w:val="24"/>
          <w:szCs w:val="24"/>
          <w:highlight w:val="none"/>
          <w:u w:val="none"/>
          <w:lang w:val="en-US" w:eastAsia="en-US" w:bidi="ar"/>
        </w:rPr>
        <w:t>日期：</w:t>
      </w:r>
    </w:p>
    <w:p w14:paraId="29FB156D">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en-US" w:bidi="ar"/>
        </w:rPr>
        <w:t>备注：</w:t>
      </w:r>
      <w:r>
        <w:rPr>
          <w:rFonts w:hint="eastAsia" w:ascii="仿宋_GB2312" w:hAnsi="仿宋_GB2312" w:eastAsia="仿宋_GB2312" w:cs="仿宋_GB2312"/>
          <w:i w:val="0"/>
          <w:iCs w:val="0"/>
          <w:color w:val="auto"/>
          <w:kern w:val="0"/>
          <w:sz w:val="24"/>
          <w:szCs w:val="24"/>
          <w:highlight w:val="none"/>
          <w:u w:val="none"/>
          <w:lang w:val="en-US" w:eastAsia="zh-CN" w:bidi="ar"/>
        </w:rPr>
        <w:t>合计价</w:t>
      </w:r>
      <w:r>
        <w:rPr>
          <w:rFonts w:hint="eastAsia" w:ascii="仿宋_GB2312" w:hAnsi="仿宋_GB2312" w:eastAsia="仿宋_GB2312" w:cs="仿宋_GB2312"/>
          <w:i w:val="0"/>
          <w:iCs w:val="0"/>
          <w:color w:val="auto"/>
          <w:kern w:val="0"/>
          <w:sz w:val="24"/>
          <w:szCs w:val="24"/>
          <w:highlight w:val="none"/>
          <w:u w:val="none"/>
          <w:lang w:val="en-US" w:eastAsia="en-US" w:bidi="ar"/>
        </w:rPr>
        <w:t xml:space="preserve">为序号 1至 </w:t>
      </w:r>
      <w:r>
        <w:rPr>
          <w:rFonts w:hint="eastAsia" w:ascii="仿宋_GB2312" w:hAnsi="仿宋_GB2312" w:eastAsia="仿宋_GB2312" w:cs="仿宋_GB2312"/>
          <w:i w:val="0"/>
          <w:iCs w:val="0"/>
          <w:color w:val="auto"/>
          <w:kern w:val="0"/>
          <w:sz w:val="24"/>
          <w:szCs w:val="24"/>
          <w:highlight w:val="none"/>
          <w:u w:val="none"/>
          <w:lang w:val="en-US" w:eastAsia="zh-CN" w:bidi="ar"/>
        </w:rPr>
        <w:t>12</w:t>
      </w:r>
      <w:r>
        <w:rPr>
          <w:rFonts w:hint="eastAsia" w:ascii="仿宋_GB2312" w:hAnsi="仿宋_GB2312" w:eastAsia="仿宋_GB2312" w:cs="仿宋_GB2312"/>
          <w:i w:val="0"/>
          <w:iCs w:val="0"/>
          <w:color w:val="auto"/>
          <w:kern w:val="0"/>
          <w:sz w:val="24"/>
          <w:szCs w:val="24"/>
          <w:highlight w:val="none"/>
          <w:u w:val="none"/>
          <w:lang w:val="en-US" w:eastAsia="en-US" w:bidi="ar"/>
        </w:rPr>
        <w:t>的合计。</w:t>
      </w:r>
    </w:p>
    <w:p w14:paraId="1B303C89">
      <w:pPr>
        <w:spacing w:line="360" w:lineRule="auto"/>
        <w:rPr>
          <w:rFonts w:hint="eastAsia" w:ascii="仿宋_GB2312" w:hAnsi="仿宋_GB2312" w:eastAsia="仿宋_GB2312" w:cs="仿宋_GB2312"/>
          <w:color w:val="auto"/>
          <w:sz w:val="24"/>
          <w:szCs w:val="24"/>
          <w:highlight w:val="none"/>
        </w:rPr>
      </w:pPr>
    </w:p>
    <w:p w14:paraId="3C62D8DC">
      <w:pPr>
        <w:pBdr>
          <w:top w:val="none" w:color="000000" w:sz="0" w:space="0"/>
          <w:left w:val="none" w:color="000000" w:sz="0" w:space="0"/>
          <w:bottom w:val="none" w:color="000000" w:sz="0" w:space="0"/>
          <w:right w:val="none" w:color="000000" w:sz="0" w:space="0"/>
        </w:pBdr>
        <w:spacing w:after="0"/>
        <w:jc w:val="center"/>
        <w:rPr>
          <w:rFonts w:hint="eastAsia" w:ascii="仿宋" w:hAnsi="仿宋" w:eastAsia="仿宋" w:cs="仿宋"/>
          <w:b/>
          <w:bCs/>
          <w:color w:val="auto"/>
          <w:sz w:val="28"/>
          <w:szCs w:val="28"/>
          <w:highlight w:val="none"/>
          <w:lang w:eastAsia="zh-CN"/>
        </w:rPr>
      </w:pPr>
      <w:r>
        <w:rPr>
          <w:rFonts w:hint="eastAsia" w:ascii="黑体" w:hAnsi="黑体" w:eastAsia="黑体" w:cs="黑体"/>
          <w:color w:val="auto"/>
          <w:sz w:val="24"/>
          <w:szCs w:val="22"/>
          <w:highlight w:val="none"/>
        </w:rPr>
        <w:br w:type="page" w:clear="all"/>
      </w:r>
    </w:p>
    <w:p w14:paraId="21076457">
      <w:pPr>
        <w:pBdr>
          <w:top w:val="none" w:color="000000" w:sz="0" w:space="0"/>
          <w:left w:val="none" w:color="000000" w:sz="0" w:space="0"/>
          <w:bottom w:val="none" w:color="000000" w:sz="0" w:space="0"/>
          <w:right w:val="none" w:color="000000" w:sz="0" w:space="0"/>
        </w:pBdr>
        <w:spacing w:after="0"/>
        <w:jc w:val="center"/>
        <w:rPr>
          <w:rFonts w:hint="eastAsia" w:ascii="仿宋" w:hAnsi="仿宋" w:eastAsia="仿宋" w:cs="仿宋"/>
          <w:b/>
          <w:bCs/>
          <w:color w:val="auto"/>
          <w:sz w:val="28"/>
          <w:szCs w:val="28"/>
          <w:highlight w:val="none"/>
          <w:lang w:eastAsia="zh-CN"/>
        </w:rPr>
      </w:pPr>
      <w:r>
        <w:rPr>
          <w:rFonts w:ascii="仿宋" w:hAnsi="仿宋" w:eastAsia="仿宋" w:cs="仿宋"/>
          <w:b/>
          <w:color w:val="auto"/>
          <w:sz w:val="28"/>
          <w:highlight w:val="none"/>
          <w:lang w:eastAsia="zh-CN"/>
        </w:rPr>
        <w:t> </w:t>
      </w:r>
    </w:p>
    <w:p w14:paraId="77BDD307">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Times New Roman" w:hAnsi="Times New Roman" w:eastAsia="Times New Roman" w:cs="Times New Roman"/>
          <w:color w:val="auto"/>
          <w:sz w:val="24"/>
          <w:highlight w:val="none"/>
          <w:lang w:eastAsia="zh-CN"/>
        </w:rPr>
        <w:t> </w:t>
      </w:r>
    </w:p>
    <w:p w14:paraId="6A0AFFD5">
      <w:pPr>
        <w:pBdr>
          <w:top w:val="none" w:color="000000" w:sz="0" w:space="0"/>
          <w:left w:val="none" w:color="000000" w:sz="0" w:space="0"/>
          <w:bottom w:val="none" w:color="000000" w:sz="0" w:space="0"/>
          <w:right w:val="none" w:color="000000" w:sz="0" w:space="0"/>
        </w:pBdr>
        <w:spacing w:after="0"/>
        <w:jc w:val="center"/>
        <w:rPr>
          <w:color w:val="auto"/>
          <w:highlight w:val="none"/>
          <w:lang w:eastAsia="zh-CN"/>
        </w:rPr>
      </w:pPr>
      <w:r>
        <w:rPr>
          <w:rFonts w:ascii="仿宋" w:hAnsi="仿宋" w:eastAsia="仿宋" w:cs="仿宋"/>
          <w:b/>
          <w:color w:val="auto"/>
          <w:sz w:val="28"/>
          <w:highlight w:val="none"/>
          <w:lang w:eastAsia="zh-CN"/>
        </w:rPr>
        <w:t>三、供应商响应文件报价表（最终）</w:t>
      </w:r>
    </w:p>
    <w:p w14:paraId="198651DC">
      <w:pPr>
        <w:pBdr>
          <w:top w:val="none" w:color="000000" w:sz="0" w:space="0"/>
          <w:left w:val="none" w:color="000000" w:sz="0" w:space="0"/>
          <w:bottom w:val="none" w:color="000000" w:sz="0" w:space="0"/>
          <w:right w:val="none" w:color="000000" w:sz="0" w:space="0"/>
        </w:pBdr>
        <w:spacing w:after="0"/>
        <w:rPr>
          <w:color w:val="auto"/>
          <w:highlight w:val="none"/>
        </w:rPr>
      </w:pPr>
      <w:r>
        <w:rPr>
          <w:rFonts w:ascii="仿宋" w:hAnsi="仿宋" w:eastAsia="仿宋" w:cs="仿宋"/>
          <w:color w:val="auto"/>
          <w:sz w:val="24"/>
          <w:highlight w:val="none"/>
        </w:rPr>
        <w:t>项目编号：</w:t>
      </w:r>
    </w:p>
    <w:p w14:paraId="59EF8B73">
      <w:pPr>
        <w:pBdr>
          <w:top w:val="none" w:color="000000" w:sz="0" w:space="0"/>
          <w:left w:val="none" w:color="000000" w:sz="0" w:space="0"/>
          <w:bottom w:val="none" w:color="000000" w:sz="0" w:space="0"/>
          <w:right w:val="none" w:color="000000" w:sz="0" w:space="0"/>
        </w:pBdr>
        <w:spacing w:after="0"/>
        <w:rPr>
          <w:color w:val="auto"/>
          <w:highlight w:val="none"/>
        </w:rPr>
      </w:pPr>
      <w:r>
        <w:rPr>
          <w:rFonts w:ascii="仿宋" w:hAnsi="仿宋" w:eastAsia="仿宋" w:cs="仿宋"/>
          <w:color w:val="auto"/>
          <w:sz w:val="24"/>
          <w:highlight w:val="none"/>
        </w:rPr>
        <w:t> </w:t>
      </w:r>
    </w:p>
    <w:tbl>
      <w:tblPr>
        <w:tblStyle w:val="3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4227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456A76BD">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磋商货物、服务名称</w:t>
            </w:r>
          </w:p>
        </w:tc>
        <w:tc>
          <w:tcPr>
            <w:tcW w:w="4607" w:type="dxa"/>
            <w:noWrap w:val="0"/>
            <w:vAlign w:val="top"/>
          </w:tcPr>
          <w:p w14:paraId="5980E29D">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磋商</w:t>
            </w:r>
            <w:r>
              <w:rPr>
                <w:rFonts w:hint="eastAsia" w:ascii="仿宋_GB2312" w:hAnsi="仿宋_GB2312" w:eastAsia="仿宋_GB2312" w:cs="仿宋_GB2312"/>
                <w:color w:val="auto"/>
                <w:sz w:val="24"/>
                <w:szCs w:val="24"/>
                <w:highlight w:val="none"/>
                <w:lang w:val="en-US" w:eastAsia="zh-CN"/>
              </w:rPr>
              <w:t>合计报价（</w:t>
            </w:r>
            <w:r>
              <w:rPr>
                <w:rFonts w:hint="eastAsia" w:ascii="仿宋_GB2312" w:hAnsi="仿宋_GB2312" w:eastAsia="仿宋_GB2312" w:cs="仿宋_GB2312"/>
                <w:color w:val="auto"/>
                <w:sz w:val="24"/>
                <w:szCs w:val="24"/>
                <w:highlight w:val="none"/>
              </w:rPr>
              <w:t>元</w:t>
            </w:r>
            <w:r>
              <w:rPr>
                <w:rFonts w:hint="eastAsia" w:ascii="仿宋_GB2312" w:hAnsi="仿宋_GB2312" w:eastAsia="仿宋_GB2312" w:cs="仿宋_GB2312"/>
                <w:color w:val="auto"/>
                <w:sz w:val="24"/>
                <w:szCs w:val="24"/>
                <w:highlight w:val="none"/>
                <w:lang w:val="en-US" w:eastAsia="zh-CN"/>
              </w:rPr>
              <w:t>）</w:t>
            </w:r>
          </w:p>
        </w:tc>
      </w:tr>
      <w:tr w14:paraId="50EE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top"/>
          </w:tcPr>
          <w:p w14:paraId="4A78D643">
            <w:pPr>
              <w:rPr>
                <w:rFonts w:hint="eastAsia" w:ascii="仿宋_GB2312" w:hAnsi="仿宋_GB2312" w:eastAsia="仿宋_GB2312" w:cs="仿宋_GB2312"/>
                <w:color w:val="auto"/>
                <w:sz w:val="24"/>
                <w:szCs w:val="24"/>
                <w:highlight w:val="none"/>
              </w:rPr>
            </w:pPr>
          </w:p>
        </w:tc>
        <w:tc>
          <w:tcPr>
            <w:tcW w:w="4607" w:type="dxa"/>
            <w:noWrap w:val="0"/>
            <w:vAlign w:val="top"/>
          </w:tcPr>
          <w:p w14:paraId="3E9F552A">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大写：</w:t>
            </w:r>
          </w:p>
          <w:p w14:paraId="313C8871">
            <w:pPr>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小写：元（人民币）</w:t>
            </w:r>
          </w:p>
        </w:tc>
      </w:tr>
    </w:tbl>
    <w:p w14:paraId="7E28478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w:t>
      </w:r>
    </w:p>
    <w:p w14:paraId="2186564D">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填写说明：</w:t>
      </w:r>
    </w:p>
    <w:p w14:paraId="36DAF29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1、报价总表必须加盖供应商公章（</w:t>
      </w:r>
      <w:r>
        <w:rPr>
          <w:rFonts w:hint="eastAsia" w:ascii="仿宋_GB2312" w:hAnsi="仿宋_GB2312" w:eastAsia="仿宋_GB2312" w:cs="仿宋_GB2312"/>
          <w:color w:val="auto"/>
          <w:sz w:val="24"/>
          <w:szCs w:val="24"/>
          <w:highlight w:val="none"/>
          <w:lang w:val="en-US" w:eastAsia="zh-CN"/>
        </w:rPr>
        <w:t>复印</w:t>
      </w:r>
      <w:r>
        <w:rPr>
          <w:rFonts w:hint="eastAsia" w:ascii="仿宋_GB2312" w:hAnsi="仿宋_GB2312" w:eastAsia="仿宋_GB2312" w:cs="仿宋_GB2312"/>
          <w:color w:val="auto"/>
          <w:sz w:val="24"/>
          <w:szCs w:val="24"/>
          <w:highlight w:val="none"/>
        </w:rPr>
        <w:t>件无效）。</w:t>
      </w:r>
    </w:p>
    <w:p w14:paraId="51B509A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2、如有分包，供应商参与任何一个包的标的，都需单独填写报价表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本项目不允许分包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p>
    <w:p w14:paraId="18241381">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3、报价保留小数点精确到后两位。</w:t>
      </w:r>
    </w:p>
    <w:p w14:paraId="5BEE805F">
      <w:pPr>
        <w:spacing w:line="360" w:lineRule="auto"/>
        <w:rPr>
          <w:rFonts w:hint="eastAsia" w:ascii="仿宋_GB2312" w:hAnsi="仿宋_GB2312" w:eastAsia="仿宋_GB2312" w:cs="仿宋_GB2312"/>
          <w:color w:val="auto"/>
          <w:sz w:val="24"/>
          <w:szCs w:val="24"/>
          <w:highlight w:val="none"/>
        </w:rPr>
      </w:pPr>
    </w:p>
    <w:p w14:paraId="23F3F9EB">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法定代表人或者授权代表（签字或盖章）：                    </w:t>
      </w:r>
    </w:p>
    <w:p w14:paraId="3E833575">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磋商供应商全称（盖章）：</w:t>
      </w:r>
    </w:p>
    <w:p w14:paraId="03C1AEFB">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日期：    年   月    日</w:t>
      </w:r>
    </w:p>
    <w:p w14:paraId="642AE756">
      <w:pPr>
        <w:spacing w:line="360" w:lineRule="auto"/>
        <w:rPr>
          <w:rFonts w:hint="eastAsia" w:ascii="仿宋_GB2312" w:hAnsi="仿宋_GB2312" w:eastAsia="仿宋_GB2312" w:cs="仿宋_GB2312"/>
          <w:color w:val="auto"/>
          <w:sz w:val="24"/>
          <w:szCs w:val="24"/>
          <w:highlight w:val="none"/>
        </w:rPr>
      </w:pPr>
    </w:p>
    <w:p w14:paraId="132482C8">
      <w:pPr>
        <w:pBdr>
          <w:top w:val="none" w:color="000000" w:sz="0" w:space="0"/>
          <w:left w:val="none" w:color="000000" w:sz="0" w:space="0"/>
          <w:bottom w:val="none" w:color="000000" w:sz="0" w:space="0"/>
          <w:right w:val="none" w:color="000000" w:sz="0" w:space="0"/>
        </w:pBdr>
        <w:spacing w:after="0" w:line="85" w:lineRule="atLeast"/>
        <w:jc w:val="both"/>
        <w:rPr>
          <w:color w:val="auto"/>
          <w:highlight w:val="none"/>
          <w:lang w:eastAsia="zh-CN"/>
        </w:rPr>
      </w:pPr>
    </w:p>
    <w:p w14:paraId="15687BDE">
      <w:pPr>
        <w:pBdr>
          <w:top w:val="none" w:color="000000" w:sz="0" w:space="0"/>
          <w:left w:val="none" w:color="000000" w:sz="0" w:space="0"/>
          <w:bottom w:val="none" w:color="000000" w:sz="0" w:space="0"/>
          <w:right w:val="none" w:color="000000" w:sz="0" w:space="0"/>
        </w:pBdr>
        <w:spacing w:after="0" w:line="85" w:lineRule="atLeast"/>
        <w:jc w:val="both"/>
        <w:rPr>
          <w:color w:val="auto"/>
          <w:highlight w:val="none"/>
          <w:lang w:eastAsia="zh-CN"/>
        </w:rPr>
      </w:pPr>
      <w:r>
        <w:rPr>
          <w:rFonts w:ascii="仿宋" w:hAnsi="仿宋" w:eastAsia="仿宋" w:cs="仿宋"/>
          <w:b/>
          <w:color w:val="auto"/>
          <w:sz w:val="24"/>
          <w:highlight w:val="none"/>
          <w:lang w:eastAsia="zh-CN"/>
        </w:rPr>
        <w:t>注：</w:t>
      </w:r>
    </w:p>
    <w:p w14:paraId="33048724">
      <w:pPr>
        <w:pBdr>
          <w:top w:val="none" w:color="000000" w:sz="0" w:space="0"/>
          <w:left w:val="none" w:color="000000" w:sz="0" w:space="0"/>
          <w:bottom w:val="none" w:color="000000" w:sz="0" w:space="0"/>
          <w:right w:val="none" w:color="000000" w:sz="0" w:space="0"/>
        </w:pBdr>
        <w:spacing w:after="0" w:line="360" w:lineRule="atLeast"/>
        <w:ind w:firstLine="482"/>
        <w:jc w:val="both"/>
        <w:rPr>
          <w:color w:val="auto"/>
          <w:highlight w:val="none"/>
          <w:lang w:eastAsia="zh-CN"/>
        </w:rPr>
      </w:pPr>
      <w:r>
        <w:rPr>
          <w:rFonts w:ascii="仿宋" w:hAnsi="仿宋" w:eastAsia="仿宋" w:cs="仿宋"/>
          <w:b/>
          <w:color w:val="auto"/>
          <w:sz w:val="24"/>
          <w:highlight w:val="none"/>
          <w:lang w:eastAsia="zh-CN"/>
        </w:rPr>
        <w:t>1、本表为样表，具体可以自行调整。</w:t>
      </w:r>
    </w:p>
    <w:p w14:paraId="050332A1">
      <w:pPr>
        <w:pBdr>
          <w:top w:val="none" w:color="000000" w:sz="0" w:space="0"/>
          <w:left w:val="none" w:color="000000" w:sz="0" w:space="0"/>
          <w:bottom w:val="none" w:color="000000" w:sz="0" w:space="0"/>
          <w:right w:val="none" w:color="000000" w:sz="0" w:space="0"/>
        </w:pBdr>
        <w:spacing w:after="0" w:line="85" w:lineRule="atLeast"/>
        <w:ind w:firstLine="482"/>
        <w:jc w:val="both"/>
        <w:rPr>
          <w:color w:val="auto"/>
          <w:highlight w:val="none"/>
          <w:lang w:eastAsia="zh-CN"/>
        </w:rPr>
      </w:pPr>
      <w:r>
        <w:rPr>
          <w:rFonts w:ascii="仿宋" w:hAnsi="仿宋" w:eastAsia="仿宋" w:cs="仿宋"/>
          <w:b/>
          <w:color w:val="auto"/>
          <w:sz w:val="24"/>
          <w:highlight w:val="none"/>
          <w:lang w:eastAsia="zh-CN"/>
        </w:rPr>
        <w:t>2、最终报价表将在磋商现场填写，竞争性磋商响应文件密封提交时只需填写磋商响应报价表（最终报价表请各响应商提前盖好公章在磋商现场填写）。</w:t>
      </w:r>
    </w:p>
    <w:p w14:paraId="138ACFCC">
      <w:pPr>
        <w:pBdr>
          <w:top w:val="none" w:color="000000" w:sz="0" w:space="0"/>
          <w:left w:val="none" w:color="000000" w:sz="0" w:space="0"/>
          <w:bottom w:val="none" w:color="000000" w:sz="0" w:space="0"/>
          <w:right w:val="none" w:color="000000" w:sz="0" w:space="0"/>
        </w:pBdr>
        <w:spacing w:after="0" w:line="85" w:lineRule="atLeast"/>
        <w:ind w:firstLine="482"/>
        <w:jc w:val="both"/>
        <w:rPr>
          <w:color w:val="auto"/>
          <w:highlight w:val="none"/>
          <w:lang w:eastAsia="zh-CN"/>
        </w:rPr>
      </w:pPr>
      <w:r>
        <w:rPr>
          <w:rFonts w:hint="eastAsia" w:ascii="仿宋" w:hAnsi="仿宋" w:eastAsia="仿宋" w:cs="仿宋"/>
          <w:b/>
          <w:color w:val="auto"/>
          <w:sz w:val="24"/>
          <w:highlight w:val="none"/>
          <w:lang w:eastAsia="zh-CN"/>
        </w:rPr>
        <w:t>3</w:t>
      </w:r>
      <w:r>
        <w:rPr>
          <w:rFonts w:ascii="仿宋" w:hAnsi="仿宋" w:eastAsia="仿宋" w:cs="仿宋"/>
          <w:b/>
          <w:color w:val="auto"/>
          <w:sz w:val="24"/>
          <w:highlight w:val="none"/>
          <w:lang w:eastAsia="zh-CN"/>
        </w:rPr>
        <w:t>、最后一次报价不得高于前一次报价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最终报价只填写合计报价，各单价按合计报价同比例下浮</w:t>
      </w:r>
      <w:r>
        <w:rPr>
          <w:rFonts w:ascii="仿宋" w:hAnsi="仿宋" w:eastAsia="仿宋" w:cs="仿宋"/>
          <w:b/>
          <w:color w:val="auto"/>
          <w:sz w:val="24"/>
          <w:highlight w:val="none"/>
          <w:lang w:eastAsia="zh-CN"/>
        </w:rPr>
        <w:t>。</w:t>
      </w:r>
    </w:p>
    <w:p w14:paraId="1CD184C3">
      <w:pPr>
        <w:pBdr>
          <w:top w:val="none" w:color="000000" w:sz="0" w:space="0"/>
          <w:left w:val="none" w:color="000000" w:sz="0" w:space="0"/>
          <w:bottom w:val="none" w:color="000000" w:sz="0" w:space="0"/>
          <w:right w:val="none" w:color="000000" w:sz="0" w:space="0"/>
        </w:pBdr>
        <w:spacing w:after="0"/>
        <w:ind w:firstLine="482"/>
        <w:jc w:val="both"/>
        <w:rPr>
          <w:color w:val="auto"/>
          <w:highlight w:val="none"/>
          <w:lang w:eastAsia="zh-CN"/>
        </w:rPr>
      </w:pPr>
      <w:r>
        <w:rPr>
          <w:rFonts w:hint="eastAsia" w:ascii="仿宋" w:hAnsi="仿宋" w:eastAsia="仿宋" w:cs="仿宋"/>
          <w:b/>
          <w:color w:val="auto"/>
          <w:sz w:val="24"/>
          <w:highlight w:val="none"/>
          <w:lang w:eastAsia="zh-CN"/>
        </w:rPr>
        <w:t>4</w:t>
      </w:r>
      <w:r>
        <w:rPr>
          <w:rFonts w:ascii="仿宋" w:hAnsi="仿宋" w:eastAsia="仿宋" w:cs="仿宋"/>
          <w:b/>
          <w:color w:val="auto"/>
          <w:sz w:val="24"/>
          <w:highlight w:val="none"/>
          <w:lang w:eastAsia="zh-CN"/>
        </w:rPr>
        <w:t>、报价小数点精确到后两位。</w:t>
      </w:r>
    </w:p>
    <w:p w14:paraId="4E84CF9E">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02C48E5B">
      <w:pPr>
        <w:pBdr>
          <w:top w:val="none" w:color="000000" w:sz="0" w:space="0"/>
          <w:left w:val="none" w:color="000000" w:sz="0" w:space="0"/>
          <w:bottom w:val="none" w:color="000000" w:sz="0" w:space="0"/>
          <w:right w:val="none" w:color="000000" w:sz="0" w:space="0"/>
        </w:pBdr>
        <w:spacing w:after="0"/>
        <w:jc w:val="center"/>
        <w:rPr>
          <w:color w:val="auto"/>
          <w:highlight w:val="none"/>
          <w:lang w:eastAsia="zh-CN"/>
        </w:rPr>
      </w:pPr>
      <w:r>
        <w:rPr>
          <w:rFonts w:ascii="仿宋" w:hAnsi="仿宋" w:eastAsia="仿宋" w:cs="仿宋"/>
          <w:b/>
          <w:color w:val="auto"/>
          <w:sz w:val="28"/>
          <w:highlight w:val="none"/>
          <w:lang w:eastAsia="zh-CN"/>
        </w:rPr>
        <w:t> </w:t>
      </w:r>
    </w:p>
    <w:p w14:paraId="25D04733">
      <w:pPr>
        <w:pBdr>
          <w:top w:val="none" w:color="000000" w:sz="0" w:space="0"/>
          <w:left w:val="none" w:color="000000" w:sz="0" w:space="0"/>
          <w:bottom w:val="none" w:color="000000" w:sz="0" w:space="0"/>
          <w:right w:val="none" w:color="000000" w:sz="0" w:space="0"/>
        </w:pBdr>
        <w:spacing w:after="0"/>
        <w:jc w:val="center"/>
        <w:rPr>
          <w:color w:val="auto"/>
          <w:highlight w:val="none"/>
          <w:lang w:eastAsia="zh-CN"/>
        </w:rPr>
      </w:pPr>
      <w:r>
        <w:rPr>
          <w:rFonts w:ascii="仿宋" w:hAnsi="仿宋" w:eastAsia="仿宋" w:cs="仿宋"/>
          <w:b/>
          <w:color w:val="auto"/>
          <w:sz w:val="28"/>
          <w:highlight w:val="none"/>
          <w:lang w:eastAsia="zh-CN"/>
        </w:rPr>
        <w:t> </w:t>
      </w:r>
    </w:p>
    <w:p w14:paraId="385F8AA7">
      <w:pPr>
        <w:pBdr>
          <w:top w:val="none" w:color="000000" w:sz="0" w:space="0"/>
          <w:left w:val="none" w:color="000000" w:sz="0" w:space="0"/>
          <w:bottom w:val="none" w:color="000000" w:sz="0" w:space="0"/>
          <w:right w:val="none" w:color="000000" w:sz="0" w:space="0"/>
        </w:pBdr>
        <w:spacing w:after="0"/>
        <w:jc w:val="both"/>
        <w:rPr>
          <w:rFonts w:hint="eastAsia" w:ascii="仿宋" w:hAnsi="仿宋" w:eastAsia="仿宋" w:cs="仿宋"/>
          <w:b/>
          <w:bCs/>
          <w:color w:val="auto"/>
          <w:sz w:val="28"/>
          <w:szCs w:val="28"/>
          <w:highlight w:val="none"/>
          <w:lang w:eastAsia="zh-CN"/>
        </w:rPr>
      </w:pPr>
      <w:r>
        <w:rPr>
          <w:rFonts w:ascii="仿宋" w:hAnsi="仿宋" w:eastAsia="仿宋" w:cs="仿宋"/>
          <w:b/>
          <w:color w:val="auto"/>
          <w:sz w:val="28"/>
          <w:highlight w:val="none"/>
          <w:lang w:eastAsia="zh-CN"/>
        </w:rPr>
        <w:t> </w:t>
      </w:r>
    </w:p>
    <w:p w14:paraId="5F516E14">
      <w:pPr>
        <w:pBdr>
          <w:top w:val="none" w:color="000000" w:sz="0" w:space="0"/>
          <w:left w:val="none" w:color="000000" w:sz="0" w:space="0"/>
          <w:bottom w:val="none" w:color="000000" w:sz="0" w:space="0"/>
          <w:right w:val="none" w:color="000000" w:sz="0" w:space="0"/>
        </w:pBdr>
        <w:spacing w:after="0"/>
        <w:jc w:val="both"/>
        <w:rPr>
          <w:rFonts w:ascii="Times New Roman" w:hAnsi="Times New Roman" w:eastAsia="Times New Roman" w:cs="Times New Roman"/>
          <w:color w:val="auto"/>
          <w:highlight w:val="none"/>
          <w:lang w:eastAsia="zh-CN"/>
        </w:rPr>
      </w:pPr>
    </w:p>
    <w:p w14:paraId="015432A9">
      <w:pPr>
        <w:pBdr>
          <w:top w:val="none" w:color="000000" w:sz="0" w:space="0"/>
          <w:left w:val="none" w:color="000000" w:sz="0" w:space="0"/>
          <w:bottom w:val="none" w:color="000000" w:sz="0" w:space="0"/>
          <w:right w:val="none" w:color="000000" w:sz="0" w:space="0"/>
        </w:pBdr>
        <w:spacing w:after="0"/>
        <w:jc w:val="both"/>
        <w:rPr>
          <w:rFonts w:ascii="Times New Roman" w:hAnsi="Times New Roman" w:eastAsia="Times New Roman" w:cs="Times New Roman"/>
          <w:color w:val="auto"/>
          <w:highlight w:val="none"/>
          <w:lang w:eastAsia="zh-CN"/>
        </w:rPr>
      </w:pPr>
    </w:p>
    <w:p w14:paraId="4DD3DE51">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p>
    <w:p w14:paraId="67E0595D">
      <w:pPr>
        <w:pBdr>
          <w:top w:val="none" w:color="000000" w:sz="0" w:space="0"/>
          <w:left w:val="none" w:color="000000" w:sz="0" w:space="0"/>
          <w:bottom w:val="none" w:color="000000" w:sz="0" w:space="0"/>
          <w:right w:val="none" w:color="000000" w:sz="0" w:space="0"/>
        </w:pBdr>
        <w:spacing w:after="0"/>
        <w:rPr>
          <w:rFonts w:hint="eastAsia" w:ascii="仿宋" w:hAnsi="仿宋" w:eastAsia="仿宋" w:cs="仿宋"/>
          <w:b/>
          <w:bCs/>
          <w:color w:val="auto"/>
          <w:sz w:val="28"/>
          <w:szCs w:val="28"/>
          <w:highlight w:val="none"/>
          <w:lang w:eastAsia="zh-CN"/>
        </w:rPr>
      </w:pPr>
      <w:r>
        <w:rPr>
          <w:rFonts w:ascii="仿宋" w:hAnsi="仿宋" w:eastAsia="仿宋" w:cs="仿宋"/>
          <w:b/>
          <w:color w:val="auto"/>
          <w:sz w:val="28"/>
          <w:highlight w:val="none"/>
          <w:lang w:eastAsia="zh-CN"/>
        </w:rPr>
        <w:t> </w:t>
      </w:r>
    </w:p>
    <w:p w14:paraId="2690735A">
      <w:pPr>
        <w:pBdr>
          <w:top w:val="none" w:color="000000" w:sz="0" w:space="0"/>
          <w:left w:val="none" w:color="000000" w:sz="0" w:space="0"/>
          <w:bottom w:val="none" w:color="000000" w:sz="0" w:space="0"/>
          <w:right w:val="none" w:color="000000" w:sz="0" w:space="0"/>
        </w:pBdr>
        <w:spacing w:after="0"/>
        <w:jc w:val="center"/>
        <w:rPr>
          <w:color w:val="auto"/>
          <w:highlight w:val="none"/>
          <w:lang w:eastAsia="zh-CN"/>
        </w:rPr>
      </w:pPr>
      <w:r>
        <w:rPr>
          <w:rFonts w:hint="eastAsia" w:ascii="仿宋" w:hAnsi="仿宋" w:eastAsia="仿宋" w:cs="仿宋"/>
          <w:b/>
          <w:color w:val="auto"/>
          <w:sz w:val="28"/>
          <w:highlight w:val="none"/>
          <w:lang w:eastAsia="zh-CN"/>
        </w:rPr>
        <w:t>四</w:t>
      </w:r>
      <w:r>
        <w:rPr>
          <w:rFonts w:ascii="仿宋" w:hAnsi="仿宋" w:eastAsia="仿宋" w:cs="仿宋"/>
          <w:b/>
          <w:color w:val="auto"/>
          <w:sz w:val="28"/>
          <w:highlight w:val="none"/>
          <w:lang w:eastAsia="zh-CN"/>
        </w:rPr>
        <w:t>、中小企业声明函</w:t>
      </w:r>
    </w:p>
    <w:p w14:paraId="61FD5340">
      <w:pPr>
        <w:pBdr>
          <w:top w:val="none" w:color="000000" w:sz="0" w:space="0"/>
          <w:left w:val="none" w:color="000000" w:sz="0" w:space="0"/>
          <w:bottom w:val="none" w:color="000000" w:sz="0" w:space="0"/>
          <w:right w:val="none" w:color="000000" w:sz="0" w:space="0"/>
        </w:pBdr>
        <w:spacing w:before="55" w:after="0" w:line="360" w:lineRule="auto"/>
        <w:ind w:right="415" w:firstLine="480"/>
        <w:jc w:val="both"/>
        <w:rPr>
          <w:color w:val="auto"/>
          <w:highlight w:val="none"/>
          <w:lang w:eastAsia="zh-CN"/>
        </w:rPr>
      </w:pPr>
      <w:r>
        <w:rPr>
          <w:rFonts w:ascii="仿宋" w:hAnsi="仿宋" w:eastAsia="仿宋" w:cs="仿宋"/>
          <w:color w:val="auto"/>
          <w:sz w:val="24"/>
          <w:highlight w:val="none"/>
          <w:lang w:eastAsia="zh-CN"/>
        </w:rPr>
        <w:t>本公司（联合体）郑重声明，根据《政府采购促进中小企业发展管理办法》（财库﹝2020﹞46号）的规定，本公司（联合体）参加</w:t>
      </w:r>
      <w:r>
        <w:rPr>
          <w:rFonts w:ascii="仿宋" w:hAnsi="仿宋" w:eastAsia="仿宋" w:cs="仿宋"/>
          <w:color w:val="auto"/>
          <w:sz w:val="24"/>
          <w:highlight w:val="none"/>
          <w:u w:val="single"/>
          <w:lang w:eastAsia="zh-CN"/>
        </w:rPr>
        <w:t>（项目名称）</w:t>
      </w:r>
      <w:r>
        <w:rPr>
          <w:rFonts w:ascii="仿宋" w:hAnsi="仿宋" w:eastAsia="仿宋" w:cs="仿宋"/>
          <w:color w:val="auto"/>
          <w:sz w:val="24"/>
          <w:highlight w:val="none"/>
          <w:lang w:eastAsia="zh-CN"/>
        </w:rPr>
        <w:t>采购活动，服务全部由符合政策要求的中小企业承接。相关企业（含联合体中的中小企业、签订分包意向协议的中小企业）的具体情况如下：</w:t>
      </w:r>
    </w:p>
    <w:p w14:paraId="26506E06">
      <w:pPr>
        <w:pBdr>
          <w:top w:val="none" w:color="000000" w:sz="0" w:space="0"/>
          <w:left w:val="none" w:color="000000" w:sz="0" w:space="0"/>
          <w:bottom w:val="none" w:color="000000" w:sz="0" w:space="0"/>
          <w:right w:val="none" w:color="000000" w:sz="0" w:space="0"/>
        </w:pBdr>
        <w:spacing w:after="0" w:line="360" w:lineRule="auto"/>
        <w:ind w:firstLine="480"/>
        <w:rPr>
          <w:color w:val="auto"/>
          <w:highlight w:val="none"/>
          <w:lang w:eastAsia="zh-CN"/>
        </w:rPr>
      </w:pPr>
      <w:r>
        <w:rPr>
          <w:rFonts w:ascii="仿宋" w:hAnsi="仿宋" w:eastAsia="仿宋" w:cs="仿宋"/>
          <w:color w:val="auto"/>
          <w:sz w:val="24"/>
          <w:highlight w:val="none"/>
          <w:lang w:eastAsia="zh-CN"/>
        </w:rPr>
        <w:t xml:space="preserve">1. </w:t>
      </w:r>
      <w:r>
        <w:rPr>
          <w:rFonts w:ascii="仿宋" w:hAnsi="仿宋" w:eastAsia="仿宋" w:cs="仿宋"/>
          <w:color w:val="auto"/>
          <w:sz w:val="24"/>
          <w:highlight w:val="none"/>
          <w:u w:val="single"/>
          <w:lang w:eastAsia="zh-CN"/>
        </w:rPr>
        <w:t xml:space="preserve">（标的名称） </w:t>
      </w:r>
      <w:r>
        <w:rPr>
          <w:rFonts w:ascii="仿宋" w:hAnsi="仿宋" w:eastAsia="仿宋" w:cs="仿宋"/>
          <w:color w:val="auto"/>
          <w:sz w:val="24"/>
          <w:highlight w:val="none"/>
          <w:lang w:eastAsia="zh-CN"/>
        </w:rPr>
        <w:t>，属于</w:t>
      </w:r>
      <w:r>
        <w:rPr>
          <w:rFonts w:ascii="仿宋" w:hAnsi="仿宋" w:eastAsia="仿宋" w:cs="仿宋"/>
          <w:color w:val="auto"/>
          <w:sz w:val="24"/>
          <w:highlight w:val="none"/>
          <w:u w:val="single"/>
          <w:lang w:eastAsia="zh-CN"/>
        </w:rPr>
        <w:t>（</w:t>
      </w:r>
      <w:r>
        <w:rPr>
          <w:rFonts w:ascii="仿宋" w:hAnsi="仿宋" w:eastAsia="仿宋" w:cs="仿宋"/>
          <w:b/>
          <w:color w:val="auto"/>
          <w:sz w:val="24"/>
          <w:highlight w:val="none"/>
          <w:u w:val="single"/>
          <w:lang w:eastAsia="zh-CN"/>
        </w:rPr>
        <w:t>其他未列明行业）</w:t>
      </w:r>
      <w:r>
        <w:rPr>
          <w:rFonts w:ascii="仿宋" w:hAnsi="仿宋" w:eastAsia="仿宋" w:cs="仿宋"/>
          <w:color w:val="auto"/>
          <w:sz w:val="24"/>
          <w:highlight w:val="none"/>
          <w:lang w:eastAsia="zh-CN"/>
        </w:rPr>
        <w:t>；承建（承接）企业为</w:t>
      </w:r>
      <w:r>
        <w:rPr>
          <w:rFonts w:ascii="仿宋" w:hAnsi="仿宋" w:eastAsia="仿宋" w:cs="仿宋"/>
          <w:color w:val="auto"/>
          <w:sz w:val="24"/>
          <w:highlight w:val="none"/>
          <w:u w:val="single"/>
          <w:lang w:eastAsia="zh-CN"/>
        </w:rPr>
        <w:t>（企业名称）</w:t>
      </w:r>
      <w:r>
        <w:rPr>
          <w:rFonts w:ascii="仿宋" w:hAnsi="仿宋" w:eastAsia="仿宋" w:cs="仿宋"/>
          <w:color w:val="auto"/>
          <w:sz w:val="24"/>
          <w:highlight w:val="none"/>
          <w:lang w:eastAsia="zh-CN"/>
        </w:rPr>
        <w:t>，从业人员</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人，营业收入为</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万元，资产总额为</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万元</w:t>
      </w:r>
      <w:r>
        <w:rPr>
          <w:color w:val="auto"/>
          <w:highlight w:val="none"/>
        </w:rPr>
        <w:fldChar w:fldCharType="begin"/>
      </w:r>
      <w:r>
        <w:rPr>
          <w:color w:val="auto"/>
          <w:highlight w:val="none"/>
          <w:lang w:eastAsia="zh-CN"/>
        </w:rPr>
        <w:instrText xml:space="preserve"> HYPERLINK "http://jszfcg.jsczt.cn/jszc/onlyoffice/7.2.1-34/web-apps/apps/documenteditor/main/index_loader.html?_dc=7.2.1-34&amp;lang=zh&amp;customer=%20&amp;logo=%20&amp;headerlogo=%2Ffavicon.ico&amp;frameEditorId=iframePage&amp;compact=true&amp;parentOrigin=http://jszfcg.jsczt.cn#br1" \o "http://jszfcg.jsczt.cn/jszc/onlyoffice/7.2.1-34/web-apps/apps/documenteditor/main/index_loader.html?_dc=7.2.1-34&amp;lang=zh&amp;customer=%20&amp;logo=%20&amp;headerlogo=%2Ffavicon.ico&amp;frameEditorId=iframePage&amp;compact=true&amp;parentOrigin=http://jszfcg.jsczt.cn#br1" </w:instrText>
      </w:r>
      <w:r>
        <w:rPr>
          <w:color w:val="auto"/>
          <w:highlight w:val="none"/>
        </w:rPr>
        <w:fldChar w:fldCharType="separate"/>
      </w:r>
      <w:r>
        <w:rPr>
          <w:rStyle w:val="40"/>
          <w:rFonts w:ascii="Times New Roman" w:hAnsi="Times New Roman" w:eastAsia="Times New Roman" w:cs="Times New Roman"/>
          <w:color w:val="auto"/>
          <w:spacing w:val="-1"/>
          <w:sz w:val="20"/>
          <w:highlight w:val="none"/>
          <w:vertAlign w:val="superscript"/>
          <w:lang w:eastAsia="zh-CN"/>
        </w:rPr>
        <w:t>1</w:t>
      </w:r>
      <w:r>
        <w:rPr>
          <w:rStyle w:val="40"/>
          <w:rFonts w:ascii="Times New Roman" w:hAnsi="Times New Roman" w:eastAsia="Times New Roman" w:cs="Times New Roman"/>
          <w:color w:val="auto"/>
          <w:spacing w:val="-1"/>
          <w:sz w:val="20"/>
          <w:highlight w:val="none"/>
          <w:vertAlign w:val="superscript"/>
        </w:rPr>
        <w:fldChar w:fldCharType="end"/>
      </w:r>
      <w:r>
        <w:rPr>
          <w:rFonts w:ascii="仿宋" w:hAnsi="仿宋" w:eastAsia="仿宋" w:cs="仿宋"/>
          <w:color w:val="auto"/>
          <w:sz w:val="24"/>
          <w:highlight w:val="none"/>
          <w:lang w:eastAsia="zh-CN"/>
        </w:rPr>
        <w:t>，属于</w:t>
      </w:r>
      <w:r>
        <w:rPr>
          <w:rFonts w:ascii="仿宋" w:hAnsi="仿宋" w:eastAsia="仿宋" w:cs="仿宋"/>
          <w:color w:val="auto"/>
          <w:sz w:val="24"/>
          <w:highlight w:val="none"/>
          <w:u w:val="single"/>
          <w:lang w:eastAsia="zh-CN"/>
        </w:rPr>
        <w:t>（中型企业、小型企业、微型企业）；</w:t>
      </w:r>
    </w:p>
    <w:p w14:paraId="3A9A4694">
      <w:pPr>
        <w:pBdr>
          <w:top w:val="none" w:color="000000" w:sz="0" w:space="0"/>
          <w:left w:val="none" w:color="000000" w:sz="0" w:space="0"/>
          <w:bottom w:val="none" w:color="000000" w:sz="0" w:space="0"/>
          <w:right w:val="none" w:color="000000" w:sz="0" w:space="0"/>
        </w:pBdr>
        <w:spacing w:after="0" w:line="360" w:lineRule="auto"/>
        <w:ind w:firstLine="480"/>
        <w:rPr>
          <w:color w:val="auto"/>
          <w:highlight w:val="none"/>
          <w:lang w:eastAsia="zh-CN"/>
        </w:rPr>
      </w:pPr>
      <w:r>
        <w:rPr>
          <w:rFonts w:ascii="仿宋" w:hAnsi="仿宋" w:eastAsia="仿宋" w:cs="仿宋"/>
          <w:color w:val="auto"/>
          <w:sz w:val="24"/>
          <w:highlight w:val="none"/>
          <w:lang w:eastAsia="zh-CN"/>
        </w:rPr>
        <w:t xml:space="preserve">2. </w:t>
      </w:r>
      <w:r>
        <w:rPr>
          <w:rFonts w:ascii="仿宋" w:hAnsi="仿宋" w:eastAsia="仿宋" w:cs="仿宋"/>
          <w:color w:val="auto"/>
          <w:sz w:val="24"/>
          <w:highlight w:val="none"/>
          <w:u w:val="single"/>
          <w:lang w:eastAsia="zh-CN"/>
        </w:rPr>
        <w:t>（标的名称）</w:t>
      </w:r>
      <w:r>
        <w:rPr>
          <w:rFonts w:ascii="仿宋" w:hAnsi="仿宋" w:eastAsia="仿宋" w:cs="仿宋"/>
          <w:color w:val="auto"/>
          <w:sz w:val="24"/>
          <w:highlight w:val="none"/>
          <w:lang w:eastAsia="zh-CN"/>
        </w:rPr>
        <w:t xml:space="preserve"> ，属于</w:t>
      </w:r>
      <w:r>
        <w:rPr>
          <w:rFonts w:ascii="仿宋" w:hAnsi="仿宋" w:eastAsia="仿宋" w:cs="仿宋"/>
          <w:color w:val="auto"/>
          <w:sz w:val="24"/>
          <w:highlight w:val="none"/>
          <w:u w:val="single"/>
          <w:lang w:eastAsia="zh-CN"/>
        </w:rPr>
        <w:t>（采购文件中明确的所属行业）</w:t>
      </w:r>
      <w:r>
        <w:rPr>
          <w:rFonts w:ascii="仿宋" w:hAnsi="仿宋" w:eastAsia="仿宋" w:cs="仿宋"/>
          <w:color w:val="auto"/>
          <w:sz w:val="24"/>
          <w:highlight w:val="none"/>
          <w:lang w:eastAsia="zh-CN"/>
        </w:rPr>
        <w:t>；承建（承接）企业为</w:t>
      </w:r>
      <w:r>
        <w:rPr>
          <w:rFonts w:ascii="仿宋" w:hAnsi="仿宋" w:eastAsia="仿宋" w:cs="仿宋"/>
          <w:color w:val="auto"/>
          <w:sz w:val="24"/>
          <w:highlight w:val="none"/>
          <w:u w:val="single"/>
          <w:lang w:eastAsia="zh-CN"/>
        </w:rPr>
        <w:t>（企业名称）</w:t>
      </w:r>
      <w:r>
        <w:rPr>
          <w:rFonts w:ascii="仿宋" w:hAnsi="仿宋" w:eastAsia="仿宋" w:cs="仿宋"/>
          <w:color w:val="auto"/>
          <w:sz w:val="24"/>
          <w:highlight w:val="none"/>
          <w:lang w:eastAsia="zh-CN"/>
        </w:rPr>
        <w:t>，从业人员</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人，营业收入为</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万元，资产总额为</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万元，属于</w:t>
      </w:r>
      <w:r>
        <w:rPr>
          <w:rFonts w:ascii="仿宋" w:hAnsi="仿宋" w:eastAsia="仿宋" w:cs="仿宋"/>
          <w:color w:val="auto"/>
          <w:sz w:val="24"/>
          <w:highlight w:val="none"/>
          <w:u w:val="single"/>
          <w:lang w:eastAsia="zh-CN"/>
        </w:rPr>
        <w:t>（中型企业、小型企业、微型企业）；</w:t>
      </w:r>
    </w:p>
    <w:p w14:paraId="5AD36231">
      <w:pPr>
        <w:pBdr>
          <w:top w:val="none" w:color="000000" w:sz="0" w:space="0"/>
          <w:left w:val="none" w:color="000000" w:sz="0" w:space="0"/>
          <w:bottom w:val="none" w:color="000000" w:sz="0" w:space="0"/>
          <w:right w:val="none" w:color="000000" w:sz="0" w:space="0"/>
        </w:pBdr>
        <w:spacing w:after="0" w:line="519" w:lineRule="atLeast"/>
        <w:ind w:left="860"/>
        <w:jc w:val="both"/>
        <w:rPr>
          <w:color w:val="auto"/>
          <w:highlight w:val="none"/>
          <w:lang w:eastAsia="zh-CN"/>
        </w:rPr>
      </w:pPr>
      <w:r>
        <w:rPr>
          <w:rFonts w:ascii="仿宋" w:hAnsi="仿宋" w:eastAsia="仿宋" w:cs="仿宋"/>
          <w:color w:val="auto"/>
          <w:sz w:val="24"/>
          <w:highlight w:val="none"/>
          <w:lang w:eastAsia="zh-CN"/>
        </w:rPr>
        <w:t>……</w:t>
      </w:r>
    </w:p>
    <w:p w14:paraId="39332AD0">
      <w:pPr>
        <w:pBdr>
          <w:top w:val="none" w:color="000000" w:sz="0" w:space="0"/>
          <w:left w:val="none" w:color="000000" w:sz="0" w:space="0"/>
          <w:bottom w:val="none" w:color="000000" w:sz="0" w:space="0"/>
          <w:right w:val="none" w:color="000000" w:sz="0" w:space="0"/>
        </w:pBdr>
        <w:spacing w:before="105" w:after="0" w:line="519" w:lineRule="atLeast"/>
        <w:ind w:left="220" w:right="417" w:firstLine="645"/>
        <w:jc w:val="both"/>
        <w:rPr>
          <w:color w:val="auto"/>
          <w:highlight w:val="none"/>
          <w:lang w:eastAsia="zh-CN"/>
        </w:rPr>
      </w:pPr>
      <w:r>
        <w:rPr>
          <w:rFonts w:ascii="仿宋" w:hAnsi="仿宋" w:eastAsia="仿宋" w:cs="仿宋"/>
          <w:color w:val="auto"/>
          <w:spacing w:val="-3"/>
          <w:sz w:val="24"/>
          <w:highlight w:val="none"/>
          <w:lang w:eastAsia="zh-CN"/>
        </w:rPr>
        <w:t>以上企业，不属于大企业的分支机构，不存在控股股东</w:t>
      </w:r>
      <w:r>
        <w:rPr>
          <w:rFonts w:ascii="仿宋" w:hAnsi="仿宋" w:eastAsia="仿宋" w:cs="仿宋"/>
          <w:color w:val="auto"/>
          <w:spacing w:val="-5"/>
          <w:sz w:val="24"/>
          <w:highlight w:val="none"/>
          <w:lang w:eastAsia="zh-CN"/>
        </w:rPr>
        <w:t>为大企业的情形，也不存在与大企业的负责人为同一人的情形。</w:t>
      </w:r>
    </w:p>
    <w:p w14:paraId="53F5D20A">
      <w:pPr>
        <w:pBdr>
          <w:top w:val="none" w:color="000000" w:sz="0" w:space="0"/>
          <w:left w:val="none" w:color="000000" w:sz="0" w:space="0"/>
          <w:bottom w:val="none" w:color="000000" w:sz="0" w:space="0"/>
          <w:right w:val="none" w:color="000000" w:sz="0" w:space="0"/>
        </w:pBdr>
        <w:spacing w:after="0" w:line="519" w:lineRule="atLeast"/>
        <w:ind w:left="220" w:right="420" w:firstLine="645"/>
        <w:jc w:val="both"/>
        <w:rPr>
          <w:color w:val="auto"/>
          <w:highlight w:val="none"/>
          <w:lang w:eastAsia="zh-CN"/>
        </w:rPr>
      </w:pPr>
      <w:r>
        <w:rPr>
          <w:rFonts w:ascii="仿宋" w:hAnsi="仿宋" w:eastAsia="仿宋" w:cs="仿宋"/>
          <w:color w:val="auto"/>
          <w:spacing w:val="-2"/>
          <w:sz w:val="24"/>
          <w:highlight w:val="none"/>
          <w:lang w:eastAsia="zh-CN"/>
        </w:rPr>
        <w:t>本企业对上述声明内容的真实性负责。如有虚假，将依法承担相应责任。</w:t>
      </w:r>
    </w:p>
    <w:p w14:paraId="2A3CC815">
      <w:pPr>
        <w:pBdr>
          <w:top w:val="none" w:color="000000" w:sz="0" w:space="0"/>
          <w:left w:val="none" w:color="000000" w:sz="0" w:space="0"/>
          <w:bottom w:val="none" w:color="000000" w:sz="0" w:space="0"/>
          <w:right w:val="none" w:color="000000" w:sz="0" w:space="0"/>
        </w:pBdr>
        <w:spacing w:after="0" w:line="499" w:lineRule="atLeast"/>
        <w:ind w:firstLine="5160"/>
        <w:rPr>
          <w:color w:val="auto"/>
          <w:highlight w:val="none"/>
          <w:lang w:eastAsia="zh-CN"/>
        </w:rPr>
      </w:pPr>
      <w:r>
        <w:rPr>
          <w:rFonts w:ascii="仿宋" w:hAnsi="仿宋" w:eastAsia="仿宋" w:cs="仿宋"/>
          <w:color w:val="auto"/>
          <w:sz w:val="24"/>
          <w:highlight w:val="none"/>
          <w:lang w:eastAsia="zh-CN"/>
        </w:rPr>
        <w:t>磋商供应商：（盖章）</w:t>
      </w:r>
    </w:p>
    <w:p w14:paraId="3F582F36">
      <w:pPr>
        <w:pBdr>
          <w:top w:val="none" w:color="000000" w:sz="0" w:space="0"/>
          <w:left w:val="none" w:color="000000" w:sz="0" w:space="0"/>
          <w:bottom w:val="none" w:color="000000" w:sz="0" w:space="0"/>
          <w:right w:val="none" w:color="000000" w:sz="0" w:space="0"/>
        </w:pBdr>
        <w:spacing w:after="0" w:line="499" w:lineRule="atLeast"/>
        <w:ind w:firstLine="4080"/>
        <w:rPr>
          <w:color w:val="auto"/>
          <w:highlight w:val="none"/>
          <w:lang w:eastAsia="zh-CN"/>
        </w:rPr>
      </w:pPr>
      <w:r>
        <w:rPr>
          <w:rFonts w:ascii="仿宋" w:hAnsi="仿宋" w:eastAsia="仿宋" w:cs="仿宋"/>
          <w:color w:val="auto"/>
          <w:sz w:val="24"/>
          <w:highlight w:val="none"/>
          <w:lang w:eastAsia="zh-CN"/>
        </w:rPr>
        <w:t>法定代表人或被授权人（签字或盖章）：</w:t>
      </w:r>
    </w:p>
    <w:p w14:paraId="4039ABCA">
      <w:pPr>
        <w:pBdr>
          <w:top w:val="none" w:color="000000" w:sz="0" w:space="0"/>
          <w:left w:val="none" w:color="000000" w:sz="0" w:space="0"/>
          <w:bottom w:val="none" w:color="000000" w:sz="0" w:space="0"/>
          <w:right w:val="none" w:color="000000" w:sz="0" w:space="0"/>
        </w:pBdr>
        <w:spacing w:after="0" w:line="499" w:lineRule="atLeast"/>
        <w:ind w:firstLine="5880"/>
        <w:rPr>
          <w:color w:val="auto"/>
          <w:highlight w:val="none"/>
          <w:lang w:eastAsia="zh-CN"/>
        </w:rPr>
      </w:pPr>
      <w:r>
        <w:rPr>
          <w:rFonts w:ascii="仿宋" w:hAnsi="仿宋" w:eastAsia="仿宋" w:cs="仿宋"/>
          <w:color w:val="auto"/>
          <w:sz w:val="24"/>
          <w:highlight w:val="none"/>
          <w:lang w:eastAsia="zh-CN"/>
        </w:rPr>
        <w:t>日期：</w:t>
      </w:r>
    </w:p>
    <w:p w14:paraId="79F9E607">
      <w:pPr>
        <w:pBdr>
          <w:top w:val="none" w:color="000000" w:sz="0" w:space="0"/>
          <w:left w:val="none" w:color="000000" w:sz="0" w:space="0"/>
          <w:bottom w:val="none" w:color="000000" w:sz="0" w:space="0"/>
          <w:right w:val="none" w:color="000000" w:sz="0" w:space="0"/>
        </w:pBdr>
        <w:spacing w:after="0" w:line="419" w:lineRule="atLeast"/>
        <w:ind w:firstLine="494"/>
        <w:jc w:val="both"/>
        <w:rPr>
          <w:color w:val="auto"/>
          <w:highlight w:val="none"/>
          <w:lang w:eastAsia="zh-CN"/>
        </w:rPr>
      </w:pPr>
      <w:r>
        <w:rPr>
          <w:rFonts w:ascii="仿宋" w:hAnsi="仿宋" w:eastAsia="仿宋" w:cs="仿宋"/>
          <w:color w:val="auto"/>
          <w:sz w:val="24"/>
          <w:highlight w:val="none"/>
          <w:lang w:eastAsia="zh-CN"/>
        </w:rPr>
        <w:t> </w:t>
      </w:r>
    </w:p>
    <w:p w14:paraId="23802663">
      <w:pPr>
        <w:pBdr>
          <w:top w:val="none" w:color="000000" w:sz="0" w:space="0"/>
          <w:left w:val="none" w:color="000000" w:sz="0" w:space="0"/>
          <w:bottom w:val="none" w:color="000000" w:sz="0" w:space="0"/>
          <w:right w:val="none" w:color="000000" w:sz="0" w:space="0"/>
        </w:pBdr>
        <w:spacing w:after="0" w:line="419" w:lineRule="atLeast"/>
        <w:ind w:firstLine="494"/>
        <w:jc w:val="both"/>
        <w:rPr>
          <w:color w:val="auto"/>
          <w:highlight w:val="none"/>
          <w:lang w:eastAsia="zh-CN"/>
        </w:rPr>
      </w:pPr>
      <w:r>
        <w:rPr>
          <w:rFonts w:ascii="仿宋" w:hAnsi="仿宋" w:eastAsia="仿宋" w:cs="仿宋"/>
          <w:color w:val="auto"/>
          <w:sz w:val="24"/>
          <w:highlight w:val="none"/>
          <w:lang w:eastAsia="zh-CN"/>
        </w:rPr>
        <w:t>注：</w:t>
      </w:r>
    </w:p>
    <w:p w14:paraId="7C47614C">
      <w:pPr>
        <w:pBdr>
          <w:top w:val="none" w:color="000000" w:sz="0" w:space="0"/>
          <w:left w:val="none" w:color="000000" w:sz="0" w:space="0"/>
          <w:bottom w:val="none" w:color="000000" w:sz="0" w:space="0"/>
          <w:right w:val="none" w:color="000000" w:sz="0" w:space="0"/>
        </w:pBdr>
        <w:spacing w:after="0" w:line="419" w:lineRule="atLeast"/>
        <w:ind w:firstLine="494"/>
        <w:jc w:val="both"/>
        <w:rPr>
          <w:color w:val="auto"/>
          <w:highlight w:val="none"/>
          <w:lang w:eastAsia="zh-CN"/>
        </w:rPr>
      </w:pPr>
      <w:r>
        <w:rPr>
          <w:rFonts w:ascii="仿宋" w:hAnsi="仿宋" w:eastAsia="仿宋" w:cs="仿宋"/>
          <w:color w:val="auto"/>
          <w:sz w:val="24"/>
          <w:highlight w:val="none"/>
          <w:lang w:eastAsia="zh-CN"/>
        </w:rPr>
        <w:t>（1）从业人员、营业收入、资产总额填报上一年度数据，无上一年度数据的新成立企业可不填报。</w:t>
      </w:r>
    </w:p>
    <w:p w14:paraId="1D58050B">
      <w:pPr>
        <w:pBdr>
          <w:top w:val="none" w:color="000000" w:sz="0" w:space="0"/>
          <w:left w:val="none" w:color="000000" w:sz="0" w:space="0"/>
          <w:bottom w:val="none" w:color="000000" w:sz="0" w:space="0"/>
          <w:right w:val="none" w:color="000000" w:sz="0" w:space="0"/>
        </w:pBdr>
        <w:spacing w:after="0" w:line="419" w:lineRule="atLeast"/>
        <w:ind w:firstLine="494"/>
        <w:jc w:val="both"/>
        <w:rPr>
          <w:color w:val="auto"/>
          <w:highlight w:val="none"/>
          <w:lang w:eastAsia="zh-CN"/>
        </w:rPr>
      </w:pPr>
      <w:r>
        <w:rPr>
          <w:rFonts w:ascii="仿宋" w:hAnsi="仿宋" w:eastAsia="仿宋" w:cs="仿宋"/>
          <w:color w:val="auto"/>
          <w:sz w:val="24"/>
          <w:highlight w:val="none"/>
          <w:lang w:eastAsia="zh-CN"/>
        </w:rPr>
        <w:t>（2）关于落实政府采购政策，详见本招标文件第四章第七条的规定内容。</w:t>
      </w:r>
    </w:p>
    <w:p w14:paraId="695CE99E">
      <w:pPr>
        <w:pBdr>
          <w:top w:val="none" w:color="000000" w:sz="0" w:space="0"/>
          <w:left w:val="none" w:color="000000" w:sz="0" w:space="0"/>
          <w:bottom w:val="none" w:color="000000" w:sz="0" w:space="0"/>
          <w:right w:val="none" w:color="000000" w:sz="0" w:space="0"/>
        </w:pBdr>
        <w:spacing w:after="0" w:line="419" w:lineRule="atLeast"/>
        <w:ind w:firstLine="496"/>
        <w:jc w:val="both"/>
        <w:rPr>
          <w:color w:val="auto"/>
          <w:highlight w:val="none"/>
          <w:lang w:eastAsia="zh-CN"/>
        </w:rPr>
      </w:pPr>
      <w:r>
        <w:rPr>
          <w:rFonts w:ascii="仿宋" w:hAnsi="仿宋" w:eastAsia="仿宋" w:cs="仿宋"/>
          <w:b/>
          <w:color w:val="auto"/>
          <w:sz w:val="24"/>
          <w:highlight w:val="none"/>
          <w:lang w:eastAsia="zh-CN"/>
        </w:rPr>
        <w:t>（3）本项目不享受中小企业扶持政策的磋商供应商，无须提供“中小企业声明函”。</w:t>
      </w:r>
    </w:p>
    <w:p w14:paraId="511D6104">
      <w:pPr>
        <w:pBdr>
          <w:top w:val="none" w:color="000000" w:sz="0" w:space="0"/>
          <w:left w:val="none" w:color="000000" w:sz="0" w:space="0"/>
          <w:bottom w:val="none" w:color="000000" w:sz="0" w:space="0"/>
          <w:right w:val="none" w:color="000000" w:sz="0" w:space="0"/>
        </w:pBdr>
        <w:spacing w:after="0" w:line="85" w:lineRule="atLeast"/>
        <w:jc w:val="both"/>
        <w:rPr>
          <w:color w:val="auto"/>
          <w:highlight w:val="none"/>
          <w:lang w:eastAsia="zh-CN"/>
        </w:rPr>
      </w:pPr>
      <w:r>
        <w:rPr>
          <w:rFonts w:ascii="仿宋" w:hAnsi="仿宋" w:eastAsia="仿宋" w:cs="仿宋"/>
          <w:b/>
          <w:color w:val="auto"/>
          <w:sz w:val="24"/>
          <w:highlight w:val="none"/>
          <w:lang w:eastAsia="zh-CN"/>
        </w:rPr>
        <w:t> </w:t>
      </w:r>
    </w:p>
    <w:p w14:paraId="1A646A48">
      <w:pPr>
        <w:pBdr>
          <w:top w:val="none" w:color="000000" w:sz="0" w:space="0"/>
          <w:left w:val="none" w:color="000000" w:sz="0" w:space="0"/>
          <w:bottom w:val="none" w:color="000000" w:sz="0" w:space="0"/>
          <w:right w:val="none" w:color="000000" w:sz="0" w:space="0"/>
        </w:pBdr>
        <w:spacing w:after="0" w:line="85" w:lineRule="atLeast"/>
        <w:jc w:val="both"/>
        <w:rPr>
          <w:color w:val="auto"/>
          <w:highlight w:val="none"/>
          <w:lang w:eastAsia="zh-CN"/>
        </w:rPr>
      </w:pPr>
      <w:r>
        <w:rPr>
          <w:rFonts w:ascii="仿宋" w:hAnsi="仿宋" w:eastAsia="仿宋" w:cs="仿宋"/>
          <w:b/>
          <w:color w:val="auto"/>
          <w:sz w:val="24"/>
          <w:highlight w:val="none"/>
          <w:lang w:eastAsia="zh-CN"/>
        </w:rPr>
        <w:t> </w:t>
      </w:r>
    </w:p>
    <w:p w14:paraId="4ED46F4C">
      <w:pPr>
        <w:pBdr>
          <w:top w:val="none" w:color="000000" w:sz="0" w:space="0"/>
          <w:left w:val="none" w:color="000000" w:sz="0" w:space="0"/>
          <w:bottom w:val="none" w:color="000000" w:sz="0" w:space="0"/>
          <w:right w:val="none" w:color="000000" w:sz="0" w:space="0"/>
        </w:pBdr>
        <w:spacing w:after="0" w:line="85" w:lineRule="atLeast"/>
        <w:jc w:val="both"/>
        <w:rPr>
          <w:rFonts w:hint="eastAsia" w:ascii="仿宋" w:hAnsi="仿宋" w:eastAsia="仿宋" w:cs="仿宋"/>
          <w:b/>
          <w:bCs/>
          <w:color w:val="auto"/>
          <w:sz w:val="24"/>
          <w:szCs w:val="24"/>
          <w:highlight w:val="none"/>
          <w:lang w:eastAsia="zh-CN"/>
        </w:rPr>
      </w:pPr>
      <w:r>
        <w:rPr>
          <w:rFonts w:ascii="仿宋" w:hAnsi="仿宋" w:eastAsia="仿宋" w:cs="仿宋"/>
          <w:b/>
          <w:color w:val="auto"/>
          <w:sz w:val="24"/>
          <w:highlight w:val="none"/>
          <w:lang w:eastAsia="zh-CN"/>
        </w:rPr>
        <w:t> </w:t>
      </w:r>
    </w:p>
    <w:p w14:paraId="044CDC1A">
      <w:pPr>
        <w:pBdr>
          <w:top w:val="none" w:color="000000" w:sz="0" w:space="0"/>
          <w:left w:val="none" w:color="000000" w:sz="0" w:space="0"/>
          <w:bottom w:val="none" w:color="000000" w:sz="0" w:space="0"/>
          <w:right w:val="none" w:color="000000" w:sz="0" w:space="0"/>
        </w:pBdr>
        <w:spacing w:after="0" w:line="85" w:lineRule="atLeast"/>
        <w:jc w:val="both"/>
        <w:rPr>
          <w:rFonts w:hint="eastAsia" w:ascii="仿宋" w:hAnsi="仿宋" w:eastAsia="仿宋" w:cs="仿宋"/>
          <w:b/>
          <w:bCs/>
          <w:color w:val="auto"/>
          <w:sz w:val="24"/>
          <w:szCs w:val="24"/>
          <w:highlight w:val="none"/>
          <w:lang w:eastAsia="zh-CN"/>
        </w:rPr>
      </w:pPr>
    </w:p>
    <w:p w14:paraId="403772C4">
      <w:pPr>
        <w:pBdr>
          <w:top w:val="none" w:color="000000" w:sz="0" w:space="0"/>
          <w:left w:val="none" w:color="000000" w:sz="0" w:space="0"/>
          <w:bottom w:val="none" w:color="000000" w:sz="0" w:space="0"/>
          <w:right w:val="none" w:color="000000" w:sz="0" w:space="0"/>
        </w:pBdr>
        <w:spacing w:after="0" w:line="85" w:lineRule="atLeast"/>
        <w:jc w:val="both"/>
        <w:rPr>
          <w:rFonts w:hint="eastAsia" w:ascii="仿宋" w:hAnsi="仿宋" w:eastAsia="仿宋" w:cs="仿宋"/>
          <w:b/>
          <w:bCs/>
          <w:color w:val="auto"/>
          <w:sz w:val="24"/>
          <w:szCs w:val="24"/>
          <w:highlight w:val="none"/>
          <w:lang w:eastAsia="zh-CN"/>
        </w:rPr>
      </w:pPr>
    </w:p>
    <w:p w14:paraId="463245FA">
      <w:pPr>
        <w:pBdr>
          <w:top w:val="none" w:color="000000" w:sz="0" w:space="0"/>
          <w:left w:val="none" w:color="000000" w:sz="0" w:space="0"/>
          <w:bottom w:val="none" w:color="000000" w:sz="0" w:space="0"/>
          <w:right w:val="none" w:color="000000" w:sz="0" w:space="0"/>
        </w:pBdr>
        <w:spacing w:after="0" w:line="85" w:lineRule="atLeast"/>
        <w:jc w:val="both"/>
        <w:rPr>
          <w:rFonts w:hint="eastAsia" w:ascii="仿宋" w:hAnsi="仿宋" w:eastAsia="仿宋" w:cs="仿宋"/>
          <w:b/>
          <w:bCs/>
          <w:color w:val="auto"/>
          <w:sz w:val="24"/>
          <w:szCs w:val="24"/>
          <w:highlight w:val="none"/>
          <w:lang w:eastAsia="zh-CN"/>
        </w:rPr>
      </w:pPr>
    </w:p>
    <w:p w14:paraId="5923F18A">
      <w:pPr>
        <w:pBdr>
          <w:top w:val="none" w:color="000000" w:sz="0" w:space="0"/>
          <w:left w:val="none" w:color="000000" w:sz="0" w:space="0"/>
          <w:bottom w:val="none" w:color="000000" w:sz="0" w:space="0"/>
          <w:right w:val="none" w:color="000000" w:sz="0" w:space="0"/>
        </w:pBdr>
        <w:spacing w:after="0" w:line="85" w:lineRule="atLeast"/>
        <w:jc w:val="both"/>
        <w:rPr>
          <w:rFonts w:hint="eastAsia" w:ascii="仿宋" w:hAnsi="仿宋" w:eastAsia="仿宋" w:cs="仿宋"/>
          <w:b/>
          <w:bCs/>
          <w:color w:val="auto"/>
          <w:sz w:val="24"/>
          <w:szCs w:val="24"/>
          <w:highlight w:val="none"/>
          <w:lang w:eastAsia="zh-CN"/>
        </w:rPr>
      </w:pPr>
    </w:p>
    <w:p w14:paraId="30D690B5">
      <w:pPr>
        <w:pBdr>
          <w:top w:val="none" w:color="000000" w:sz="0" w:space="0"/>
          <w:left w:val="none" w:color="000000" w:sz="0" w:space="0"/>
          <w:bottom w:val="none" w:color="000000" w:sz="0" w:space="0"/>
          <w:right w:val="none" w:color="000000" w:sz="0" w:space="0"/>
        </w:pBdr>
        <w:spacing w:after="0" w:line="85" w:lineRule="atLeast"/>
        <w:jc w:val="both"/>
        <w:rPr>
          <w:rFonts w:hint="eastAsia" w:ascii="仿宋" w:hAnsi="仿宋" w:eastAsia="仿宋" w:cs="仿宋"/>
          <w:b/>
          <w:bCs/>
          <w:color w:val="auto"/>
          <w:sz w:val="24"/>
          <w:szCs w:val="24"/>
          <w:highlight w:val="none"/>
          <w:lang w:eastAsia="zh-CN"/>
        </w:rPr>
      </w:pPr>
    </w:p>
    <w:p w14:paraId="70138BE9">
      <w:pPr>
        <w:pBdr>
          <w:top w:val="none" w:color="000000" w:sz="0" w:space="0"/>
          <w:left w:val="none" w:color="000000" w:sz="0" w:space="0"/>
          <w:bottom w:val="none" w:color="000000" w:sz="0" w:space="0"/>
          <w:right w:val="none" w:color="000000" w:sz="0" w:space="0"/>
        </w:pBdr>
        <w:spacing w:after="0" w:line="85" w:lineRule="atLeast"/>
        <w:jc w:val="both"/>
        <w:rPr>
          <w:rFonts w:hint="eastAsia" w:ascii="仿宋" w:hAnsi="仿宋" w:eastAsia="仿宋" w:cs="仿宋"/>
          <w:b/>
          <w:bCs/>
          <w:color w:val="auto"/>
          <w:sz w:val="24"/>
          <w:szCs w:val="24"/>
          <w:highlight w:val="none"/>
          <w:lang w:eastAsia="zh-CN"/>
        </w:rPr>
      </w:pPr>
    </w:p>
    <w:p w14:paraId="20AD4462">
      <w:pPr>
        <w:pBdr>
          <w:top w:val="none" w:color="000000" w:sz="0" w:space="0"/>
          <w:left w:val="none" w:color="000000" w:sz="0" w:space="0"/>
          <w:bottom w:val="none" w:color="000000" w:sz="0" w:space="0"/>
          <w:right w:val="none" w:color="000000" w:sz="0" w:space="0"/>
        </w:pBdr>
        <w:spacing w:after="0" w:line="85" w:lineRule="atLeast"/>
        <w:jc w:val="both"/>
        <w:rPr>
          <w:rFonts w:ascii="Times New Roman" w:hAnsi="Times New Roman" w:eastAsia="Times New Roman" w:cs="Times New Roman"/>
          <w:color w:val="auto"/>
          <w:highlight w:val="none"/>
          <w:lang w:eastAsia="zh-CN"/>
        </w:rPr>
      </w:pPr>
    </w:p>
    <w:p w14:paraId="2AAA2806">
      <w:pPr>
        <w:pBdr>
          <w:top w:val="none" w:color="000000" w:sz="0" w:space="0"/>
          <w:left w:val="none" w:color="000000" w:sz="0" w:space="0"/>
          <w:bottom w:val="none" w:color="000000" w:sz="0" w:space="0"/>
          <w:right w:val="none" w:color="000000" w:sz="0" w:space="0"/>
        </w:pBdr>
        <w:spacing w:after="0" w:line="85" w:lineRule="atLeast"/>
        <w:jc w:val="both"/>
        <w:rPr>
          <w:rFonts w:ascii="Times New Roman" w:hAnsi="Times New Roman" w:eastAsia="Times New Roman" w:cs="Times New Roman"/>
          <w:color w:val="auto"/>
          <w:highlight w:val="none"/>
          <w:lang w:eastAsia="zh-CN"/>
        </w:rPr>
      </w:pPr>
    </w:p>
    <w:p w14:paraId="5074F113">
      <w:pPr>
        <w:pBdr>
          <w:top w:val="none" w:color="000000" w:sz="0" w:space="0"/>
          <w:left w:val="none" w:color="000000" w:sz="0" w:space="0"/>
          <w:bottom w:val="none" w:color="000000" w:sz="0" w:space="0"/>
          <w:right w:val="none" w:color="000000" w:sz="0" w:space="0"/>
        </w:pBdr>
        <w:spacing w:after="0" w:line="85" w:lineRule="atLeast"/>
        <w:jc w:val="both"/>
        <w:rPr>
          <w:color w:val="auto"/>
          <w:highlight w:val="none"/>
          <w:lang w:eastAsia="zh-CN"/>
        </w:rPr>
      </w:pPr>
      <w:r>
        <w:rPr>
          <w:rFonts w:ascii="仿宋" w:hAnsi="仿宋" w:eastAsia="仿宋" w:cs="仿宋"/>
          <w:b/>
          <w:color w:val="auto"/>
          <w:sz w:val="24"/>
          <w:highlight w:val="none"/>
          <w:lang w:eastAsia="zh-CN"/>
        </w:rPr>
        <w:t> </w:t>
      </w:r>
    </w:p>
    <w:p w14:paraId="51206F80">
      <w:pPr>
        <w:pBdr>
          <w:top w:val="none" w:color="000000" w:sz="0" w:space="0"/>
          <w:left w:val="none" w:color="000000" w:sz="0" w:space="0"/>
          <w:bottom w:val="none" w:color="000000" w:sz="0" w:space="0"/>
          <w:right w:val="none" w:color="000000" w:sz="0" w:space="0"/>
        </w:pBdr>
        <w:spacing w:after="0" w:line="85" w:lineRule="atLeast"/>
        <w:jc w:val="center"/>
        <w:rPr>
          <w:color w:val="auto"/>
          <w:highlight w:val="none"/>
          <w:lang w:eastAsia="zh-CN"/>
        </w:rPr>
      </w:pPr>
      <w:r>
        <w:rPr>
          <w:rFonts w:hint="eastAsia" w:ascii="仿宋" w:hAnsi="仿宋" w:eastAsia="仿宋" w:cs="仿宋"/>
          <w:b/>
          <w:color w:val="auto"/>
          <w:sz w:val="24"/>
          <w:highlight w:val="none"/>
          <w:lang w:eastAsia="zh-CN"/>
        </w:rPr>
        <w:t>五</w:t>
      </w:r>
      <w:r>
        <w:rPr>
          <w:rFonts w:ascii="仿宋" w:hAnsi="仿宋" w:eastAsia="仿宋" w:cs="仿宋"/>
          <w:b/>
          <w:color w:val="auto"/>
          <w:sz w:val="24"/>
          <w:highlight w:val="none"/>
          <w:lang w:eastAsia="zh-CN"/>
        </w:rPr>
        <w:t>、残疾人福利性单位声明函（格式，如涉有，则提供）</w:t>
      </w:r>
    </w:p>
    <w:p w14:paraId="6E2D6E07">
      <w:pPr>
        <w:pBdr>
          <w:top w:val="none" w:color="000000" w:sz="0" w:space="0"/>
          <w:left w:val="none" w:color="000000" w:sz="0" w:space="0"/>
          <w:bottom w:val="none" w:color="000000" w:sz="0" w:space="0"/>
          <w:right w:val="none" w:color="000000" w:sz="0" w:space="0"/>
        </w:pBdr>
        <w:spacing w:after="0" w:line="85" w:lineRule="atLeast"/>
        <w:jc w:val="center"/>
        <w:rPr>
          <w:color w:val="auto"/>
          <w:highlight w:val="none"/>
          <w:lang w:eastAsia="zh-CN"/>
        </w:rPr>
      </w:pPr>
      <w:r>
        <w:rPr>
          <w:rFonts w:ascii="仿宋" w:hAnsi="仿宋" w:eastAsia="仿宋" w:cs="仿宋"/>
          <w:b/>
          <w:color w:val="auto"/>
          <w:sz w:val="24"/>
          <w:highlight w:val="none"/>
          <w:lang w:eastAsia="zh-CN"/>
        </w:rPr>
        <w:t>残疾人福利性单位声明函</w:t>
      </w:r>
    </w:p>
    <w:p w14:paraId="29E9D7A9">
      <w:pPr>
        <w:pBdr>
          <w:top w:val="none" w:color="000000" w:sz="0" w:space="0"/>
          <w:left w:val="none" w:color="000000" w:sz="0" w:space="0"/>
          <w:bottom w:val="none" w:color="000000" w:sz="0" w:space="0"/>
          <w:right w:val="none" w:color="000000" w:sz="0" w:space="0"/>
        </w:pBdr>
        <w:spacing w:after="0" w:line="587" w:lineRule="atLeast"/>
        <w:ind w:firstLine="480"/>
        <w:jc w:val="both"/>
        <w:rPr>
          <w:color w:val="auto"/>
          <w:highlight w:val="none"/>
          <w:lang w:eastAsia="zh-CN"/>
        </w:rPr>
      </w:pPr>
      <w:r>
        <w:rPr>
          <w:rFonts w:ascii="仿宋" w:hAnsi="仿宋" w:eastAsia="仿宋" w:cs="仿宋"/>
          <w:color w:val="auto"/>
          <w:sz w:val="24"/>
          <w:highlight w:val="none"/>
          <w:lang w:eastAsia="zh-CN"/>
        </w:rPr>
        <w:t>本单位郑重声明，根据《财政部民政部中国残疾人联合会关于促进残疾人就业政府采购政策的通知》（财库〔2017〕141号）的规定，本单位为符合条件的残疾人福利性单位，且本单位参加______单位的</w:t>
      </w:r>
      <w:r>
        <w:rPr>
          <w:rFonts w:ascii="仿宋" w:hAnsi="仿宋" w:eastAsia="仿宋" w:cs="仿宋"/>
          <w:color w:val="auto"/>
          <w:sz w:val="24"/>
          <w:highlight w:val="none"/>
          <w:u w:val="single"/>
          <w:lang w:eastAsia="zh-CN"/>
        </w:rPr>
        <w:t xml:space="preserve">       </w:t>
      </w:r>
      <w:r>
        <w:rPr>
          <w:rFonts w:ascii="仿宋" w:hAnsi="仿宋" w:eastAsia="仿宋" w:cs="仿宋"/>
          <w:color w:val="auto"/>
          <w:sz w:val="24"/>
          <w:highlight w:val="none"/>
          <w:lang w:eastAsia="zh-CN"/>
        </w:rPr>
        <w:t>项目采购活动提供本单位制造的货物（由本单位承担工程/提供服务），或者提供其他残疾人福利性单位制造的货物（不包括使用非残疾人福利性单位注册商标的货物）。</w:t>
      </w:r>
    </w:p>
    <w:p w14:paraId="06D2E82D">
      <w:pPr>
        <w:pBdr>
          <w:top w:val="none" w:color="000000" w:sz="0" w:space="0"/>
          <w:left w:val="none" w:color="000000" w:sz="0" w:space="0"/>
          <w:bottom w:val="none" w:color="000000" w:sz="0" w:space="0"/>
          <w:right w:val="none" w:color="000000" w:sz="0" w:space="0"/>
        </w:pBdr>
        <w:spacing w:after="0" w:line="587" w:lineRule="atLeast"/>
        <w:ind w:firstLine="480"/>
        <w:jc w:val="both"/>
        <w:rPr>
          <w:color w:val="auto"/>
          <w:highlight w:val="none"/>
          <w:lang w:eastAsia="zh-CN"/>
        </w:rPr>
      </w:pPr>
      <w:r>
        <w:rPr>
          <w:rFonts w:ascii="仿宋" w:hAnsi="仿宋" w:eastAsia="仿宋" w:cs="仿宋"/>
          <w:color w:val="auto"/>
          <w:sz w:val="24"/>
          <w:highlight w:val="none"/>
          <w:lang w:eastAsia="zh-CN"/>
        </w:rPr>
        <w:t>本单位对上述声明的真实性负责。如有虚假，将依法承担相应责任。</w:t>
      </w:r>
    </w:p>
    <w:p w14:paraId="0F61FF4E">
      <w:pPr>
        <w:pBdr>
          <w:top w:val="none" w:color="000000" w:sz="0" w:space="0"/>
          <w:left w:val="none" w:color="000000" w:sz="0" w:space="0"/>
          <w:bottom w:val="none" w:color="000000" w:sz="0" w:space="0"/>
          <w:right w:val="none" w:color="000000" w:sz="0" w:space="0"/>
        </w:pBdr>
        <w:spacing w:after="0" w:line="587" w:lineRule="atLeast"/>
        <w:jc w:val="both"/>
        <w:rPr>
          <w:color w:val="auto"/>
          <w:highlight w:val="none"/>
          <w:lang w:eastAsia="zh-CN"/>
        </w:rPr>
      </w:pPr>
      <w:r>
        <w:rPr>
          <w:rFonts w:ascii="仿宋" w:hAnsi="仿宋" w:eastAsia="仿宋" w:cs="仿宋"/>
          <w:b/>
          <w:color w:val="auto"/>
          <w:sz w:val="24"/>
          <w:highlight w:val="none"/>
          <w:lang w:eastAsia="zh-CN"/>
        </w:rPr>
        <w:t>（备注：1、供应商如不提供此声明函，价格将不做相应扣除。2、中标供应商为残疾人福利单位的，此声明函将随中标结果同时公告，接受社会监督）</w:t>
      </w:r>
    </w:p>
    <w:p w14:paraId="20064CE4">
      <w:pPr>
        <w:pBdr>
          <w:top w:val="none" w:color="000000" w:sz="0" w:space="0"/>
          <w:left w:val="none" w:color="000000" w:sz="0" w:space="0"/>
          <w:bottom w:val="none" w:color="000000" w:sz="0" w:space="0"/>
          <w:right w:val="none" w:color="000000" w:sz="0" w:space="0"/>
        </w:pBdr>
        <w:spacing w:after="0" w:line="587" w:lineRule="atLeast"/>
        <w:ind w:firstLine="504"/>
        <w:jc w:val="both"/>
        <w:rPr>
          <w:color w:val="auto"/>
          <w:highlight w:val="none"/>
          <w:lang w:eastAsia="zh-CN"/>
        </w:rPr>
      </w:pPr>
      <w:r>
        <w:rPr>
          <w:rFonts w:ascii="仿宋" w:hAnsi="仿宋" w:eastAsia="仿宋" w:cs="仿宋"/>
          <w:color w:val="auto"/>
          <w:spacing w:val="6"/>
          <w:sz w:val="24"/>
          <w:highlight w:val="none"/>
          <w:lang w:eastAsia="zh-CN"/>
        </w:rPr>
        <w:t> </w:t>
      </w:r>
    </w:p>
    <w:p w14:paraId="735EDA16">
      <w:pPr>
        <w:pBdr>
          <w:top w:val="none" w:color="000000" w:sz="0" w:space="0"/>
          <w:left w:val="none" w:color="000000" w:sz="0" w:space="0"/>
          <w:bottom w:val="none" w:color="000000" w:sz="0" w:space="0"/>
          <w:right w:val="none" w:color="000000" w:sz="0" w:space="0"/>
        </w:pBdr>
        <w:tabs>
          <w:tab w:val="left" w:pos="4860"/>
        </w:tabs>
        <w:spacing w:after="0" w:line="587" w:lineRule="atLeast"/>
        <w:ind w:right="1560" w:firstLine="504"/>
        <w:jc w:val="center"/>
        <w:rPr>
          <w:color w:val="auto"/>
          <w:highlight w:val="none"/>
          <w:lang w:eastAsia="zh-CN"/>
        </w:rPr>
      </w:pPr>
      <w:r>
        <w:rPr>
          <w:rFonts w:ascii="仿宋" w:hAnsi="仿宋" w:eastAsia="仿宋" w:cs="仿宋"/>
          <w:color w:val="auto"/>
          <w:spacing w:val="6"/>
          <w:sz w:val="24"/>
          <w:highlight w:val="none"/>
          <w:lang w:eastAsia="zh-CN"/>
        </w:rPr>
        <w:t xml:space="preserve">             </w:t>
      </w:r>
      <w:r>
        <w:rPr>
          <w:rFonts w:ascii="仿宋" w:hAnsi="仿宋" w:eastAsia="仿宋" w:cs="仿宋"/>
          <w:color w:val="auto"/>
          <w:sz w:val="24"/>
          <w:highlight w:val="none"/>
          <w:lang w:eastAsia="zh-CN"/>
        </w:rPr>
        <w:t>               磋商供应商全称（盖章）：</w:t>
      </w:r>
    </w:p>
    <w:p w14:paraId="144CFD0C">
      <w:pPr>
        <w:pBdr>
          <w:top w:val="none" w:color="000000" w:sz="0" w:space="0"/>
          <w:left w:val="none" w:color="000000" w:sz="0" w:space="0"/>
          <w:bottom w:val="none" w:color="000000" w:sz="0" w:space="0"/>
          <w:right w:val="none" w:color="000000" w:sz="0" w:space="0"/>
        </w:pBdr>
        <w:tabs>
          <w:tab w:val="left" w:pos="4860"/>
        </w:tabs>
        <w:spacing w:after="0" w:line="587" w:lineRule="atLeast"/>
        <w:ind w:right="1560" w:firstLine="480"/>
        <w:jc w:val="center"/>
        <w:rPr>
          <w:color w:val="auto"/>
          <w:highlight w:val="none"/>
          <w:lang w:eastAsia="zh-CN"/>
        </w:rPr>
      </w:pPr>
      <w:r>
        <w:rPr>
          <w:rFonts w:ascii="仿宋" w:hAnsi="仿宋" w:eastAsia="仿宋" w:cs="仿宋"/>
          <w:color w:val="auto"/>
          <w:sz w:val="24"/>
          <w:highlight w:val="none"/>
          <w:lang w:eastAsia="zh-CN"/>
        </w:rPr>
        <w:t>              日  期：</w:t>
      </w:r>
    </w:p>
    <w:p w14:paraId="4C864876">
      <w:pPr>
        <w:pBdr>
          <w:top w:val="none" w:color="000000" w:sz="0" w:space="0"/>
          <w:left w:val="none" w:color="000000" w:sz="0" w:space="0"/>
          <w:bottom w:val="none" w:color="000000" w:sz="0" w:space="0"/>
          <w:right w:val="none" w:color="000000" w:sz="0" w:space="0"/>
        </w:pBdr>
        <w:spacing w:after="0" w:line="85" w:lineRule="atLeast"/>
        <w:ind w:firstLine="494"/>
        <w:jc w:val="right"/>
        <w:rPr>
          <w:color w:val="auto"/>
          <w:highlight w:val="none"/>
          <w:lang w:eastAsia="zh-CN"/>
        </w:rPr>
      </w:pPr>
      <w:r>
        <w:rPr>
          <w:rFonts w:ascii="仿宋" w:hAnsi="仿宋" w:eastAsia="仿宋" w:cs="仿宋"/>
          <w:color w:val="auto"/>
          <w:sz w:val="24"/>
          <w:highlight w:val="none"/>
          <w:lang w:eastAsia="zh-CN"/>
        </w:rPr>
        <w:t> </w:t>
      </w:r>
    </w:p>
    <w:p w14:paraId="08343691">
      <w:pPr>
        <w:pBdr>
          <w:top w:val="none" w:color="000000" w:sz="0" w:space="0"/>
          <w:left w:val="none" w:color="000000" w:sz="0" w:space="0"/>
          <w:bottom w:val="none" w:color="000000" w:sz="0" w:space="0"/>
          <w:right w:val="none" w:color="000000" w:sz="0" w:space="0"/>
        </w:pBdr>
        <w:spacing w:after="0" w:line="85" w:lineRule="atLeast"/>
        <w:jc w:val="center"/>
        <w:rPr>
          <w:color w:val="auto"/>
          <w:highlight w:val="none"/>
          <w:lang w:eastAsia="zh-CN"/>
        </w:rPr>
      </w:pPr>
      <w:r>
        <w:rPr>
          <w:rFonts w:ascii="仿宋" w:hAnsi="仿宋" w:eastAsia="仿宋" w:cs="仿宋"/>
          <w:b/>
          <w:color w:val="auto"/>
          <w:sz w:val="24"/>
          <w:highlight w:val="none"/>
          <w:lang w:eastAsia="zh-CN"/>
        </w:rPr>
        <w:t> </w:t>
      </w:r>
    </w:p>
    <w:p w14:paraId="2AA8D775">
      <w:pPr>
        <w:pBdr>
          <w:top w:val="none" w:color="000000" w:sz="0" w:space="0"/>
          <w:left w:val="none" w:color="000000" w:sz="0" w:space="0"/>
          <w:bottom w:val="none" w:color="000000" w:sz="0" w:space="0"/>
          <w:right w:val="none" w:color="000000" w:sz="0" w:space="0"/>
        </w:pBdr>
        <w:spacing w:after="0" w:line="85" w:lineRule="atLeast"/>
        <w:jc w:val="center"/>
        <w:rPr>
          <w:color w:val="auto"/>
          <w:highlight w:val="none"/>
          <w:lang w:eastAsia="zh-CN"/>
        </w:rPr>
      </w:pPr>
      <w:r>
        <w:rPr>
          <w:rFonts w:ascii="仿宋" w:hAnsi="仿宋" w:eastAsia="仿宋" w:cs="仿宋"/>
          <w:b/>
          <w:color w:val="auto"/>
          <w:sz w:val="24"/>
          <w:highlight w:val="none"/>
          <w:lang w:eastAsia="zh-CN"/>
        </w:rPr>
        <w:t> </w:t>
      </w:r>
    </w:p>
    <w:p w14:paraId="364C6572">
      <w:pPr>
        <w:pBdr>
          <w:top w:val="none" w:color="000000" w:sz="0" w:space="0"/>
          <w:left w:val="none" w:color="000000" w:sz="0" w:space="0"/>
          <w:bottom w:val="none" w:color="000000" w:sz="0" w:space="0"/>
          <w:right w:val="none" w:color="000000" w:sz="0" w:space="0"/>
        </w:pBdr>
        <w:spacing w:after="0" w:line="85" w:lineRule="atLeast"/>
        <w:jc w:val="center"/>
        <w:rPr>
          <w:color w:val="auto"/>
          <w:highlight w:val="none"/>
          <w:lang w:eastAsia="zh-CN"/>
        </w:rPr>
      </w:pPr>
      <w:r>
        <w:rPr>
          <w:rFonts w:ascii="仿宋" w:hAnsi="仿宋" w:eastAsia="仿宋" w:cs="仿宋"/>
          <w:b/>
          <w:color w:val="auto"/>
          <w:sz w:val="24"/>
          <w:highlight w:val="none"/>
          <w:lang w:eastAsia="zh-CN"/>
        </w:rPr>
        <w:t> </w:t>
      </w:r>
    </w:p>
    <w:p w14:paraId="545DE875">
      <w:pPr>
        <w:pBdr>
          <w:top w:val="none" w:color="000000" w:sz="0" w:space="0"/>
          <w:left w:val="none" w:color="000000" w:sz="0" w:space="0"/>
          <w:bottom w:val="none" w:color="000000" w:sz="0" w:space="0"/>
          <w:right w:val="none" w:color="000000" w:sz="0" w:space="0"/>
        </w:pBdr>
        <w:spacing w:after="0" w:line="85" w:lineRule="atLeast"/>
        <w:jc w:val="center"/>
        <w:rPr>
          <w:color w:val="auto"/>
          <w:highlight w:val="none"/>
          <w:lang w:eastAsia="zh-CN"/>
        </w:rPr>
      </w:pPr>
      <w:r>
        <w:rPr>
          <w:rFonts w:ascii="仿宋" w:hAnsi="仿宋" w:eastAsia="仿宋" w:cs="仿宋"/>
          <w:b/>
          <w:color w:val="auto"/>
          <w:sz w:val="24"/>
          <w:highlight w:val="none"/>
          <w:lang w:eastAsia="zh-CN"/>
        </w:rPr>
        <w:t> </w:t>
      </w:r>
    </w:p>
    <w:p w14:paraId="23E1BE2F">
      <w:pPr>
        <w:pBdr>
          <w:top w:val="none" w:color="000000" w:sz="0" w:space="0"/>
          <w:left w:val="none" w:color="000000" w:sz="0" w:space="0"/>
          <w:bottom w:val="none" w:color="000000" w:sz="0" w:space="0"/>
          <w:right w:val="none" w:color="000000" w:sz="0" w:space="0"/>
        </w:pBdr>
        <w:spacing w:after="0" w:line="85" w:lineRule="atLeast"/>
        <w:jc w:val="center"/>
        <w:rPr>
          <w:color w:val="auto"/>
          <w:highlight w:val="none"/>
          <w:lang w:eastAsia="zh-CN"/>
        </w:rPr>
      </w:pPr>
      <w:r>
        <w:rPr>
          <w:rFonts w:ascii="仿宋" w:hAnsi="仿宋" w:eastAsia="仿宋" w:cs="仿宋"/>
          <w:b/>
          <w:color w:val="auto"/>
          <w:sz w:val="24"/>
          <w:highlight w:val="none"/>
          <w:lang w:eastAsia="zh-CN"/>
        </w:rPr>
        <w:t> </w:t>
      </w:r>
    </w:p>
    <w:p w14:paraId="0E5FBFBD">
      <w:pPr>
        <w:pBdr>
          <w:top w:val="none" w:color="000000" w:sz="0" w:space="0"/>
          <w:left w:val="none" w:color="000000" w:sz="0" w:space="0"/>
          <w:bottom w:val="none" w:color="000000" w:sz="0" w:space="0"/>
          <w:right w:val="none" w:color="000000" w:sz="0" w:space="0"/>
        </w:pBdr>
        <w:spacing w:after="0" w:line="85" w:lineRule="atLeast"/>
        <w:jc w:val="center"/>
        <w:rPr>
          <w:color w:val="auto"/>
          <w:highlight w:val="none"/>
          <w:lang w:eastAsia="zh-CN"/>
        </w:rPr>
      </w:pPr>
      <w:r>
        <w:rPr>
          <w:rFonts w:ascii="仿宋" w:hAnsi="仿宋" w:eastAsia="仿宋" w:cs="仿宋"/>
          <w:b/>
          <w:color w:val="auto"/>
          <w:sz w:val="24"/>
          <w:highlight w:val="none"/>
          <w:lang w:eastAsia="zh-CN"/>
        </w:rPr>
        <w:t> </w:t>
      </w:r>
    </w:p>
    <w:p w14:paraId="33B06AE0">
      <w:pPr>
        <w:pBdr>
          <w:top w:val="none" w:color="000000" w:sz="0" w:space="0"/>
          <w:left w:val="none" w:color="000000" w:sz="0" w:space="0"/>
          <w:bottom w:val="none" w:color="000000" w:sz="0" w:space="0"/>
          <w:right w:val="none" w:color="000000" w:sz="0" w:space="0"/>
        </w:pBdr>
        <w:spacing w:after="0" w:line="85" w:lineRule="atLeast"/>
        <w:jc w:val="center"/>
        <w:rPr>
          <w:color w:val="auto"/>
          <w:highlight w:val="none"/>
          <w:lang w:eastAsia="zh-CN"/>
        </w:rPr>
      </w:pPr>
      <w:r>
        <w:rPr>
          <w:rFonts w:ascii="仿宋" w:hAnsi="仿宋" w:eastAsia="仿宋" w:cs="仿宋"/>
          <w:b/>
          <w:color w:val="auto"/>
          <w:sz w:val="24"/>
          <w:highlight w:val="none"/>
          <w:lang w:eastAsia="zh-CN"/>
        </w:rPr>
        <w:t> </w:t>
      </w:r>
    </w:p>
    <w:p w14:paraId="5B07D47F">
      <w:pPr>
        <w:pBdr>
          <w:top w:val="none" w:color="000000" w:sz="0" w:space="0"/>
          <w:left w:val="none" w:color="000000" w:sz="0" w:space="0"/>
          <w:bottom w:val="none" w:color="000000" w:sz="0" w:space="0"/>
          <w:right w:val="none" w:color="000000" w:sz="0" w:space="0"/>
        </w:pBdr>
        <w:spacing w:after="0" w:line="85" w:lineRule="atLeast"/>
        <w:jc w:val="center"/>
        <w:rPr>
          <w:color w:val="auto"/>
          <w:highlight w:val="none"/>
          <w:lang w:eastAsia="zh-CN"/>
        </w:rPr>
      </w:pPr>
      <w:r>
        <w:rPr>
          <w:rFonts w:ascii="仿宋" w:hAnsi="仿宋" w:eastAsia="仿宋" w:cs="仿宋"/>
          <w:b/>
          <w:color w:val="auto"/>
          <w:sz w:val="24"/>
          <w:highlight w:val="none"/>
          <w:lang w:eastAsia="zh-CN"/>
        </w:rPr>
        <w:t> </w:t>
      </w:r>
    </w:p>
    <w:p w14:paraId="2E219156">
      <w:pPr>
        <w:pBdr>
          <w:top w:val="none" w:color="000000" w:sz="0" w:space="0"/>
          <w:left w:val="none" w:color="000000" w:sz="0" w:space="0"/>
          <w:bottom w:val="none" w:color="000000" w:sz="0" w:space="0"/>
          <w:right w:val="none" w:color="000000" w:sz="0" w:space="0"/>
        </w:pBdr>
        <w:spacing w:after="0" w:line="85" w:lineRule="atLeast"/>
        <w:jc w:val="center"/>
        <w:rPr>
          <w:color w:val="auto"/>
          <w:highlight w:val="none"/>
          <w:lang w:eastAsia="zh-CN"/>
        </w:rPr>
      </w:pPr>
      <w:r>
        <w:rPr>
          <w:rFonts w:ascii="仿宋" w:hAnsi="仿宋" w:eastAsia="仿宋" w:cs="仿宋"/>
          <w:b/>
          <w:color w:val="auto"/>
          <w:sz w:val="24"/>
          <w:highlight w:val="none"/>
          <w:lang w:eastAsia="zh-CN"/>
        </w:rPr>
        <w:t> </w:t>
      </w:r>
    </w:p>
    <w:p w14:paraId="7E934530">
      <w:pPr>
        <w:pBdr>
          <w:top w:val="none" w:color="000000" w:sz="0" w:space="0"/>
          <w:left w:val="none" w:color="000000" w:sz="0" w:space="0"/>
          <w:bottom w:val="none" w:color="000000" w:sz="0" w:space="0"/>
          <w:right w:val="none" w:color="000000" w:sz="0" w:space="0"/>
        </w:pBdr>
        <w:spacing w:after="0" w:line="85" w:lineRule="atLeast"/>
        <w:jc w:val="center"/>
        <w:rPr>
          <w:rFonts w:ascii="Times New Roman" w:hAnsi="Times New Roman" w:eastAsia="Times New Roman" w:cs="Times New Roman"/>
          <w:color w:val="auto"/>
          <w:highlight w:val="none"/>
          <w:lang w:eastAsia="zh-CN"/>
        </w:rPr>
      </w:pPr>
    </w:p>
    <w:p w14:paraId="634BB9B3">
      <w:pPr>
        <w:pBdr>
          <w:top w:val="none" w:color="000000" w:sz="0" w:space="0"/>
          <w:left w:val="none" w:color="000000" w:sz="0" w:space="0"/>
          <w:bottom w:val="none" w:color="000000" w:sz="0" w:space="0"/>
          <w:right w:val="none" w:color="000000" w:sz="0" w:space="0"/>
        </w:pBdr>
        <w:spacing w:after="0" w:line="85" w:lineRule="atLeast"/>
        <w:jc w:val="center"/>
        <w:rPr>
          <w:rFonts w:hint="eastAsia" w:ascii="仿宋" w:hAnsi="仿宋" w:eastAsia="仿宋" w:cs="仿宋"/>
          <w:b/>
          <w:bCs/>
          <w:color w:val="auto"/>
          <w:sz w:val="24"/>
          <w:szCs w:val="24"/>
          <w:highlight w:val="none"/>
          <w:lang w:eastAsia="zh-CN"/>
        </w:rPr>
      </w:pPr>
    </w:p>
    <w:p w14:paraId="18FAAA9F">
      <w:pPr>
        <w:pBdr>
          <w:top w:val="none" w:color="000000" w:sz="0" w:space="0"/>
          <w:left w:val="none" w:color="000000" w:sz="0" w:space="0"/>
          <w:bottom w:val="none" w:color="000000" w:sz="0" w:space="0"/>
          <w:right w:val="none" w:color="000000" w:sz="0" w:space="0"/>
        </w:pBdr>
        <w:spacing w:after="0" w:line="85" w:lineRule="atLeast"/>
        <w:jc w:val="center"/>
        <w:rPr>
          <w:rFonts w:hint="eastAsia" w:ascii="仿宋" w:hAnsi="仿宋" w:eastAsia="仿宋" w:cs="仿宋"/>
          <w:b/>
          <w:bCs/>
          <w:color w:val="auto"/>
          <w:sz w:val="24"/>
          <w:szCs w:val="24"/>
          <w:highlight w:val="none"/>
          <w:lang w:eastAsia="zh-CN"/>
        </w:rPr>
      </w:pPr>
      <w:r>
        <w:rPr>
          <w:rFonts w:ascii="仿宋" w:hAnsi="仿宋" w:eastAsia="仿宋" w:cs="仿宋"/>
          <w:b/>
          <w:color w:val="auto"/>
          <w:sz w:val="24"/>
          <w:highlight w:val="none"/>
          <w:lang w:eastAsia="zh-CN"/>
        </w:rPr>
        <w:t> </w:t>
      </w:r>
    </w:p>
    <w:p w14:paraId="63BD3376">
      <w:pPr>
        <w:pBdr>
          <w:top w:val="none" w:color="000000" w:sz="0" w:space="0"/>
          <w:left w:val="none" w:color="000000" w:sz="0" w:space="0"/>
          <w:bottom w:val="none" w:color="000000" w:sz="0" w:space="0"/>
          <w:right w:val="none" w:color="000000" w:sz="0" w:space="0"/>
        </w:pBdr>
        <w:spacing w:after="0" w:line="85" w:lineRule="atLeast"/>
        <w:jc w:val="both"/>
        <w:rPr>
          <w:rFonts w:hint="eastAsia" w:ascii="仿宋" w:hAnsi="仿宋" w:eastAsia="仿宋" w:cs="仿宋"/>
          <w:b/>
          <w:bCs/>
          <w:color w:val="auto"/>
          <w:sz w:val="24"/>
          <w:szCs w:val="24"/>
          <w:highlight w:val="none"/>
          <w:lang w:eastAsia="zh-CN"/>
        </w:rPr>
      </w:pPr>
      <w:r>
        <w:rPr>
          <w:rFonts w:ascii="仿宋" w:hAnsi="仿宋" w:eastAsia="仿宋" w:cs="仿宋"/>
          <w:b/>
          <w:color w:val="auto"/>
          <w:sz w:val="24"/>
          <w:highlight w:val="none"/>
          <w:lang w:eastAsia="zh-CN"/>
        </w:rPr>
        <w:t> </w:t>
      </w:r>
    </w:p>
    <w:p w14:paraId="19AF4F91">
      <w:pPr>
        <w:pBdr>
          <w:top w:val="none" w:color="000000" w:sz="0" w:space="0"/>
          <w:left w:val="none" w:color="000000" w:sz="0" w:space="0"/>
          <w:bottom w:val="none" w:color="000000" w:sz="0" w:space="0"/>
          <w:right w:val="none" w:color="000000" w:sz="0" w:space="0"/>
        </w:pBdr>
        <w:spacing w:after="0" w:line="85" w:lineRule="atLeast"/>
        <w:jc w:val="both"/>
        <w:rPr>
          <w:color w:val="auto"/>
          <w:highlight w:val="none"/>
          <w:lang w:eastAsia="zh-CN"/>
        </w:rPr>
      </w:pPr>
    </w:p>
    <w:p w14:paraId="590BA72A">
      <w:pPr>
        <w:pBdr>
          <w:top w:val="none" w:color="000000" w:sz="0" w:space="0"/>
          <w:left w:val="none" w:color="000000" w:sz="0" w:space="0"/>
          <w:bottom w:val="none" w:color="000000" w:sz="0" w:space="0"/>
          <w:right w:val="none" w:color="000000" w:sz="0" w:space="0"/>
        </w:pBdr>
        <w:spacing w:after="0" w:line="85" w:lineRule="atLeast"/>
        <w:jc w:val="both"/>
        <w:rPr>
          <w:color w:val="auto"/>
          <w:highlight w:val="none"/>
          <w:lang w:eastAsia="zh-CN"/>
        </w:rPr>
      </w:pPr>
    </w:p>
    <w:p w14:paraId="30D347C9">
      <w:pPr>
        <w:pBdr>
          <w:top w:val="none" w:color="000000" w:sz="0" w:space="0"/>
          <w:left w:val="none" w:color="000000" w:sz="0" w:space="0"/>
          <w:bottom w:val="none" w:color="000000" w:sz="0" w:space="0"/>
          <w:right w:val="none" w:color="000000" w:sz="0" w:space="0"/>
        </w:pBdr>
        <w:spacing w:after="0" w:line="85" w:lineRule="atLeast"/>
        <w:jc w:val="both"/>
        <w:rPr>
          <w:color w:val="auto"/>
          <w:highlight w:val="none"/>
          <w:lang w:eastAsia="zh-CN"/>
        </w:rPr>
      </w:pPr>
    </w:p>
    <w:p w14:paraId="74E0945F">
      <w:pPr>
        <w:pBdr>
          <w:top w:val="none" w:color="000000" w:sz="0" w:space="0"/>
          <w:left w:val="none" w:color="000000" w:sz="0" w:space="0"/>
          <w:bottom w:val="none" w:color="000000" w:sz="0" w:space="0"/>
          <w:right w:val="none" w:color="000000" w:sz="0" w:space="0"/>
        </w:pBdr>
        <w:spacing w:after="0" w:line="85" w:lineRule="atLeast"/>
        <w:jc w:val="both"/>
        <w:rPr>
          <w:color w:val="auto"/>
          <w:highlight w:val="none"/>
          <w:lang w:eastAsia="zh-CN"/>
        </w:rPr>
      </w:pPr>
    </w:p>
    <w:p w14:paraId="6E610D43">
      <w:pPr>
        <w:pBdr>
          <w:top w:val="none" w:color="000000" w:sz="0" w:space="0"/>
          <w:left w:val="none" w:color="000000" w:sz="0" w:space="0"/>
          <w:bottom w:val="none" w:color="000000" w:sz="0" w:space="0"/>
          <w:right w:val="none" w:color="000000" w:sz="0" w:space="0"/>
        </w:pBdr>
        <w:spacing w:after="0" w:line="85" w:lineRule="atLeast"/>
        <w:jc w:val="both"/>
        <w:rPr>
          <w:color w:val="auto"/>
          <w:highlight w:val="none"/>
          <w:lang w:eastAsia="zh-CN"/>
        </w:rPr>
      </w:pPr>
    </w:p>
    <w:p w14:paraId="502F80D4">
      <w:pPr>
        <w:pBdr>
          <w:top w:val="none" w:color="000000" w:sz="0" w:space="0"/>
          <w:left w:val="none" w:color="000000" w:sz="0" w:space="0"/>
          <w:bottom w:val="none" w:color="000000" w:sz="0" w:space="0"/>
          <w:right w:val="none" w:color="000000" w:sz="0" w:space="0"/>
        </w:pBdr>
        <w:spacing w:after="0" w:line="85" w:lineRule="atLeast"/>
        <w:jc w:val="both"/>
        <w:rPr>
          <w:color w:val="auto"/>
          <w:highlight w:val="none"/>
          <w:lang w:eastAsia="zh-CN"/>
        </w:rPr>
      </w:pPr>
    </w:p>
    <w:p w14:paraId="6C5DBF82">
      <w:pPr>
        <w:pBdr>
          <w:top w:val="none" w:color="000000" w:sz="0" w:space="0"/>
          <w:left w:val="none" w:color="000000" w:sz="0" w:space="0"/>
          <w:bottom w:val="none" w:color="000000" w:sz="0" w:space="0"/>
          <w:right w:val="none" w:color="000000" w:sz="0" w:space="0"/>
        </w:pBdr>
        <w:spacing w:after="0" w:line="85" w:lineRule="atLeast"/>
        <w:jc w:val="both"/>
        <w:rPr>
          <w:color w:val="auto"/>
          <w:highlight w:val="none"/>
          <w:lang w:eastAsia="zh-CN"/>
        </w:rPr>
      </w:pPr>
    </w:p>
    <w:p w14:paraId="13AAA3A1">
      <w:pPr>
        <w:pBdr>
          <w:top w:val="none" w:color="000000" w:sz="0" w:space="0"/>
          <w:left w:val="none" w:color="000000" w:sz="0" w:space="0"/>
          <w:bottom w:val="none" w:color="000000" w:sz="0" w:space="0"/>
          <w:right w:val="none" w:color="000000" w:sz="0" w:space="0"/>
        </w:pBdr>
        <w:spacing w:after="0" w:line="85" w:lineRule="atLeast"/>
        <w:jc w:val="both"/>
        <w:rPr>
          <w:color w:val="auto"/>
          <w:highlight w:val="none"/>
          <w:lang w:eastAsia="zh-CN"/>
        </w:rPr>
      </w:pPr>
    </w:p>
    <w:p w14:paraId="7ACB03E2">
      <w:pPr>
        <w:pBdr>
          <w:top w:val="none" w:color="000000" w:sz="0" w:space="0"/>
          <w:left w:val="none" w:color="000000" w:sz="0" w:space="0"/>
          <w:bottom w:val="none" w:color="000000" w:sz="0" w:space="0"/>
          <w:right w:val="none" w:color="000000" w:sz="0" w:space="0"/>
        </w:pBdr>
        <w:spacing w:after="0" w:line="85" w:lineRule="atLeast"/>
        <w:jc w:val="both"/>
        <w:rPr>
          <w:color w:val="auto"/>
          <w:highlight w:val="none"/>
          <w:lang w:eastAsia="zh-CN"/>
        </w:rPr>
      </w:pPr>
    </w:p>
    <w:p w14:paraId="43C49982">
      <w:pPr>
        <w:pBdr>
          <w:top w:val="none" w:color="000000" w:sz="0" w:space="0"/>
          <w:left w:val="none" w:color="000000" w:sz="0" w:space="0"/>
          <w:bottom w:val="none" w:color="000000" w:sz="0" w:space="0"/>
          <w:right w:val="none" w:color="000000" w:sz="0" w:space="0"/>
        </w:pBdr>
        <w:spacing w:after="0" w:line="85" w:lineRule="atLeast"/>
        <w:jc w:val="both"/>
        <w:rPr>
          <w:color w:val="auto"/>
          <w:highlight w:val="none"/>
          <w:lang w:eastAsia="zh-CN"/>
        </w:rPr>
      </w:pPr>
      <w:r>
        <w:rPr>
          <w:rFonts w:ascii="仿宋" w:hAnsi="仿宋" w:eastAsia="仿宋" w:cs="仿宋"/>
          <w:b/>
          <w:color w:val="auto"/>
          <w:sz w:val="24"/>
          <w:highlight w:val="none"/>
          <w:lang w:eastAsia="zh-CN"/>
        </w:rPr>
        <w:t> </w:t>
      </w:r>
    </w:p>
    <w:p w14:paraId="15D85679">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Times New Roman" w:hAnsi="Times New Roman" w:eastAsia="Times New Roman" w:cs="Times New Roman"/>
          <w:color w:val="auto"/>
          <w:sz w:val="24"/>
          <w:highlight w:val="none"/>
          <w:lang w:eastAsia="zh-CN"/>
        </w:rPr>
        <w:t> </w:t>
      </w:r>
    </w:p>
    <w:p w14:paraId="0CCC4942">
      <w:pPr>
        <w:pBdr>
          <w:top w:val="none" w:color="000000" w:sz="0" w:space="0"/>
          <w:left w:val="none" w:color="000000" w:sz="0" w:space="0"/>
          <w:bottom w:val="none" w:color="000000" w:sz="0" w:space="0"/>
          <w:right w:val="none" w:color="000000" w:sz="0" w:space="0"/>
        </w:pBdr>
        <w:spacing w:after="0" w:line="85" w:lineRule="atLeast"/>
        <w:jc w:val="center"/>
        <w:rPr>
          <w:color w:val="auto"/>
          <w:highlight w:val="none"/>
          <w:lang w:eastAsia="zh-CN"/>
        </w:rPr>
      </w:pPr>
      <w:r>
        <w:rPr>
          <w:rFonts w:hint="eastAsia" w:ascii="仿宋" w:hAnsi="仿宋" w:eastAsia="仿宋" w:cs="仿宋"/>
          <w:b/>
          <w:color w:val="auto"/>
          <w:sz w:val="24"/>
          <w:highlight w:val="none"/>
          <w:lang w:eastAsia="zh-CN"/>
        </w:rPr>
        <w:t>六</w:t>
      </w:r>
      <w:r>
        <w:rPr>
          <w:rFonts w:ascii="仿宋" w:hAnsi="仿宋" w:eastAsia="仿宋" w:cs="仿宋"/>
          <w:b/>
          <w:color w:val="auto"/>
          <w:sz w:val="24"/>
          <w:highlight w:val="none"/>
          <w:lang w:eastAsia="zh-CN"/>
        </w:rPr>
        <w:t>、监狱企业的证明（如涉有，则提供）</w:t>
      </w:r>
    </w:p>
    <w:p w14:paraId="24FB64E1">
      <w:pPr>
        <w:pBdr>
          <w:top w:val="none" w:color="000000" w:sz="0" w:space="0"/>
          <w:left w:val="none" w:color="000000" w:sz="0" w:space="0"/>
          <w:bottom w:val="none" w:color="000000" w:sz="0" w:space="0"/>
          <w:right w:val="none" w:color="000000" w:sz="0" w:space="0"/>
        </w:pBdr>
        <w:spacing w:after="0" w:line="419" w:lineRule="atLeast"/>
        <w:ind w:firstLine="425"/>
        <w:jc w:val="both"/>
        <w:rPr>
          <w:color w:val="auto"/>
          <w:highlight w:val="none"/>
          <w:lang w:eastAsia="zh-CN"/>
        </w:rPr>
      </w:pPr>
      <w:r>
        <w:rPr>
          <w:rFonts w:ascii="仿宋" w:hAnsi="仿宋" w:eastAsia="仿宋" w:cs="仿宋"/>
          <w:color w:val="auto"/>
          <w:sz w:val="24"/>
          <w:highlight w:val="none"/>
          <w:lang w:eastAsia="zh-CN"/>
        </w:rPr>
        <w:t>（格式自拟）</w:t>
      </w:r>
    </w:p>
    <w:p w14:paraId="1D9AEB38">
      <w:pPr>
        <w:pBdr>
          <w:top w:val="none" w:color="000000" w:sz="0" w:space="0"/>
          <w:left w:val="none" w:color="000000" w:sz="0" w:space="0"/>
          <w:bottom w:val="none" w:color="000000" w:sz="0" w:space="0"/>
          <w:right w:val="none" w:color="000000" w:sz="0" w:space="0"/>
        </w:pBdr>
        <w:spacing w:after="0" w:line="419" w:lineRule="atLeast"/>
        <w:ind w:firstLine="566"/>
        <w:jc w:val="both"/>
        <w:rPr>
          <w:color w:val="auto"/>
          <w:highlight w:val="none"/>
          <w:lang w:eastAsia="zh-CN"/>
        </w:rPr>
      </w:pPr>
      <w:r>
        <w:rPr>
          <w:rFonts w:ascii="仿宋" w:hAnsi="仿宋" w:eastAsia="仿宋" w:cs="仿宋"/>
          <w:color w:val="auto"/>
          <w:sz w:val="24"/>
          <w:highlight w:val="none"/>
          <w:lang w:eastAsia="zh-CN"/>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69D8E48">
      <w:pPr>
        <w:pBdr>
          <w:top w:val="none" w:color="000000" w:sz="0" w:space="0"/>
          <w:left w:val="none" w:color="000000" w:sz="0" w:space="0"/>
          <w:bottom w:val="none" w:color="000000" w:sz="0" w:space="0"/>
          <w:right w:val="none" w:color="000000" w:sz="0" w:space="0"/>
        </w:pBdr>
        <w:spacing w:after="0" w:line="419" w:lineRule="atLeast"/>
        <w:jc w:val="both"/>
        <w:rPr>
          <w:color w:val="auto"/>
          <w:highlight w:val="none"/>
          <w:lang w:eastAsia="zh-CN"/>
        </w:rPr>
      </w:pPr>
      <w:r>
        <w:rPr>
          <w:rFonts w:ascii="仿宋" w:hAnsi="仿宋" w:eastAsia="仿宋" w:cs="仿宋"/>
          <w:color w:val="auto"/>
          <w:sz w:val="24"/>
          <w:highlight w:val="none"/>
          <w:lang w:eastAsia="zh-CN"/>
        </w:rPr>
        <w:t> </w:t>
      </w:r>
    </w:p>
    <w:p w14:paraId="5CF241BA">
      <w:pPr>
        <w:pBdr>
          <w:top w:val="none" w:color="000000" w:sz="0" w:space="0"/>
          <w:left w:val="none" w:color="000000" w:sz="0" w:space="0"/>
          <w:bottom w:val="none" w:color="000000" w:sz="0" w:space="0"/>
          <w:right w:val="none" w:color="000000" w:sz="0" w:space="0"/>
        </w:pBdr>
        <w:spacing w:after="0" w:line="315" w:lineRule="atLeast"/>
        <w:ind w:right="181"/>
        <w:jc w:val="both"/>
        <w:rPr>
          <w:color w:val="auto"/>
          <w:highlight w:val="none"/>
          <w:lang w:eastAsia="zh-CN"/>
        </w:rPr>
      </w:pPr>
      <w:r>
        <w:rPr>
          <w:rFonts w:ascii="仿宋" w:hAnsi="仿宋" w:eastAsia="仿宋" w:cs="仿宋"/>
          <w:color w:val="auto"/>
          <w:highlight w:val="none"/>
          <w:lang w:eastAsia="zh-CN"/>
        </w:rPr>
        <w:t> </w:t>
      </w:r>
    </w:p>
    <w:p w14:paraId="793CE406">
      <w:pPr>
        <w:pBdr>
          <w:top w:val="none" w:color="000000" w:sz="0" w:space="0"/>
          <w:left w:val="none" w:color="000000" w:sz="0" w:space="0"/>
          <w:bottom w:val="none" w:color="000000" w:sz="0" w:space="0"/>
          <w:right w:val="none" w:color="000000" w:sz="0" w:space="0"/>
        </w:pBdr>
        <w:spacing w:after="0" w:line="315" w:lineRule="atLeast"/>
        <w:ind w:right="181"/>
        <w:jc w:val="both"/>
        <w:rPr>
          <w:color w:val="auto"/>
          <w:highlight w:val="none"/>
          <w:lang w:eastAsia="zh-CN"/>
        </w:rPr>
      </w:pPr>
      <w:r>
        <w:rPr>
          <w:rFonts w:ascii="仿宋" w:hAnsi="仿宋" w:eastAsia="仿宋" w:cs="仿宋"/>
          <w:color w:val="auto"/>
          <w:highlight w:val="none"/>
          <w:lang w:eastAsia="zh-CN"/>
        </w:rPr>
        <w:t> </w:t>
      </w:r>
    </w:p>
    <w:p w14:paraId="13C133B7">
      <w:pPr>
        <w:pBdr>
          <w:top w:val="none" w:color="000000" w:sz="0" w:space="0"/>
          <w:left w:val="none" w:color="000000" w:sz="0" w:space="0"/>
          <w:bottom w:val="none" w:color="000000" w:sz="0" w:space="0"/>
          <w:right w:val="none" w:color="000000" w:sz="0" w:space="0"/>
        </w:pBdr>
        <w:spacing w:after="0" w:line="315" w:lineRule="atLeast"/>
        <w:ind w:right="181"/>
        <w:jc w:val="both"/>
        <w:rPr>
          <w:color w:val="auto"/>
          <w:highlight w:val="none"/>
          <w:lang w:eastAsia="zh-CN"/>
        </w:rPr>
      </w:pPr>
      <w:r>
        <w:rPr>
          <w:rFonts w:ascii="仿宋" w:hAnsi="仿宋" w:eastAsia="仿宋" w:cs="仿宋"/>
          <w:color w:val="auto"/>
          <w:highlight w:val="none"/>
          <w:lang w:eastAsia="zh-CN"/>
        </w:rPr>
        <w:t> </w:t>
      </w:r>
    </w:p>
    <w:p w14:paraId="0F37896C">
      <w:pPr>
        <w:pBdr>
          <w:top w:val="none" w:color="000000" w:sz="0" w:space="0"/>
          <w:left w:val="none" w:color="000000" w:sz="0" w:space="0"/>
          <w:bottom w:val="none" w:color="000000" w:sz="0" w:space="0"/>
          <w:right w:val="none" w:color="000000" w:sz="0" w:space="0"/>
        </w:pBdr>
        <w:spacing w:after="0" w:line="315" w:lineRule="atLeast"/>
        <w:ind w:right="181"/>
        <w:jc w:val="both"/>
        <w:rPr>
          <w:color w:val="auto"/>
          <w:highlight w:val="none"/>
          <w:lang w:eastAsia="zh-CN"/>
        </w:rPr>
      </w:pPr>
      <w:r>
        <w:rPr>
          <w:rFonts w:ascii="仿宋" w:hAnsi="仿宋" w:eastAsia="仿宋" w:cs="仿宋"/>
          <w:color w:val="auto"/>
          <w:highlight w:val="none"/>
          <w:lang w:eastAsia="zh-CN"/>
        </w:rPr>
        <w:t> </w:t>
      </w:r>
    </w:p>
    <w:p w14:paraId="7AF90EA3">
      <w:pPr>
        <w:pBdr>
          <w:top w:val="none" w:color="000000" w:sz="0" w:space="0"/>
          <w:left w:val="none" w:color="000000" w:sz="0" w:space="0"/>
          <w:bottom w:val="none" w:color="000000" w:sz="0" w:space="0"/>
          <w:right w:val="none" w:color="000000" w:sz="0" w:space="0"/>
        </w:pBdr>
        <w:spacing w:after="0" w:line="315" w:lineRule="atLeast"/>
        <w:ind w:right="181"/>
        <w:jc w:val="both"/>
        <w:rPr>
          <w:color w:val="auto"/>
          <w:highlight w:val="none"/>
          <w:lang w:eastAsia="zh-CN"/>
        </w:rPr>
      </w:pPr>
      <w:r>
        <w:rPr>
          <w:rFonts w:ascii="仿宋" w:hAnsi="仿宋" w:eastAsia="仿宋" w:cs="仿宋"/>
          <w:color w:val="auto"/>
          <w:highlight w:val="none"/>
          <w:lang w:eastAsia="zh-CN"/>
        </w:rPr>
        <w:t> </w:t>
      </w:r>
    </w:p>
    <w:p w14:paraId="4048B7B3">
      <w:pPr>
        <w:pBdr>
          <w:top w:val="none" w:color="000000" w:sz="0" w:space="0"/>
          <w:left w:val="none" w:color="000000" w:sz="0" w:space="0"/>
          <w:bottom w:val="none" w:color="000000" w:sz="0" w:space="0"/>
          <w:right w:val="none" w:color="000000" w:sz="0" w:space="0"/>
        </w:pBdr>
        <w:spacing w:after="0" w:line="315" w:lineRule="atLeast"/>
        <w:ind w:right="181"/>
        <w:jc w:val="both"/>
        <w:rPr>
          <w:rFonts w:hint="eastAsia" w:ascii="仿宋" w:hAnsi="仿宋" w:eastAsia="仿宋" w:cs="仿宋"/>
          <w:color w:val="auto"/>
          <w:highlight w:val="none"/>
          <w:lang w:eastAsia="zh-CN"/>
        </w:rPr>
      </w:pPr>
      <w:r>
        <w:rPr>
          <w:rFonts w:ascii="仿宋" w:hAnsi="仿宋" w:eastAsia="仿宋" w:cs="仿宋"/>
          <w:color w:val="auto"/>
          <w:highlight w:val="none"/>
          <w:lang w:eastAsia="zh-CN"/>
        </w:rPr>
        <w:t> </w:t>
      </w:r>
    </w:p>
    <w:p w14:paraId="0ACFBAB0">
      <w:pPr>
        <w:pStyle w:val="35"/>
        <w:ind w:firstLine="440"/>
        <w:rPr>
          <w:rFonts w:hint="eastAsia" w:ascii="仿宋" w:hAnsi="仿宋" w:eastAsia="仿宋" w:cs="仿宋"/>
          <w:color w:val="auto"/>
          <w:sz w:val="22"/>
          <w:highlight w:val="none"/>
          <w:lang w:eastAsia="zh-CN"/>
        </w:rPr>
      </w:pPr>
    </w:p>
    <w:p w14:paraId="5CBB727D">
      <w:pPr>
        <w:rPr>
          <w:rFonts w:hint="eastAsia" w:ascii="仿宋" w:hAnsi="仿宋" w:eastAsia="仿宋" w:cs="仿宋"/>
          <w:color w:val="auto"/>
          <w:highlight w:val="none"/>
          <w:lang w:eastAsia="zh-CN"/>
        </w:rPr>
      </w:pPr>
    </w:p>
    <w:p w14:paraId="78009EED">
      <w:pPr>
        <w:pStyle w:val="35"/>
        <w:ind w:firstLine="440"/>
        <w:rPr>
          <w:rFonts w:hint="eastAsia" w:ascii="仿宋" w:hAnsi="仿宋" w:eastAsia="仿宋" w:cs="仿宋"/>
          <w:color w:val="auto"/>
          <w:sz w:val="22"/>
          <w:highlight w:val="none"/>
          <w:lang w:eastAsia="zh-CN"/>
        </w:rPr>
      </w:pPr>
    </w:p>
    <w:p w14:paraId="11C16BDD">
      <w:pPr>
        <w:rPr>
          <w:rFonts w:hint="eastAsia" w:ascii="仿宋" w:hAnsi="仿宋" w:eastAsia="仿宋" w:cs="仿宋"/>
          <w:color w:val="auto"/>
          <w:highlight w:val="none"/>
          <w:lang w:eastAsia="zh-CN"/>
        </w:rPr>
      </w:pPr>
    </w:p>
    <w:p w14:paraId="0A89DD23">
      <w:pPr>
        <w:pStyle w:val="35"/>
        <w:ind w:firstLine="440"/>
        <w:rPr>
          <w:rFonts w:hint="eastAsia" w:ascii="仿宋" w:hAnsi="仿宋" w:eastAsia="仿宋" w:cs="仿宋"/>
          <w:color w:val="auto"/>
          <w:sz w:val="22"/>
          <w:highlight w:val="none"/>
          <w:lang w:eastAsia="zh-CN"/>
        </w:rPr>
      </w:pPr>
    </w:p>
    <w:p w14:paraId="299F86A5">
      <w:pPr>
        <w:rPr>
          <w:rFonts w:hint="eastAsia" w:ascii="仿宋" w:hAnsi="仿宋" w:eastAsia="仿宋" w:cs="仿宋"/>
          <w:color w:val="auto"/>
          <w:highlight w:val="none"/>
          <w:lang w:eastAsia="zh-CN"/>
        </w:rPr>
      </w:pPr>
    </w:p>
    <w:p w14:paraId="12967C79">
      <w:pPr>
        <w:pStyle w:val="35"/>
        <w:ind w:firstLine="440"/>
        <w:rPr>
          <w:rFonts w:hint="eastAsia" w:ascii="仿宋" w:hAnsi="仿宋" w:eastAsia="仿宋" w:cs="仿宋"/>
          <w:color w:val="auto"/>
          <w:sz w:val="22"/>
          <w:highlight w:val="none"/>
          <w:lang w:eastAsia="zh-CN"/>
        </w:rPr>
      </w:pPr>
    </w:p>
    <w:p w14:paraId="6347C2B8">
      <w:pPr>
        <w:rPr>
          <w:rFonts w:hint="eastAsia" w:ascii="仿宋" w:hAnsi="仿宋" w:eastAsia="仿宋" w:cs="仿宋"/>
          <w:color w:val="auto"/>
          <w:highlight w:val="none"/>
          <w:lang w:eastAsia="zh-CN"/>
        </w:rPr>
      </w:pPr>
    </w:p>
    <w:p w14:paraId="24CFF90A">
      <w:pPr>
        <w:pStyle w:val="35"/>
        <w:ind w:firstLine="440"/>
        <w:rPr>
          <w:rFonts w:hint="eastAsia" w:ascii="仿宋" w:hAnsi="仿宋" w:eastAsia="仿宋" w:cs="仿宋"/>
          <w:color w:val="auto"/>
          <w:sz w:val="22"/>
          <w:highlight w:val="none"/>
          <w:lang w:eastAsia="zh-CN"/>
        </w:rPr>
      </w:pPr>
    </w:p>
    <w:p w14:paraId="4657874B">
      <w:pPr>
        <w:rPr>
          <w:rFonts w:hint="eastAsia" w:ascii="仿宋" w:hAnsi="仿宋" w:eastAsia="仿宋" w:cs="仿宋"/>
          <w:color w:val="auto"/>
          <w:highlight w:val="none"/>
          <w:lang w:eastAsia="zh-CN"/>
        </w:rPr>
      </w:pPr>
    </w:p>
    <w:p w14:paraId="56739649">
      <w:pPr>
        <w:pStyle w:val="35"/>
        <w:ind w:firstLine="440"/>
        <w:rPr>
          <w:rFonts w:hint="eastAsia" w:ascii="仿宋" w:hAnsi="仿宋" w:eastAsia="仿宋" w:cs="仿宋"/>
          <w:color w:val="auto"/>
          <w:sz w:val="22"/>
          <w:highlight w:val="none"/>
          <w:lang w:eastAsia="zh-CN"/>
        </w:rPr>
      </w:pPr>
    </w:p>
    <w:p w14:paraId="68541603">
      <w:pPr>
        <w:rPr>
          <w:rFonts w:hint="eastAsia" w:ascii="仿宋" w:hAnsi="仿宋" w:eastAsia="仿宋" w:cs="仿宋"/>
          <w:color w:val="auto"/>
          <w:highlight w:val="none"/>
          <w:lang w:eastAsia="zh-CN"/>
        </w:rPr>
      </w:pPr>
    </w:p>
    <w:p w14:paraId="7533E2D9">
      <w:pPr>
        <w:pStyle w:val="35"/>
        <w:ind w:firstLine="440"/>
        <w:rPr>
          <w:rFonts w:hint="eastAsia" w:ascii="仿宋" w:hAnsi="仿宋" w:eastAsia="仿宋" w:cs="仿宋"/>
          <w:color w:val="auto"/>
          <w:sz w:val="22"/>
          <w:highlight w:val="none"/>
          <w:lang w:eastAsia="zh-CN"/>
        </w:rPr>
      </w:pPr>
    </w:p>
    <w:p w14:paraId="0A264B0E">
      <w:pPr>
        <w:rPr>
          <w:rFonts w:hint="eastAsia" w:ascii="仿宋" w:hAnsi="仿宋" w:eastAsia="仿宋" w:cs="仿宋"/>
          <w:color w:val="auto"/>
          <w:highlight w:val="none"/>
          <w:lang w:eastAsia="zh-CN"/>
        </w:rPr>
      </w:pPr>
    </w:p>
    <w:p w14:paraId="4FB5D7A5">
      <w:pPr>
        <w:pStyle w:val="35"/>
        <w:ind w:firstLine="440"/>
        <w:rPr>
          <w:rFonts w:hint="eastAsia" w:ascii="仿宋" w:hAnsi="仿宋" w:eastAsia="仿宋" w:cs="仿宋"/>
          <w:color w:val="auto"/>
          <w:sz w:val="22"/>
          <w:highlight w:val="none"/>
          <w:lang w:eastAsia="zh-CN"/>
        </w:rPr>
      </w:pPr>
    </w:p>
    <w:p w14:paraId="072DC791">
      <w:pPr>
        <w:rPr>
          <w:rFonts w:hint="eastAsia" w:ascii="仿宋" w:hAnsi="仿宋" w:eastAsia="仿宋" w:cs="仿宋"/>
          <w:color w:val="auto"/>
          <w:highlight w:val="none"/>
          <w:lang w:eastAsia="zh-CN"/>
        </w:rPr>
      </w:pPr>
    </w:p>
    <w:p w14:paraId="45CD2E0C">
      <w:pPr>
        <w:pStyle w:val="35"/>
        <w:ind w:firstLine="440"/>
        <w:rPr>
          <w:rFonts w:hint="eastAsia" w:ascii="仿宋" w:hAnsi="仿宋" w:eastAsia="仿宋" w:cs="仿宋"/>
          <w:color w:val="auto"/>
          <w:sz w:val="22"/>
          <w:highlight w:val="none"/>
          <w:lang w:eastAsia="zh-CN"/>
        </w:rPr>
      </w:pPr>
    </w:p>
    <w:p w14:paraId="747D991B">
      <w:pPr>
        <w:rPr>
          <w:rFonts w:hint="eastAsia" w:ascii="仿宋" w:hAnsi="仿宋" w:eastAsia="仿宋" w:cs="仿宋"/>
          <w:color w:val="auto"/>
          <w:highlight w:val="none"/>
          <w:lang w:eastAsia="zh-CN"/>
        </w:rPr>
      </w:pPr>
    </w:p>
    <w:p w14:paraId="77854A56">
      <w:pPr>
        <w:pStyle w:val="35"/>
        <w:ind w:left="0" w:leftChars="0" w:firstLine="0" w:firstLineChars="0"/>
        <w:rPr>
          <w:color w:val="auto"/>
          <w:highlight w:val="none"/>
          <w:lang w:eastAsia="zh-CN"/>
        </w:rPr>
      </w:pPr>
    </w:p>
    <w:p w14:paraId="1DBB7F58">
      <w:pPr>
        <w:pBdr>
          <w:top w:val="none" w:color="000000" w:sz="0" w:space="0"/>
          <w:left w:val="none" w:color="000000" w:sz="0" w:space="0"/>
          <w:bottom w:val="none" w:color="000000" w:sz="0" w:space="0"/>
          <w:right w:val="none" w:color="000000" w:sz="0" w:space="0"/>
        </w:pBdr>
        <w:spacing w:after="0" w:line="85" w:lineRule="atLeas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七、</w:t>
      </w:r>
      <w:r>
        <w:rPr>
          <w:rFonts w:ascii="仿宋" w:hAnsi="仿宋" w:eastAsia="仿宋" w:cs="仿宋"/>
          <w:b/>
          <w:color w:val="auto"/>
          <w:sz w:val="24"/>
          <w:highlight w:val="none"/>
          <w:lang w:eastAsia="zh-CN"/>
        </w:rPr>
        <w:t>绿色采购的产品明细清单及各产品认证证明材料（如涉有，则提供）</w:t>
      </w:r>
    </w:p>
    <w:p w14:paraId="441ADC18">
      <w:pPr>
        <w:snapToGrid w:val="0"/>
        <w:spacing w:line="420" w:lineRule="exact"/>
        <w:ind w:firstLine="424"/>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eastAsia="zh-CN"/>
        </w:rPr>
        <w:t>（1）绿色采购的产品明细清单</w:t>
      </w:r>
    </w:p>
    <w:p w14:paraId="2C5F0933">
      <w:pPr>
        <w:snapToGrid w:val="0"/>
        <w:spacing w:before="312" w:after="312" w:line="420" w:lineRule="exact"/>
        <w:ind w:left="1422" w:hanging="1422"/>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绿色采购的产品明细清单</w:t>
      </w:r>
    </w:p>
    <w:p w14:paraId="0364103A">
      <w:pPr>
        <w:snapToGrid w:val="0"/>
        <w:spacing w:line="420" w:lineRule="exact"/>
        <w:ind w:left="1214" w:hanging="1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tbl>
      <w:tblPr>
        <w:tblStyle w:val="36"/>
        <w:tblW w:w="0" w:type="auto"/>
        <w:tblInd w:w="108" w:type="dxa"/>
        <w:tblLayout w:type="fixed"/>
        <w:tblCellMar>
          <w:top w:w="0" w:type="dxa"/>
          <w:left w:w="108" w:type="dxa"/>
          <w:bottom w:w="0" w:type="dxa"/>
          <w:right w:w="108" w:type="dxa"/>
        </w:tblCellMar>
      </w:tblPr>
      <w:tblGrid>
        <w:gridCol w:w="735"/>
        <w:gridCol w:w="2126"/>
        <w:gridCol w:w="1843"/>
        <w:gridCol w:w="850"/>
        <w:gridCol w:w="1134"/>
        <w:gridCol w:w="1418"/>
        <w:gridCol w:w="1477"/>
      </w:tblGrid>
      <w:tr w14:paraId="0E9124E3">
        <w:tblPrEx>
          <w:tblCellMar>
            <w:top w:w="0" w:type="dxa"/>
            <w:left w:w="108" w:type="dxa"/>
            <w:bottom w:w="0" w:type="dxa"/>
            <w:right w:w="108" w:type="dxa"/>
          </w:tblCellMar>
        </w:tblPrEx>
        <w:trPr>
          <w:cantSplit/>
          <w:trHeight w:val="429" w:hRule="atLeast"/>
        </w:trPr>
        <w:tc>
          <w:tcPr>
            <w:tcW w:w="735" w:type="dxa"/>
            <w:tcBorders>
              <w:top w:val="single" w:color="000000" w:sz="6" w:space="0"/>
              <w:left w:val="single" w:color="000000" w:sz="6" w:space="0"/>
              <w:bottom w:val="single" w:color="000000" w:sz="6" w:space="0"/>
              <w:right w:val="single" w:color="000000" w:sz="6" w:space="0"/>
            </w:tcBorders>
            <w:vAlign w:val="center"/>
          </w:tcPr>
          <w:p w14:paraId="4615B5CF">
            <w:pPr>
              <w:snapToGrid w:val="0"/>
              <w:spacing w:line="420" w:lineRule="exact"/>
              <w:ind w:left="1133" w:hanging="11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26" w:type="dxa"/>
            <w:tcBorders>
              <w:top w:val="single" w:color="000000" w:sz="6" w:space="0"/>
              <w:left w:val="single" w:color="000000" w:sz="6" w:space="0"/>
              <w:bottom w:val="single" w:color="000000" w:sz="6" w:space="0"/>
              <w:right w:val="single" w:color="000000" w:sz="6" w:space="0"/>
            </w:tcBorders>
            <w:vAlign w:val="center"/>
          </w:tcPr>
          <w:p w14:paraId="0F9C9B9B">
            <w:pPr>
              <w:snapToGrid w:val="0"/>
              <w:spacing w:line="420" w:lineRule="exact"/>
              <w:ind w:left="2"/>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符合绿色采购政策标的物产品名称</w:t>
            </w:r>
          </w:p>
        </w:tc>
        <w:tc>
          <w:tcPr>
            <w:tcW w:w="1843" w:type="dxa"/>
            <w:tcBorders>
              <w:top w:val="single" w:color="000000" w:sz="6" w:space="0"/>
              <w:left w:val="single" w:color="000000" w:sz="6" w:space="0"/>
              <w:bottom w:val="single" w:color="000000" w:sz="4" w:space="0"/>
              <w:right w:val="single" w:color="000000" w:sz="6" w:space="0"/>
            </w:tcBorders>
            <w:vAlign w:val="center"/>
          </w:tcPr>
          <w:p w14:paraId="62F02EFE">
            <w:pPr>
              <w:snapToGrid w:val="0"/>
              <w:spacing w:line="420" w:lineRule="exact"/>
              <w:ind w:left="1133" w:hanging="11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品牌、规格</w:t>
            </w:r>
          </w:p>
        </w:tc>
        <w:tc>
          <w:tcPr>
            <w:tcW w:w="850" w:type="dxa"/>
            <w:tcBorders>
              <w:top w:val="single" w:color="000000" w:sz="6" w:space="0"/>
              <w:left w:val="single" w:color="000000" w:sz="6" w:space="0"/>
              <w:bottom w:val="single" w:color="000000" w:sz="6" w:space="0"/>
              <w:right w:val="single" w:color="000000" w:sz="4" w:space="0"/>
            </w:tcBorders>
            <w:vAlign w:val="center"/>
          </w:tcPr>
          <w:p w14:paraId="45A26224">
            <w:pPr>
              <w:snapToGrid w:val="0"/>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34" w:type="dxa"/>
            <w:tcBorders>
              <w:top w:val="single" w:color="000000" w:sz="6" w:space="0"/>
              <w:left w:val="single" w:color="000000" w:sz="4" w:space="0"/>
              <w:bottom w:val="single" w:color="000000" w:sz="6" w:space="0"/>
              <w:right w:val="single" w:color="000000" w:sz="6" w:space="0"/>
            </w:tcBorders>
            <w:vAlign w:val="center"/>
          </w:tcPr>
          <w:p w14:paraId="3CB374B9">
            <w:pPr>
              <w:snapToGrid w:val="0"/>
              <w:spacing w:line="420" w:lineRule="exact"/>
              <w:ind w:left="1133" w:hanging="11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18" w:type="dxa"/>
            <w:tcBorders>
              <w:top w:val="single" w:color="000000" w:sz="6" w:space="0"/>
              <w:left w:val="single" w:color="000000" w:sz="6" w:space="0"/>
              <w:bottom w:val="single" w:color="000000" w:sz="6" w:space="0"/>
              <w:right w:val="single" w:color="000000" w:sz="6" w:space="0"/>
            </w:tcBorders>
            <w:vAlign w:val="center"/>
          </w:tcPr>
          <w:p w14:paraId="4C5A2058">
            <w:pPr>
              <w:tabs>
                <w:tab w:val="left" w:pos="60"/>
              </w:tabs>
              <w:snapToGrid w:val="0"/>
              <w:spacing w:line="420" w:lineRule="exact"/>
              <w:ind w:left="1133" w:hanging="11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tc>
        <w:tc>
          <w:tcPr>
            <w:tcW w:w="1477" w:type="dxa"/>
            <w:tcBorders>
              <w:top w:val="single" w:color="000000" w:sz="6" w:space="0"/>
              <w:left w:val="single" w:color="000000" w:sz="6" w:space="0"/>
              <w:bottom w:val="single" w:color="000000" w:sz="6" w:space="0"/>
              <w:right w:val="single" w:color="000000" w:sz="4" w:space="0"/>
            </w:tcBorders>
            <w:vAlign w:val="center"/>
          </w:tcPr>
          <w:p w14:paraId="50E5DCB1">
            <w:pPr>
              <w:snapToGrid w:val="0"/>
              <w:spacing w:line="420" w:lineRule="exact"/>
              <w:ind w:left="1133" w:hanging="11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66436F35">
        <w:tblPrEx>
          <w:tblCellMar>
            <w:top w:w="0" w:type="dxa"/>
            <w:left w:w="108" w:type="dxa"/>
            <w:bottom w:w="0" w:type="dxa"/>
            <w:right w:w="108" w:type="dxa"/>
          </w:tblCellMar>
        </w:tblPrEx>
        <w:trPr>
          <w:cantSplit/>
          <w:trHeight w:val="429" w:hRule="atLeast"/>
        </w:trPr>
        <w:tc>
          <w:tcPr>
            <w:tcW w:w="735" w:type="dxa"/>
            <w:tcBorders>
              <w:top w:val="single" w:color="000000" w:sz="6" w:space="0"/>
              <w:left w:val="single" w:color="000000" w:sz="6" w:space="0"/>
              <w:bottom w:val="single" w:color="000000" w:sz="6" w:space="0"/>
              <w:right w:val="single" w:color="000000" w:sz="6" w:space="0"/>
            </w:tcBorders>
            <w:vAlign w:val="center"/>
          </w:tcPr>
          <w:p w14:paraId="3CDB98E5">
            <w:pPr>
              <w:snapToGrid w:val="0"/>
              <w:spacing w:line="420" w:lineRule="exact"/>
              <w:ind w:left="1133" w:hanging="11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26" w:type="dxa"/>
            <w:tcBorders>
              <w:top w:val="single" w:color="000000" w:sz="6" w:space="0"/>
              <w:left w:val="single" w:color="000000" w:sz="6" w:space="0"/>
              <w:bottom w:val="single" w:color="000000" w:sz="6" w:space="0"/>
              <w:right w:val="single" w:color="000000" w:sz="6" w:space="0"/>
            </w:tcBorders>
            <w:vAlign w:val="center"/>
          </w:tcPr>
          <w:p w14:paraId="3503E691">
            <w:pPr>
              <w:snapToGrid w:val="0"/>
              <w:spacing w:line="420" w:lineRule="exact"/>
              <w:ind w:left="1133" w:hanging="1133"/>
              <w:rPr>
                <w:rFonts w:hint="eastAsia" w:ascii="仿宋" w:hAnsi="仿宋" w:eastAsia="仿宋" w:cs="仿宋"/>
                <w:color w:val="auto"/>
                <w:sz w:val="24"/>
                <w:szCs w:val="24"/>
                <w:highlight w:val="none"/>
              </w:rPr>
            </w:pPr>
          </w:p>
        </w:tc>
        <w:tc>
          <w:tcPr>
            <w:tcW w:w="1843" w:type="dxa"/>
            <w:tcBorders>
              <w:top w:val="single" w:color="000000" w:sz="4" w:space="0"/>
              <w:left w:val="single" w:color="000000" w:sz="6" w:space="0"/>
              <w:bottom w:val="single" w:color="000000" w:sz="6" w:space="0"/>
              <w:right w:val="single" w:color="000000" w:sz="6" w:space="0"/>
            </w:tcBorders>
            <w:vAlign w:val="center"/>
          </w:tcPr>
          <w:p w14:paraId="4A3B4298">
            <w:pPr>
              <w:snapToGrid w:val="0"/>
              <w:spacing w:line="420" w:lineRule="exact"/>
              <w:ind w:left="1133" w:hanging="113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4" w:space="0"/>
            </w:tcBorders>
            <w:vAlign w:val="center"/>
          </w:tcPr>
          <w:p w14:paraId="3C1C6D40">
            <w:pPr>
              <w:snapToGrid w:val="0"/>
              <w:spacing w:line="420" w:lineRule="exact"/>
              <w:ind w:left="1133" w:hanging="1133"/>
              <w:rPr>
                <w:rFonts w:hint="eastAsia" w:ascii="仿宋" w:hAnsi="仿宋" w:eastAsia="仿宋" w:cs="仿宋"/>
                <w:color w:val="auto"/>
                <w:sz w:val="24"/>
                <w:szCs w:val="24"/>
                <w:highlight w:val="none"/>
              </w:rPr>
            </w:pPr>
          </w:p>
        </w:tc>
        <w:tc>
          <w:tcPr>
            <w:tcW w:w="1134" w:type="dxa"/>
            <w:tcBorders>
              <w:top w:val="single" w:color="000000" w:sz="6" w:space="0"/>
              <w:left w:val="single" w:color="000000" w:sz="4" w:space="0"/>
              <w:bottom w:val="single" w:color="000000" w:sz="6" w:space="0"/>
              <w:right w:val="single" w:color="000000" w:sz="6" w:space="0"/>
            </w:tcBorders>
            <w:vAlign w:val="center"/>
          </w:tcPr>
          <w:p w14:paraId="23F8A3B6">
            <w:pPr>
              <w:snapToGrid w:val="0"/>
              <w:spacing w:line="420" w:lineRule="exact"/>
              <w:ind w:left="1133" w:hanging="113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1147E5C1">
            <w:pPr>
              <w:snapToGrid w:val="0"/>
              <w:spacing w:line="420" w:lineRule="exact"/>
              <w:ind w:left="1133" w:hanging="1133"/>
              <w:rPr>
                <w:rFonts w:hint="eastAsia" w:ascii="仿宋" w:hAnsi="仿宋" w:eastAsia="仿宋" w:cs="仿宋"/>
                <w:color w:val="auto"/>
                <w:sz w:val="24"/>
                <w:szCs w:val="24"/>
                <w:highlight w:val="none"/>
              </w:rPr>
            </w:pPr>
          </w:p>
        </w:tc>
        <w:tc>
          <w:tcPr>
            <w:tcW w:w="1477" w:type="dxa"/>
            <w:tcBorders>
              <w:top w:val="single" w:color="000000" w:sz="6" w:space="0"/>
              <w:left w:val="single" w:color="000000" w:sz="6" w:space="0"/>
              <w:bottom w:val="single" w:color="000000" w:sz="6" w:space="0"/>
              <w:right w:val="single" w:color="000000" w:sz="4" w:space="0"/>
            </w:tcBorders>
            <w:vAlign w:val="center"/>
          </w:tcPr>
          <w:p w14:paraId="7BE5B34C">
            <w:pPr>
              <w:snapToGrid w:val="0"/>
              <w:spacing w:line="420" w:lineRule="exact"/>
              <w:ind w:left="1133" w:hanging="1133"/>
              <w:rPr>
                <w:rFonts w:hint="eastAsia" w:ascii="仿宋" w:hAnsi="仿宋" w:eastAsia="仿宋" w:cs="仿宋"/>
                <w:color w:val="auto"/>
                <w:sz w:val="24"/>
                <w:szCs w:val="24"/>
                <w:highlight w:val="none"/>
              </w:rPr>
            </w:pPr>
          </w:p>
        </w:tc>
      </w:tr>
      <w:tr w14:paraId="57ADC42E">
        <w:tblPrEx>
          <w:tblCellMar>
            <w:top w:w="0" w:type="dxa"/>
            <w:left w:w="108" w:type="dxa"/>
            <w:bottom w:w="0" w:type="dxa"/>
            <w:right w:w="108" w:type="dxa"/>
          </w:tblCellMar>
        </w:tblPrEx>
        <w:trPr>
          <w:cantSplit/>
          <w:trHeight w:val="429" w:hRule="atLeast"/>
        </w:trPr>
        <w:tc>
          <w:tcPr>
            <w:tcW w:w="735" w:type="dxa"/>
            <w:tcBorders>
              <w:top w:val="single" w:color="000000" w:sz="6" w:space="0"/>
              <w:left w:val="single" w:color="000000" w:sz="6" w:space="0"/>
              <w:bottom w:val="single" w:color="000000" w:sz="6" w:space="0"/>
              <w:right w:val="single" w:color="000000" w:sz="6" w:space="0"/>
            </w:tcBorders>
            <w:vAlign w:val="center"/>
          </w:tcPr>
          <w:p w14:paraId="451000E5">
            <w:pPr>
              <w:snapToGrid w:val="0"/>
              <w:spacing w:line="420" w:lineRule="exact"/>
              <w:ind w:left="1133" w:hanging="11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26" w:type="dxa"/>
            <w:tcBorders>
              <w:top w:val="single" w:color="000000" w:sz="6" w:space="0"/>
              <w:left w:val="single" w:color="000000" w:sz="6" w:space="0"/>
              <w:bottom w:val="single" w:color="000000" w:sz="6" w:space="0"/>
              <w:right w:val="single" w:color="000000" w:sz="6" w:space="0"/>
            </w:tcBorders>
            <w:vAlign w:val="center"/>
          </w:tcPr>
          <w:p w14:paraId="61C82FFA">
            <w:pPr>
              <w:snapToGrid w:val="0"/>
              <w:spacing w:line="420" w:lineRule="exact"/>
              <w:ind w:left="1133" w:hanging="1133"/>
              <w:rPr>
                <w:rFonts w:hint="eastAsia" w:ascii="仿宋" w:hAnsi="仿宋" w:eastAsia="仿宋" w:cs="仿宋"/>
                <w:color w:val="auto"/>
                <w:sz w:val="24"/>
                <w:szCs w:val="24"/>
                <w:highlight w:val="none"/>
              </w:rPr>
            </w:pPr>
          </w:p>
        </w:tc>
        <w:tc>
          <w:tcPr>
            <w:tcW w:w="1843" w:type="dxa"/>
            <w:tcBorders>
              <w:top w:val="single" w:color="000000" w:sz="4" w:space="0"/>
              <w:left w:val="single" w:color="000000" w:sz="6" w:space="0"/>
              <w:bottom w:val="single" w:color="000000" w:sz="6" w:space="0"/>
              <w:right w:val="single" w:color="000000" w:sz="6" w:space="0"/>
            </w:tcBorders>
            <w:vAlign w:val="center"/>
          </w:tcPr>
          <w:p w14:paraId="2798E112">
            <w:pPr>
              <w:snapToGrid w:val="0"/>
              <w:spacing w:line="420" w:lineRule="exact"/>
              <w:ind w:left="1133" w:hanging="113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4" w:space="0"/>
            </w:tcBorders>
            <w:vAlign w:val="center"/>
          </w:tcPr>
          <w:p w14:paraId="0380CD03">
            <w:pPr>
              <w:snapToGrid w:val="0"/>
              <w:spacing w:line="420" w:lineRule="exact"/>
              <w:ind w:left="1133" w:hanging="1133"/>
              <w:rPr>
                <w:rFonts w:hint="eastAsia" w:ascii="仿宋" w:hAnsi="仿宋" w:eastAsia="仿宋" w:cs="仿宋"/>
                <w:color w:val="auto"/>
                <w:sz w:val="24"/>
                <w:szCs w:val="24"/>
                <w:highlight w:val="none"/>
              </w:rPr>
            </w:pPr>
          </w:p>
        </w:tc>
        <w:tc>
          <w:tcPr>
            <w:tcW w:w="1134" w:type="dxa"/>
            <w:tcBorders>
              <w:top w:val="single" w:color="000000" w:sz="6" w:space="0"/>
              <w:left w:val="single" w:color="000000" w:sz="4" w:space="0"/>
              <w:bottom w:val="single" w:color="000000" w:sz="6" w:space="0"/>
              <w:right w:val="single" w:color="000000" w:sz="6" w:space="0"/>
            </w:tcBorders>
            <w:vAlign w:val="center"/>
          </w:tcPr>
          <w:p w14:paraId="1856264D">
            <w:pPr>
              <w:snapToGrid w:val="0"/>
              <w:spacing w:line="420" w:lineRule="exact"/>
              <w:ind w:left="1133" w:hanging="113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35F84AE8">
            <w:pPr>
              <w:snapToGrid w:val="0"/>
              <w:spacing w:line="420" w:lineRule="exact"/>
              <w:ind w:left="1133" w:hanging="1133"/>
              <w:rPr>
                <w:rFonts w:hint="eastAsia" w:ascii="仿宋" w:hAnsi="仿宋" w:eastAsia="仿宋" w:cs="仿宋"/>
                <w:color w:val="auto"/>
                <w:sz w:val="24"/>
                <w:szCs w:val="24"/>
                <w:highlight w:val="none"/>
              </w:rPr>
            </w:pPr>
          </w:p>
        </w:tc>
        <w:tc>
          <w:tcPr>
            <w:tcW w:w="1477" w:type="dxa"/>
            <w:tcBorders>
              <w:top w:val="single" w:color="000000" w:sz="6" w:space="0"/>
              <w:left w:val="single" w:color="000000" w:sz="6" w:space="0"/>
              <w:bottom w:val="single" w:color="000000" w:sz="6" w:space="0"/>
              <w:right w:val="single" w:color="000000" w:sz="4" w:space="0"/>
            </w:tcBorders>
            <w:vAlign w:val="center"/>
          </w:tcPr>
          <w:p w14:paraId="33EC9798">
            <w:pPr>
              <w:snapToGrid w:val="0"/>
              <w:spacing w:line="420" w:lineRule="exact"/>
              <w:ind w:left="1133" w:hanging="1133"/>
              <w:rPr>
                <w:rFonts w:hint="eastAsia" w:ascii="仿宋" w:hAnsi="仿宋" w:eastAsia="仿宋" w:cs="仿宋"/>
                <w:color w:val="auto"/>
                <w:sz w:val="24"/>
                <w:szCs w:val="24"/>
                <w:highlight w:val="none"/>
              </w:rPr>
            </w:pPr>
          </w:p>
        </w:tc>
      </w:tr>
      <w:tr w14:paraId="573D1AA4">
        <w:tblPrEx>
          <w:tblCellMar>
            <w:top w:w="0" w:type="dxa"/>
            <w:left w:w="108" w:type="dxa"/>
            <w:bottom w:w="0" w:type="dxa"/>
            <w:right w:w="108" w:type="dxa"/>
          </w:tblCellMar>
        </w:tblPrEx>
        <w:trPr>
          <w:cantSplit/>
          <w:trHeight w:val="429" w:hRule="atLeast"/>
        </w:trPr>
        <w:tc>
          <w:tcPr>
            <w:tcW w:w="735" w:type="dxa"/>
            <w:tcBorders>
              <w:top w:val="single" w:color="000000" w:sz="6" w:space="0"/>
              <w:left w:val="single" w:color="000000" w:sz="6" w:space="0"/>
              <w:bottom w:val="single" w:color="000000" w:sz="6" w:space="0"/>
              <w:right w:val="single" w:color="000000" w:sz="6" w:space="0"/>
            </w:tcBorders>
            <w:vAlign w:val="center"/>
          </w:tcPr>
          <w:p w14:paraId="651D05E8">
            <w:pPr>
              <w:snapToGrid w:val="0"/>
              <w:spacing w:line="420" w:lineRule="exact"/>
              <w:ind w:left="1133" w:hanging="11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26" w:type="dxa"/>
            <w:tcBorders>
              <w:top w:val="single" w:color="000000" w:sz="6" w:space="0"/>
              <w:left w:val="single" w:color="000000" w:sz="6" w:space="0"/>
              <w:bottom w:val="single" w:color="000000" w:sz="6" w:space="0"/>
              <w:right w:val="single" w:color="000000" w:sz="6" w:space="0"/>
            </w:tcBorders>
            <w:vAlign w:val="center"/>
          </w:tcPr>
          <w:p w14:paraId="5F681F1C">
            <w:pPr>
              <w:snapToGrid w:val="0"/>
              <w:spacing w:line="420" w:lineRule="exact"/>
              <w:ind w:left="1133" w:hanging="1133"/>
              <w:rPr>
                <w:rFonts w:hint="eastAsia" w:ascii="仿宋" w:hAnsi="仿宋" w:eastAsia="仿宋" w:cs="仿宋"/>
                <w:color w:val="auto"/>
                <w:sz w:val="24"/>
                <w:szCs w:val="24"/>
                <w:highlight w:val="none"/>
              </w:rPr>
            </w:pPr>
          </w:p>
        </w:tc>
        <w:tc>
          <w:tcPr>
            <w:tcW w:w="1843" w:type="dxa"/>
            <w:tcBorders>
              <w:top w:val="single" w:color="000000" w:sz="4" w:space="0"/>
              <w:left w:val="single" w:color="000000" w:sz="6" w:space="0"/>
              <w:bottom w:val="single" w:color="000000" w:sz="6" w:space="0"/>
              <w:right w:val="single" w:color="000000" w:sz="6" w:space="0"/>
            </w:tcBorders>
            <w:vAlign w:val="center"/>
          </w:tcPr>
          <w:p w14:paraId="2347298E">
            <w:pPr>
              <w:snapToGrid w:val="0"/>
              <w:spacing w:line="420" w:lineRule="exact"/>
              <w:ind w:left="1133" w:hanging="113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4" w:space="0"/>
            </w:tcBorders>
            <w:vAlign w:val="center"/>
          </w:tcPr>
          <w:p w14:paraId="3DDA19C6">
            <w:pPr>
              <w:snapToGrid w:val="0"/>
              <w:spacing w:line="420" w:lineRule="exact"/>
              <w:ind w:left="1133" w:hanging="1133"/>
              <w:rPr>
                <w:rFonts w:hint="eastAsia" w:ascii="仿宋" w:hAnsi="仿宋" w:eastAsia="仿宋" w:cs="仿宋"/>
                <w:color w:val="auto"/>
                <w:sz w:val="24"/>
                <w:szCs w:val="24"/>
                <w:highlight w:val="none"/>
              </w:rPr>
            </w:pPr>
          </w:p>
        </w:tc>
        <w:tc>
          <w:tcPr>
            <w:tcW w:w="1134" w:type="dxa"/>
            <w:tcBorders>
              <w:top w:val="single" w:color="000000" w:sz="6" w:space="0"/>
              <w:left w:val="single" w:color="000000" w:sz="4" w:space="0"/>
              <w:bottom w:val="single" w:color="000000" w:sz="6" w:space="0"/>
              <w:right w:val="single" w:color="000000" w:sz="6" w:space="0"/>
            </w:tcBorders>
            <w:vAlign w:val="center"/>
          </w:tcPr>
          <w:p w14:paraId="4B9D9C12">
            <w:pPr>
              <w:snapToGrid w:val="0"/>
              <w:spacing w:line="420" w:lineRule="exact"/>
              <w:ind w:left="1133" w:hanging="113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75D4082C">
            <w:pPr>
              <w:snapToGrid w:val="0"/>
              <w:spacing w:line="420" w:lineRule="exact"/>
              <w:ind w:left="1133" w:hanging="1133"/>
              <w:rPr>
                <w:rFonts w:hint="eastAsia" w:ascii="仿宋" w:hAnsi="仿宋" w:eastAsia="仿宋" w:cs="仿宋"/>
                <w:color w:val="auto"/>
                <w:sz w:val="24"/>
                <w:szCs w:val="24"/>
                <w:highlight w:val="none"/>
              </w:rPr>
            </w:pPr>
          </w:p>
        </w:tc>
        <w:tc>
          <w:tcPr>
            <w:tcW w:w="1477" w:type="dxa"/>
            <w:tcBorders>
              <w:top w:val="single" w:color="000000" w:sz="6" w:space="0"/>
              <w:left w:val="single" w:color="000000" w:sz="6" w:space="0"/>
              <w:bottom w:val="single" w:color="000000" w:sz="6" w:space="0"/>
              <w:right w:val="single" w:color="000000" w:sz="4" w:space="0"/>
            </w:tcBorders>
            <w:vAlign w:val="center"/>
          </w:tcPr>
          <w:p w14:paraId="540C35BA">
            <w:pPr>
              <w:snapToGrid w:val="0"/>
              <w:spacing w:line="420" w:lineRule="exact"/>
              <w:ind w:left="1133" w:hanging="1133"/>
              <w:rPr>
                <w:rFonts w:hint="eastAsia" w:ascii="仿宋" w:hAnsi="仿宋" w:eastAsia="仿宋" w:cs="仿宋"/>
                <w:color w:val="auto"/>
                <w:sz w:val="24"/>
                <w:szCs w:val="24"/>
                <w:highlight w:val="none"/>
              </w:rPr>
            </w:pPr>
          </w:p>
        </w:tc>
      </w:tr>
      <w:tr w14:paraId="3B64A192">
        <w:tblPrEx>
          <w:tblCellMar>
            <w:top w:w="0" w:type="dxa"/>
            <w:left w:w="108" w:type="dxa"/>
            <w:bottom w:w="0" w:type="dxa"/>
            <w:right w:w="108" w:type="dxa"/>
          </w:tblCellMar>
        </w:tblPrEx>
        <w:trPr>
          <w:cantSplit/>
          <w:trHeight w:val="429" w:hRule="atLeast"/>
        </w:trPr>
        <w:tc>
          <w:tcPr>
            <w:tcW w:w="735" w:type="dxa"/>
            <w:tcBorders>
              <w:top w:val="single" w:color="000000" w:sz="6" w:space="0"/>
              <w:left w:val="single" w:color="000000" w:sz="6" w:space="0"/>
              <w:bottom w:val="single" w:color="000000" w:sz="6" w:space="0"/>
              <w:right w:val="single" w:color="000000" w:sz="6" w:space="0"/>
            </w:tcBorders>
            <w:vAlign w:val="center"/>
          </w:tcPr>
          <w:p w14:paraId="47A580A2">
            <w:pPr>
              <w:snapToGrid w:val="0"/>
              <w:spacing w:line="420" w:lineRule="exact"/>
              <w:ind w:left="1133" w:hanging="11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126" w:type="dxa"/>
            <w:tcBorders>
              <w:top w:val="single" w:color="000000" w:sz="6" w:space="0"/>
              <w:left w:val="single" w:color="000000" w:sz="6" w:space="0"/>
              <w:bottom w:val="single" w:color="000000" w:sz="6" w:space="0"/>
              <w:right w:val="single" w:color="000000" w:sz="6" w:space="0"/>
            </w:tcBorders>
            <w:vAlign w:val="center"/>
          </w:tcPr>
          <w:p w14:paraId="514351CC">
            <w:pPr>
              <w:snapToGrid w:val="0"/>
              <w:spacing w:line="420" w:lineRule="exact"/>
              <w:ind w:left="1133" w:hanging="11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843" w:type="dxa"/>
            <w:tcBorders>
              <w:top w:val="single" w:color="000000" w:sz="6" w:space="0"/>
              <w:left w:val="single" w:color="000000" w:sz="6" w:space="0"/>
              <w:bottom w:val="single" w:color="000000" w:sz="6" w:space="0"/>
              <w:right w:val="single" w:color="000000" w:sz="6" w:space="0"/>
            </w:tcBorders>
            <w:vAlign w:val="center"/>
          </w:tcPr>
          <w:p w14:paraId="033A0C2D">
            <w:pPr>
              <w:snapToGrid w:val="0"/>
              <w:spacing w:line="420" w:lineRule="exact"/>
              <w:ind w:left="1133" w:hanging="113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4" w:space="0"/>
            </w:tcBorders>
            <w:vAlign w:val="center"/>
          </w:tcPr>
          <w:p w14:paraId="514B951C">
            <w:pPr>
              <w:snapToGrid w:val="0"/>
              <w:spacing w:line="420" w:lineRule="exact"/>
              <w:ind w:left="1133" w:hanging="1133"/>
              <w:rPr>
                <w:rFonts w:hint="eastAsia" w:ascii="仿宋" w:hAnsi="仿宋" w:eastAsia="仿宋" w:cs="仿宋"/>
                <w:color w:val="auto"/>
                <w:sz w:val="24"/>
                <w:szCs w:val="24"/>
                <w:highlight w:val="none"/>
              </w:rPr>
            </w:pPr>
          </w:p>
        </w:tc>
        <w:tc>
          <w:tcPr>
            <w:tcW w:w="1134" w:type="dxa"/>
            <w:tcBorders>
              <w:top w:val="single" w:color="000000" w:sz="6" w:space="0"/>
              <w:left w:val="single" w:color="000000" w:sz="4" w:space="0"/>
              <w:bottom w:val="single" w:color="000000" w:sz="6" w:space="0"/>
              <w:right w:val="single" w:color="000000" w:sz="6" w:space="0"/>
            </w:tcBorders>
            <w:vAlign w:val="center"/>
          </w:tcPr>
          <w:p w14:paraId="3D4F4DC3">
            <w:pPr>
              <w:snapToGrid w:val="0"/>
              <w:spacing w:line="420" w:lineRule="exact"/>
              <w:ind w:left="1133" w:hanging="113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3B67FC68">
            <w:pPr>
              <w:snapToGrid w:val="0"/>
              <w:spacing w:line="420" w:lineRule="exact"/>
              <w:ind w:left="1133" w:hanging="1133"/>
              <w:rPr>
                <w:rFonts w:hint="eastAsia" w:ascii="仿宋" w:hAnsi="仿宋" w:eastAsia="仿宋" w:cs="仿宋"/>
                <w:color w:val="auto"/>
                <w:sz w:val="24"/>
                <w:szCs w:val="24"/>
                <w:highlight w:val="none"/>
              </w:rPr>
            </w:pPr>
          </w:p>
        </w:tc>
        <w:tc>
          <w:tcPr>
            <w:tcW w:w="1477" w:type="dxa"/>
            <w:tcBorders>
              <w:top w:val="single" w:color="000000" w:sz="6" w:space="0"/>
              <w:left w:val="single" w:color="000000" w:sz="6" w:space="0"/>
              <w:bottom w:val="single" w:color="000000" w:sz="6" w:space="0"/>
              <w:right w:val="single" w:color="000000" w:sz="4" w:space="0"/>
            </w:tcBorders>
            <w:vAlign w:val="center"/>
          </w:tcPr>
          <w:p w14:paraId="16F22BA8">
            <w:pPr>
              <w:snapToGrid w:val="0"/>
              <w:spacing w:line="420" w:lineRule="exact"/>
              <w:ind w:left="1133" w:hanging="1133"/>
              <w:rPr>
                <w:rFonts w:hint="eastAsia" w:ascii="仿宋" w:hAnsi="仿宋" w:eastAsia="仿宋" w:cs="仿宋"/>
                <w:color w:val="auto"/>
                <w:sz w:val="24"/>
                <w:szCs w:val="24"/>
                <w:highlight w:val="none"/>
              </w:rPr>
            </w:pPr>
          </w:p>
        </w:tc>
      </w:tr>
      <w:tr w14:paraId="44EA9AA2">
        <w:tblPrEx>
          <w:tblCellMar>
            <w:top w:w="0" w:type="dxa"/>
            <w:left w:w="108" w:type="dxa"/>
            <w:bottom w:w="0" w:type="dxa"/>
            <w:right w:w="108" w:type="dxa"/>
          </w:tblCellMar>
        </w:tblPrEx>
        <w:trPr>
          <w:cantSplit/>
          <w:trHeight w:val="429" w:hRule="atLeast"/>
        </w:trPr>
        <w:tc>
          <w:tcPr>
            <w:tcW w:w="735" w:type="dxa"/>
            <w:tcBorders>
              <w:top w:val="single" w:color="000000" w:sz="6" w:space="0"/>
              <w:left w:val="single" w:color="000000" w:sz="6" w:space="0"/>
              <w:bottom w:val="single" w:color="000000" w:sz="6" w:space="0"/>
              <w:right w:val="single" w:color="000000" w:sz="6" w:space="0"/>
            </w:tcBorders>
            <w:vAlign w:val="center"/>
          </w:tcPr>
          <w:p w14:paraId="338A9DDD">
            <w:pPr>
              <w:snapToGrid w:val="0"/>
              <w:spacing w:line="420" w:lineRule="exact"/>
              <w:ind w:left="1133" w:hanging="11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8848" w:type="dxa"/>
            <w:gridSpan w:val="6"/>
            <w:tcBorders>
              <w:top w:val="single" w:color="000000" w:sz="6" w:space="0"/>
              <w:left w:val="single" w:color="000000" w:sz="6" w:space="0"/>
              <w:bottom w:val="single" w:color="000000" w:sz="6" w:space="0"/>
              <w:right w:val="single" w:color="000000" w:sz="4" w:space="0"/>
            </w:tcBorders>
            <w:vAlign w:val="center"/>
          </w:tcPr>
          <w:p w14:paraId="5709147A">
            <w:pPr>
              <w:snapToGrid w:val="0"/>
              <w:spacing w:line="420" w:lineRule="exact"/>
              <w:ind w:left="1133" w:hanging="11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金额（小写）元</w:t>
            </w:r>
          </w:p>
        </w:tc>
      </w:tr>
    </w:tbl>
    <w:p w14:paraId="463C438F">
      <w:pPr>
        <w:kinsoku w:val="0"/>
        <w:snapToGrid w:val="0"/>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（供应商）法定代表人或被委托受权人（签字或盖章）：</w:t>
      </w:r>
    </w:p>
    <w:p w14:paraId="0171EFEF">
      <w:pPr>
        <w:kinsoku w:val="0"/>
        <w:snapToGrid w:val="0"/>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（法人、其他组织须加盖公章，自然人须签名并按手印）：</w:t>
      </w:r>
    </w:p>
    <w:p w14:paraId="37FD8443">
      <w:pPr>
        <w:kinsoku w:val="0"/>
        <w:snapToGrid w:val="0"/>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2024年月日</w:t>
      </w:r>
    </w:p>
    <w:p w14:paraId="00C41158">
      <w:pPr>
        <w:snapToGrid w:val="0"/>
        <w:spacing w:line="420" w:lineRule="exact"/>
        <w:ind w:firstLine="424"/>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eastAsia="zh-CN"/>
        </w:rPr>
        <w:t>（2）绿色采购的产品认证证明材料</w:t>
      </w:r>
    </w:p>
    <w:p w14:paraId="7AAD9968">
      <w:pPr>
        <w:snapToGrid w:val="0"/>
        <w:spacing w:line="420" w:lineRule="exact"/>
        <w:ind w:firstLine="496"/>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（对应上表产品，逐一提供）</w:t>
      </w:r>
    </w:p>
    <w:p w14:paraId="26E669E4">
      <w:pPr>
        <w:snapToGrid w:val="0"/>
        <w:spacing w:line="420" w:lineRule="exact"/>
        <w:ind w:firstLine="496"/>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eastAsia="zh-CN"/>
        </w:rPr>
        <w:t>注：</w:t>
      </w:r>
    </w:p>
    <w:p w14:paraId="785CC672">
      <w:pPr>
        <w:snapToGrid w:val="0"/>
        <w:spacing w:line="420" w:lineRule="exact"/>
        <w:ind w:firstLine="496"/>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eastAsia="zh-CN"/>
        </w:rPr>
        <w:t>（1）本</w:t>
      </w:r>
      <w:bookmarkStart w:id="8" w:name="_Hlk69256952"/>
      <w:r>
        <w:rPr>
          <w:rFonts w:hint="eastAsia" w:ascii="仿宋" w:hAnsi="仿宋" w:eastAsia="仿宋" w:cs="仿宋"/>
          <w:b/>
          <w:color w:val="auto"/>
          <w:sz w:val="24"/>
          <w:szCs w:val="24"/>
          <w:highlight w:val="none"/>
          <w:lang w:eastAsia="zh-CN"/>
        </w:rPr>
        <w:t>“绿色采购的产品明细清单”</w:t>
      </w:r>
      <w:bookmarkEnd w:id="8"/>
      <w:r>
        <w:rPr>
          <w:rFonts w:hint="eastAsia" w:ascii="仿宋" w:hAnsi="仿宋" w:eastAsia="仿宋" w:cs="仿宋"/>
          <w:b/>
          <w:color w:val="auto"/>
          <w:sz w:val="24"/>
          <w:szCs w:val="24"/>
          <w:highlight w:val="none"/>
          <w:lang w:eastAsia="zh-CN"/>
        </w:rPr>
        <w:t>，可根据属于节能产品、环境标志产品实施品目清单范围的产品，对应本项目需求产品自行添加，并提供该产品的认证证明材料加盖公章。</w:t>
      </w:r>
    </w:p>
    <w:p w14:paraId="7327E9FD">
      <w:pPr>
        <w:snapToGrid w:val="0"/>
        <w:spacing w:line="420" w:lineRule="exact"/>
        <w:ind w:firstLine="496"/>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eastAsia="zh-CN"/>
        </w:rPr>
        <w:t>（2）如果按综合单价计算的结果与总价不一致，以单价为准，修正总价。</w:t>
      </w:r>
    </w:p>
    <w:p w14:paraId="72927F30">
      <w:pPr>
        <w:snapToGrid w:val="0"/>
        <w:spacing w:line="420" w:lineRule="exact"/>
        <w:ind w:firstLine="496"/>
        <w:rPr>
          <w:rFonts w:ascii="宋体" w:hAnsi="宋体"/>
          <w:b/>
          <w:color w:val="auto"/>
          <w:sz w:val="24"/>
          <w:highlight w:val="none"/>
          <w:lang w:eastAsia="zh-CN"/>
        </w:rPr>
      </w:pPr>
      <w:r>
        <w:rPr>
          <w:rFonts w:hint="eastAsia" w:ascii="仿宋" w:hAnsi="仿宋" w:eastAsia="仿宋" w:cs="仿宋"/>
          <w:b/>
          <w:color w:val="auto"/>
          <w:sz w:val="24"/>
          <w:szCs w:val="24"/>
          <w:highlight w:val="none"/>
          <w:lang w:eastAsia="zh-CN"/>
        </w:rPr>
        <w:t>（3）如不涉有，则无须提供“绿色采购的产品明细清单”。</w:t>
      </w:r>
    </w:p>
    <w:p w14:paraId="2126FE8F">
      <w:pPr>
        <w:pBdr>
          <w:top w:val="none" w:color="000000" w:sz="0" w:space="0"/>
          <w:left w:val="none" w:color="000000" w:sz="0" w:space="0"/>
          <w:bottom w:val="none" w:color="000000" w:sz="0" w:space="0"/>
          <w:right w:val="none" w:color="000000" w:sz="0" w:space="0"/>
        </w:pBdr>
        <w:spacing w:after="0" w:line="360" w:lineRule="auto"/>
        <w:rPr>
          <w:rFonts w:hint="eastAsia" w:ascii="仿宋" w:hAnsi="仿宋" w:eastAsia="仿宋" w:cs="仿宋"/>
          <w:b/>
          <w:color w:val="auto"/>
          <w:sz w:val="24"/>
          <w:highlight w:val="none"/>
          <w:lang w:eastAsia="zh-CN"/>
        </w:rPr>
        <w:sectPr>
          <w:footerReference r:id="rId5" w:type="default"/>
          <w:pgSz w:w="11906" w:h="16838"/>
          <w:pgMar w:top="1134" w:right="850" w:bottom="1134" w:left="1701" w:header="709" w:footer="709" w:gutter="0"/>
          <w:cols w:space="708" w:num="1"/>
          <w:docGrid w:linePitch="360" w:charSpace="0"/>
        </w:sectPr>
      </w:pPr>
    </w:p>
    <w:p w14:paraId="29887FC3">
      <w:pPr>
        <w:pBdr>
          <w:top w:val="none" w:color="000000" w:sz="0" w:space="0"/>
          <w:left w:val="none" w:color="000000" w:sz="0" w:space="0"/>
          <w:bottom w:val="none" w:color="000000" w:sz="0" w:space="0"/>
          <w:right w:val="none" w:color="000000" w:sz="0" w:space="0"/>
        </w:pBdr>
        <w:spacing w:after="0" w:line="360" w:lineRule="auto"/>
        <w:rPr>
          <w:color w:val="auto"/>
          <w:highlight w:val="none"/>
          <w:lang w:eastAsia="zh-CN"/>
        </w:rPr>
      </w:pPr>
      <w:r>
        <w:rPr>
          <w:rFonts w:ascii="仿宋" w:hAnsi="仿宋" w:eastAsia="仿宋" w:cs="仿宋"/>
          <w:b/>
          <w:color w:val="auto"/>
          <w:sz w:val="24"/>
          <w:highlight w:val="none"/>
          <w:lang w:eastAsia="zh-CN"/>
        </w:rPr>
        <w:t>附件：质疑函范本</w:t>
      </w:r>
    </w:p>
    <w:p w14:paraId="72151A79">
      <w:pPr>
        <w:pBdr>
          <w:top w:val="none" w:color="000000" w:sz="0" w:space="0"/>
          <w:left w:val="none" w:color="000000" w:sz="0" w:space="0"/>
          <w:bottom w:val="none" w:color="000000" w:sz="0" w:space="0"/>
          <w:right w:val="none" w:color="000000" w:sz="0" w:space="0"/>
        </w:pBdr>
        <w:spacing w:before="312" w:after="0" w:line="360" w:lineRule="auto"/>
        <w:jc w:val="both"/>
        <w:rPr>
          <w:color w:val="auto"/>
          <w:highlight w:val="none"/>
          <w:lang w:eastAsia="zh-CN"/>
        </w:rPr>
      </w:pPr>
      <w:r>
        <w:rPr>
          <w:rFonts w:ascii="仿宋" w:hAnsi="仿宋" w:eastAsia="仿宋" w:cs="仿宋"/>
          <w:color w:val="auto"/>
          <w:sz w:val="24"/>
          <w:highlight w:val="none"/>
          <w:lang w:eastAsia="zh-CN"/>
        </w:rPr>
        <w:t>一、质疑供应商基本信息</w:t>
      </w:r>
    </w:p>
    <w:p w14:paraId="16B1916F">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质疑供应商：</w:t>
      </w:r>
    </w:p>
    <w:p w14:paraId="7B02952F">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地址：邮编：</w:t>
      </w:r>
    </w:p>
    <w:p w14:paraId="64A6FC82">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联系人：联系电话：</w:t>
      </w:r>
    </w:p>
    <w:p w14:paraId="4DECA1E9">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授权代表：</w:t>
      </w:r>
    </w:p>
    <w:p w14:paraId="6E858C5D">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联系电话：</w:t>
      </w:r>
    </w:p>
    <w:p w14:paraId="57B9A66D">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地址：邮编：</w:t>
      </w:r>
    </w:p>
    <w:p w14:paraId="599509E2">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二、质疑项目基本情况</w:t>
      </w:r>
    </w:p>
    <w:p w14:paraId="5EC11F81">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质疑项目的名称：</w:t>
      </w:r>
    </w:p>
    <w:p w14:paraId="2AAFA56B">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质疑项目的编号：包号：</w:t>
      </w:r>
    </w:p>
    <w:p w14:paraId="262BCAE0">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采购人名称：</w:t>
      </w:r>
    </w:p>
    <w:p w14:paraId="074D388D">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采购文件获取日期：</w:t>
      </w:r>
    </w:p>
    <w:p w14:paraId="1FAE9ABC">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三、质疑事项具体内容</w:t>
      </w:r>
    </w:p>
    <w:p w14:paraId="66DC9DD6">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质疑事项1：</w:t>
      </w:r>
    </w:p>
    <w:p w14:paraId="15A7310E">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事实依据：</w:t>
      </w:r>
    </w:p>
    <w:p w14:paraId="65946483">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 </w:t>
      </w:r>
    </w:p>
    <w:p w14:paraId="312DFCB5">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法律依据：</w:t>
      </w:r>
    </w:p>
    <w:p w14:paraId="3D8BA52D">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u w:val="single"/>
          <w:lang w:eastAsia="zh-CN"/>
        </w:rPr>
        <w:t> </w:t>
      </w:r>
    </w:p>
    <w:p w14:paraId="4A413C9D">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质疑事项2</w:t>
      </w:r>
    </w:p>
    <w:p w14:paraId="46D2E05A">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w:t>
      </w:r>
    </w:p>
    <w:p w14:paraId="1439E3A4">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四、与质疑事项相关的质疑请求</w:t>
      </w:r>
    </w:p>
    <w:p w14:paraId="394A262F">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请求：</w:t>
      </w:r>
    </w:p>
    <w:p w14:paraId="31C036E3">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 xml:space="preserve">签字(签章)：                   公章：                      </w:t>
      </w:r>
    </w:p>
    <w:p w14:paraId="6FE047EE">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 xml:space="preserve">日期：    </w:t>
      </w:r>
    </w:p>
    <w:p w14:paraId="689EEDA2">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color w:val="auto"/>
          <w:sz w:val="24"/>
          <w:highlight w:val="none"/>
          <w:lang w:eastAsia="zh-CN"/>
        </w:rPr>
        <w:t> </w:t>
      </w:r>
    </w:p>
    <w:p w14:paraId="07B559A7">
      <w:pPr>
        <w:pBdr>
          <w:top w:val="none" w:color="000000" w:sz="0" w:space="0"/>
          <w:left w:val="none" w:color="000000" w:sz="0" w:space="0"/>
          <w:bottom w:val="none" w:color="000000" w:sz="0" w:space="0"/>
          <w:right w:val="none" w:color="000000" w:sz="0" w:space="0"/>
        </w:pBdr>
        <w:spacing w:after="0"/>
        <w:ind w:firstLine="480"/>
        <w:jc w:val="both"/>
        <w:rPr>
          <w:color w:val="auto"/>
          <w:highlight w:val="none"/>
          <w:lang w:eastAsia="zh-CN"/>
        </w:rPr>
      </w:pPr>
      <w:r>
        <w:rPr>
          <w:rFonts w:ascii="仿宋" w:hAnsi="仿宋" w:eastAsia="仿宋" w:cs="仿宋"/>
          <w:color w:val="auto"/>
          <w:sz w:val="24"/>
          <w:highlight w:val="none"/>
          <w:lang w:eastAsia="zh-CN"/>
        </w:rPr>
        <w:t> </w:t>
      </w:r>
    </w:p>
    <w:p w14:paraId="79612400">
      <w:pPr>
        <w:pBdr>
          <w:top w:val="none" w:color="000000" w:sz="0" w:space="0"/>
          <w:left w:val="none" w:color="000000" w:sz="0" w:space="0"/>
          <w:bottom w:val="none" w:color="000000" w:sz="0" w:space="0"/>
          <w:right w:val="none" w:color="000000" w:sz="0" w:space="0"/>
        </w:pBdr>
        <w:spacing w:after="0"/>
        <w:ind w:firstLine="480"/>
        <w:jc w:val="both"/>
        <w:rPr>
          <w:color w:val="auto"/>
          <w:highlight w:val="none"/>
          <w:lang w:eastAsia="zh-CN"/>
        </w:rPr>
      </w:pPr>
      <w:r>
        <w:rPr>
          <w:rFonts w:ascii="仿宋" w:hAnsi="仿宋" w:eastAsia="仿宋" w:cs="仿宋"/>
          <w:color w:val="auto"/>
          <w:sz w:val="24"/>
          <w:highlight w:val="none"/>
          <w:lang w:eastAsia="zh-CN"/>
        </w:rPr>
        <w:t> </w:t>
      </w:r>
    </w:p>
    <w:p w14:paraId="64B4499A">
      <w:pPr>
        <w:pBdr>
          <w:top w:val="none" w:color="000000" w:sz="0" w:space="0"/>
          <w:left w:val="none" w:color="000000" w:sz="0" w:space="0"/>
          <w:bottom w:val="none" w:color="000000" w:sz="0" w:space="0"/>
          <w:right w:val="none" w:color="000000" w:sz="0" w:space="0"/>
        </w:pBdr>
        <w:spacing w:after="0"/>
        <w:ind w:firstLine="480"/>
        <w:jc w:val="both"/>
        <w:rPr>
          <w:color w:val="auto"/>
          <w:highlight w:val="none"/>
          <w:lang w:eastAsia="zh-CN"/>
        </w:rPr>
      </w:pPr>
      <w:r>
        <w:rPr>
          <w:rFonts w:ascii="仿宋" w:hAnsi="仿宋" w:eastAsia="仿宋" w:cs="仿宋"/>
          <w:color w:val="auto"/>
          <w:sz w:val="24"/>
          <w:highlight w:val="none"/>
          <w:lang w:eastAsia="zh-CN"/>
        </w:rPr>
        <w:t> </w:t>
      </w:r>
    </w:p>
    <w:p w14:paraId="7443C3A8">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4"/>
          <w:highlight w:val="none"/>
          <w:lang w:eastAsia="zh-CN"/>
        </w:rPr>
        <w:t> </w:t>
      </w:r>
    </w:p>
    <w:p w14:paraId="58D465F8">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Times New Roman" w:hAnsi="Times New Roman" w:eastAsia="Times New Roman" w:cs="Times New Roman"/>
          <w:color w:val="auto"/>
          <w:highlight w:val="none"/>
          <w:lang w:eastAsia="zh-CN"/>
        </w:rPr>
        <w:t> </w:t>
      </w:r>
    </w:p>
    <w:p w14:paraId="24D91D5E">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b/>
          <w:color w:val="auto"/>
          <w:sz w:val="24"/>
          <w:highlight w:val="none"/>
          <w:lang w:eastAsia="zh-CN"/>
        </w:rPr>
        <w:t> </w:t>
      </w:r>
    </w:p>
    <w:p w14:paraId="1C9A7E40">
      <w:pPr>
        <w:pBdr>
          <w:top w:val="none" w:color="000000" w:sz="0" w:space="0"/>
          <w:left w:val="none" w:color="000000" w:sz="0" w:space="0"/>
          <w:bottom w:val="none" w:color="000000" w:sz="0" w:space="0"/>
          <w:right w:val="none" w:color="000000" w:sz="0" w:space="0"/>
        </w:pBdr>
        <w:spacing w:after="0" w:line="360" w:lineRule="auto"/>
        <w:jc w:val="both"/>
        <w:rPr>
          <w:color w:val="auto"/>
          <w:highlight w:val="none"/>
          <w:lang w:eastAsia="zh-CN"/>
        </w:rPr>
      </w:pPr>
      <w:r>
        <w:rPr>
          <w:rFonts w:ascii="仿宋" w:hAnsi="仿宋" w:eastAsia="仿宋" w:cs="仿宋"/>
          <w:b/>
          <w:color w:val="auto"/>
          <w:sz w:val="24"/>
          <w:highlight w:val="none"/>
          <w:lang w:eastAsia="zh-CN"/>
        </w:rPr>
        <w:t>质疑函制作说明：</w:t>
      </w:r>
    </w:p>
    <w:p w14:paraId="6DB44E28">
      <w:pPr>
        <w:pBdr>
          <w:top w:val="none" w:color="000000" w:sz="0" w:space="0"/>
          <w:left w:val="none" w:color="000000" w:sz="0" w:space="0"/>
          <w:bottom w:val="none" w:color="000000" w:sz="0" w:space="0"/>
          <w:right w:val="none" w:color="000000" w:sz="0" w:space="0"/>
        </w:pBdr>
        <w:spacing w:after="0" w:line="360" w:lineRule="auto"/>
        <w:ind w:firstLine="480"/>
        <w:jc w:val="both"/>
        <w:rPr>
          <w:color w:val="auto"/>
          <w:highlight w:val="none"/>
          <w:lang w:eastAsia="zh-CN"/>
        </w:rPr>
      </w:pPr>
      <w:r>
        <w:rPr>
          <w:rFonts w:ascii="仿宋" w:hAnsi="仿宋" w:eastAsia="仿宋" w:cs="仿宋"/>
          <w:color w:val="auto"/>
          <w:sz w:val="24"/>
          <w:highlight w:val="none"/>
          <w:lang w:eastAsia="zh-CN"/>
        </w:rPr>
        <w:t>1.供应商提出质疑时，应提交质疑函和必要的证明材料。</w:t>
      </w:r>
    </w:p>
    <w:p w14:paraId="64564519">
      <w:pPr>
        <w:pBdr>
          <w:top w:val="none" w:color="000000" w:sz="0" w:space="0"/>
          <w:left w:val="none" w:color="000000" w:sz="0" w:space="0"/>
          <w:bottom w:val="none" w:color="000000" w:sz="0" w:space="0"/>
          <w:right w:val="none" w:color="000000" w:sz="0" w:space="0"/>
        </w:pBdr>
        <w:spacing w:after="0" w:line="360" w:lineRule="auto"/>
        <w:ind w:firstLine="480"/>
        <w:jc w:val="both"/>
        <w:rPr>
          <w:color w:val="auto"/>
          <w:highlight w:val="none"/>
          <w:lang w:eastAsia="zh-CN"/>
        </w:rPr>
      </w:pPr>
      <w:r>
        <w:rPr>
          <w:rFonts w:ascii="仿宋" w:hAnsi="仿宋" w:eastAsia="仿宋" w:cs="仿宋"/>
          <w:color w:val="auto"/>
          <w:sz w:val="24"/>
          <w:highlight w:val="none"/>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AB6D70E">
      <w:pPr>
        <w:pBdr>
          <w:top w:val="none" w:color="000000" w:sz="0" w:space="0"/>
          <w:left w:val="none" w:color="000000" w:sz="0" w:space="0"/>
          <w:bottom w:val="none" w:color="000000" w:sz="0" w:space="0"/>
          <w:right w:val="none" w:color="000000" w:sz="0" w:space="0"/>
        </w:pBdr>
        <w:spacing w:after="0" w:line="360" w:lineRule="auto"/>
        <w:ind w:firstLine="480"/>
        <w:jc w:val="both"/>
        <w:rPr>
          <w:color w:val="auto"/>
          <w:highlight w:val="none"/>
          <w:lang w:eastAsia="zh-CN"/>
        </w:rPr>
      </w:pPr>
      <w:r>
        <w:rPr>
          <w:rFonts w:ascii="仿宋" w:hAnsi="仿宋" w:eastAsia="仿宋" w:cs="仿宋"/>
          <w:color w:val="auto"/>
          <w:sz w:val="24"/>
          <w:highlight w:val="none"/>
          <w:lang w:eastAsia="zh-CN"/>
        </w:rPr>
        <w:t>3.质疑供应商若对项目的某一分包进行质疑，质疑函中应列明具体分包号。</w:t>
      </w:r>
    </w:p>
    <w:p w14:paraId="776D486B">
      <w:pPr>
        <w:pBdr>
          <w:top w:val="none" w:color="000000" w:sz="0" w:space="0"/>
          <w:left w:val="none" w:color="000000" w:sz="0" w:space="0"/>
          <w:bottom w:val="none" w:color="000000" w:sz="0" w:space="0"/>
          <w:right w:val="none" w:color="000000" w:sz="0" w:space="0"/>
        </w:pBdr>
        <w:spacing w:after="0" w:line="360" w:lineRule="auto"/>
        <w:ind w:firstLine="480"/>
        <w:jc w:val="both"/>
        <w:rPr>
          <w:color w:val="auto"/>
          <w:highlight w:val="none"/>
          <w:lang w:eastAsia="zh-CN"/>
        </w:rPr>
      </w:pPr>
      <w:r>
        <w:rPr>
          <w:rFonts w:ascii="仿宋" w:hAnsi="仿宋" w:eastAsia="仿宋" w:cs="仿宋"/>
          <w:color w:val="auto"/>
          <w:sz w:val="24"/>
          <w:highlight w:val="none"/>
          <w:lang w:eastAsia="zh-CN"/>
        </w:rPr>
        <w:t>4.质疑函的质疑事项应具体、明确，并有必要的事实依据和法律依据。</w:t>
      </w:r>
    </w:p>
    <w:p w14:paraId="47726053">
      <w:pPr>
        <w:pBdr>
          <w:top w:val="none" w:color="000000" w:sz="0" w:space="0"/>
          <w:left w:val="none" w:color="000000" w:sz="0" w:space="0"/>
          <w:bottom w:val="none" w:color="000000" w:sz="0" w:space="0"/>
          <w:right w:val="none" w:color="000000" w:sz="0" w:space="0"/>
        </w:pBdr>
        <w:spacing w:after="0" w:line="360" w:lineRule="auto"/>
        <w:ind w:firstLine="480"/>
        <w:jc w:val="both"/>
        <w:rPr>
          <w:color w:val="auto"/>
          <w:highlight w:val="none"/>
          <w:lang w:eastAsia="zh-CN"/>
        </w:rPr>
      </w:pPr>
      <w:r>
        <w:rPr>
          <w:rFonts w:ascii="仿宋" w:hAnsi="仿宋" w:eastAsia="仿宋" w:cs="仿宋"/>
          <w:color w:val="auto"/>
          <w:sz w:val="24"/>
          <w:highlight w:val="none"/>
          <w:lang w:eastAsia="zh-CN"/>
        </w:rPr>
        <w:t>5.质疑函的质疑请求应与质疑事项相关。</w:t>
      </w:r>
    </w:p>
    <w:p w14:paraId="05391D78">
      <w:pPr>
        <w:pBdr>
          <w:top w:val="none" w:color="000000" w:sz="0" w:space="0"/>
          <w:left w:val="none" w:color="000000" w:sz="0" w:space="0"/>
          <w:bottom w:val="none" w:color="000000" w:sz="0" w:space="0"/>
          <w:right w:val="none" w:color="000000" w:sz="0" w:space="0"/>
        </w:pBdr>
        <w:spacing w:after="0" w:line="360" w:lineRule="auto"/>
        <w:ind w:firstLine="480"/>
        <w:jc w:val="both"/>
        <w:rPr>
          <w:color w:val="auto"/>
          <w:highlight w:val="none"/>
          <w:lang w:eastAsia="zh-CN"/>
        </w:rPr>
      </w:pPr>
      <w:r>
        <w:rPr>
          <w:rFonts w:ascii="仿宋" w:hAnsi="仿宋" w:eastAsia="仿宋" w:cs="仿宋"/>
          <w:color w:val="auto"/>
          <w:sz w:val="24"/>
          <w:highlight w:val="none"/>
          <w:lang w:eastAsia="zh-CN"/>
        </w:rPr>
        <w:t>6.质疑供应商为自然人的，质疑函应由本人签字；质疑供应商为法人或者其他组织的，质疑函应由法定代表人、主要负责人，或者其授权代表签字或者盖章，并加盖公章。</w:t>
      </w:r>
    </w:p>
    <w:p w14:paraId="16FD8E9B">
      <w:pPr>
        <w:pBdr>
          <w:top w:val="none" w:color="000000" w:sz="0" w:space="0"/>
          <w:left w:val="none" w:color="000000" w:sz="0" w:space="0"/>
          <w:bottom w:val="none" w:color="000000" w:sz="0" w:space="0"/>
          <w:right w:val="none" w:color="000000" w:sz="0" w:space="0"/>
        </w:pBdr>
        <w:tabs>
          <w:tab w:val="left" w:pos="1800"/>
          <w:tab w:val="left" w:pos="2160"/>
        </w:tabs>
        <w:spacing w:after="0" w:line="360" w:lineRule="auto"/>
        <w:jc w:val="both"/>
        <w:rPr>
          <w:color w:val="auto"/>
          <w:highlight w:val="none"/>
          <w:lang w:eastAsia="zh-CN"/>
        </w:rPr>
      </w:pPr>
      <w:r>
        <w:rPr>
          <w:rFonts w:ascii="仿宋" w:hAnsi="仿宋" w:eastAsia="仿宋" w:cs="仿宋"/>
          <w:color w:val="auto"/>
          <w:sz w:val="28"/>
          <w:highlight w:val="none"/>
          <w:lang w:eastAsia="zh-CN"/>
        </w:rPr>
        <w:t> </w:t>
      </w:r>
    </w:p>
    <w:p w14:paraId="0FCB7E8B">
      <w:pPr>
        <w:pBdr>
          <w:top w:val="none" w:color="000000" w:sz="0" w:space="0"/>
          <w:left w:val="none" w:color="000000" w:sz="0" w:space="0"/>
          <w:bottom w:val="none" w:color="000000" w:sz="0" w:space="0"/>
          <w:right w:val="none" w:color="000000" w:sz="0" w:space="0"/>
        </w:pBdr>
        <w:spacing w:after="0"/>
        <w:jc w:val="both"/>
        <w:rPr>
          <w:color w:val="auto"/>
          <w:highlight w:val="none"/>
          <w:lang w:eastAsia="zh-CN"/>
        </w:rPr>
      </w:pPr>
      <w:r>
        <w:rPr>
          <w:rFonts w:ascii="仿宋" w:hAnsi="仿宋" w:eastAsia="仿宋" w:cs="仿宋"/>
          <w:color w:val="auto"/>
          <w:sz w:val="28"/>
          <w:highlight w:val="none"/>
          <w:lang w:eastAsia="zh-CN"/>
        </w:rPr>
        <w:t> </w:t>
      </w:r>
    </w:p>
    <w:p w14:paraId="5185A68F">
      <w:pPr>
        <w:pBdr>
          <w:top w:val="none" w:color="000000" w:sz="0" w:space="0"/>
          <w:left w:val="none" w:color="000000" w:sz="0" w:space="0"/>
          <w:bottom w:val="none" w:color="000000" w:sz="0" w:space="0"/>
          <w:right w:val="none" w:color="000000" w:sz="0" w:space="0"/>
        </w:pBdr>
        <w:spacing w:after="0" w:line="315" w:lineRule="atLeast"/>
        <w:ind w:right="181"/>
        <w:jc w:val="both"/>
        <w:rPr>
          <w:color w:val="auto"/>
          <w:highlight w:val="none"/>
          <w:lang w:eastAsia="zh-CN"/>
        </w:rPr>
      </w:pPr>
      <w:r>
        <w:rPr>
          <w:rFonts w:ascii="仿宋" w:hAnsi="仿宋" w:eastAsia="仿宋" w:cs="仿宋"/>
          <w:color w:val="auto"/>
          <w:highlight w:val="none"/>
          <w:lang w:eastAsia="zh-CN"/>
        </w:rPr>
        <w:t> </w:t>
      </w:r>
    </w:p>
    <w:p w14:paraId="04F27EBB">
      <w:pPr>
        <w:pBdr>
          <w:top w:val="none" w:color="000000" w:sz="0" w:space="0"/>
          <w:left w:val="none" w:color="000000" w:sz="0" w:space="0"/>
          <w:bottom w:val="none" w:color="000000" w:sz="0" w:space="0"/>
          <w:right w:val="none" w:color="000000" w:sz="0" w:space="0"/>
        </w:pBdr>
        <w:spacing w:after="0" w:line="85" w:lineRule="atLeast"/>
        <w:ind w:right="-351"/>
        <w:jc w:val="both"/>
        <w:rPr>
          <w:color w:val="auto"/>
          <w:highlight w:val="none"/>
          <w:lang w:eastAsia="zh-CN"/>
        </w:rPr>
      </w:pPr>
      <w:r>
        <w:rPr>
          <w:rFonts w:ascii="仿宋" w:hAnsi="仿宋" w:eastAsia="仿宋" w:cs="仿宋"/>
          <w:color w:val="auto"/>
          <w:highlight w:val="none"/>
          <w:lang w:eastAsia="zh-CN"/>
        </w:rPr>
        <w:t> </w:t>
      </w:r>
    </w:p>
    <w:p w14:paraId="0EDCF468">
      <w:pPr>
        <w:rPr>
          <w:color w:val="auto"/>
          <w:highlight w:val="none"/>
          <w:lang w:eastAsia="zh-CN"/>
        </w:rPr>
      </w:pPr>
    </w:p>
    <w:sectPr>
      <w:pgSz w:w="11906" w:h="16838"/>
      <w:pgMar w:top="1134" w:right="850"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A3D7">
    <w:pPr>
      <w:pStyle w:val="23"/>
      <w:jc w:val="center"/>
    </w:pPr>
    <w:r>
      <w:fldChar w:fldCharType="begin"/>
    </w:r>
    <w:r>
      <w:instrText xml:space="preserve"> PAGE   \* MERGEFORMAT </w:instrText>
    </w:r>
    <w:r>
      <w:fldChar w:fldCharType="separate"/>
    </w:r>
    <w:r>
      <w:rPr>
        <w:lang w:val="zh-CN"/>
      </w:rPr>
      <w:t>71</w:t>
    </w:r>
    <w:r>
      <w:fldChar w:fldCharType="end"/>
    </w:r>
  </w:p>
  <w:p w14:paraId="47FA9D79">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D2BFC"/>
    <w:multiLevelType w:val="singleLevel"/>
    <w:tmpl w:val="0B4D2BFC"/>
    <w:lvl w:ilvl="0" w:tentative="0">
      <w:start w:val="1"/>
      <w:numFmt w:val="decimal"/>
      <w:suff w:val="nothing"/>
      <w:lvlText w:val="%1、"/>
      <w:lvlJc w:val="left"/>
    </w:lvl>
  </w:abstractNum>
  <w:abstractNum w:abstractNumId="1">
    <w:nsid w:val="27E36C93"/>
    <w:multiLevelType w:val="singleLevel"/>
    <w:tmpl w:val="27E36C93"/>
    <w:lvl w:ilvl="0" w:tentative="0">
      <w:start w:val="2"/>
      <w:numFmt w:val="decimal"/>
      <w:suff w:val="nothing"/>
      <w:lvlText w:val="%1、"/>
      <w:lvlJc w:val="left"/>
    </w:lvl>
  </w:abstractNum>
  <w:abstractNum w:abstractNumId="2">
    <w:nsid w:val="53685704"/>
    <w:multiLevelType w:val="singleLevel"/>
    <w:tmpl w:val="53685704"/>
    <w:lvl w:ilvl="0" w:tentative="0">
      <w:start w:val="1"/>
      <w:numFmt w:val="decimal"/>
      <w:suff w:val="nothing"/>
      <w:lvlText w:val="%1、"/>
      <w:lvlJc w:val="left"/>
    </w:lvl>
  </w:abstractNum>
  <w:abstractNum w:abstractNumId="3">
    <w:nsid w:val="624331C7"/>
    <w:multiLevelType w:val="singleLevel"/>
    <w:tmpl w:val="624331C7"/>
    <w:lvl w:ilvl="0" w:tentative="0">
      <w:start w:val="6"/>
      <w:numFmt w:val="decimal"/>
      <w:suff w:val="nothing"/>
      <w:lvlText w:val="%1、"/>
      <w:lvlJc w:val="left"/>
    </w:lvl>
  </w:abstractNum>
  <w:abstractNum w:abstractNumId="4">
    <w:nsid w:val="6327CBA0"/>
    <w:multiLevelType w:val="singleLevel"/>
    <w:tmpl w:val="6327CBA0"/>
    <w:lvl w:ilvl="0" w:tentative="0">
      <w:start w:val="2"/>
      <w:numFmt w:val="decimal"/>
      <w:suff w:val="nothing"/>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mZGQ1ZjJlYTBhZWYzNTYyMmMzYTlmMzEzYjhkYjYifQ=="/>
  </w:docVars>
  <w:rsids>
    <w:rsidRoot w:val="00B5253A"/>
    <w:rsid w:val="00061261"/>
    <w:rsid w:val="000646BA"/>
    <w:rsid w:val="000B12D1"/>
    <w:rsid w:val="000C0658"/>
    <w:rsid w:val="001A5CB0"/>
    <w:rsid w:val="001B0EE0"/>
    <w:rsid w:val="00280F0A"/>
    <w:rsid w:val="002B73CD"/>
    <w:rsid w:val="002F43BD"/>
    <w:rsid w:val="004E39AB"/>
    <w:rsid w:val="006C2315"/>
    <w:rsid w:val="00740B47"/>
    <w:rsid w:val="00775F77"/>
    <w:rsid w:val="007C5329"/>
    <w:rsid w:val="00833A92"/>
    <w:rsid w:val="008D3BA0"/>
    <w:rsid w:val="00910808"/>
    <w:rsid w:val="009303EC"/>
    <w:rsid w:val="009E7BDC"/>
    <w:rsid w:val="00A2798C"/>
    <w:rsid w:val="00AE5FA4"/>
    <w:rsid w:val="00B5253A"/>
    <w:rsid w:val="00BE4204"/>
    <w:rsid w:val="00C86F2F"/>
    <w:rsid w:val="00CA7933"/>
    <w:rsid w:val="00F35821"/>
    <w:rsid w:val="00F815D6"/>
    <w:rsid w:val="01BB7F15"/>
    <w:rsid w:val="051D3863"/>
    <w:rsid w:val="076D06E2"/>
    <w:rsid w:val="07876B0C"/>
    <w:rsid w:val="09C15C02"/>
    <w:rsid w:val="09F55B85"/>
    <w:rsid w:val="0F302B5D"/>
    <w:rsid w:val="11DA1D15"/>
    <w:rsid w:val="1792046C"/>
    <w:rsid w:val="19941E83"/>
    <w:rsid w:val="1ACB4082"/>
    <w:rsid w:val="20604249"/>
    <w:rsid w:val="210B7371"/>
    <w:rsid w:val="22B35BE8"/>
    <w:rsid w:val="246555F0"/>
    <w:rsid w:val="26845E3E"/>
    <w:rsid w:val="281C4C20"/>
    <w:rsid w:val="2B743BB3"/>
    <w:rsid w:val="2E61789A"/>
    <w:rsid w:val="2EA17C2D"/>
    <w:rsid w:val="2FC35501"/>
    <w:rsid w:val="32317519"/>
    <w:rsid w:val="32842078"/>
    <w:rsid w:val="3B216204"/>
    <w:rsid w:val="3B31058A"/>
    <w:rsid w:val="3DE8251C"/>
    <w:rsid w:val="434E5A2B"/>
    <w:rsid w:val="46751F9E"/>
    <w:rsid w:val="473F5B06"/>
    <w:rsid w:val="4CFC0E00"/>
    <w:rsid w:val="4D442475"/>
    <w:rsid w:val="4E8E7561"/>
    <w:rsid w:val="50B7572A"/>
    <w:rsid w:val="543474D2"/>
    <w:rsid w:val="588F45ED"/>
    <w:rsid w:val="5CBE4915"/>
    <w:rsid w:val="5E3827EB"/>
    <w:rsid w:val="60AC4775"/>
    <w:rsid w:val="60F30988"/>
    <w:rsid w:val="61ED6709"/>
    <w:rsid w:val="642A4BFB"/>
    <w:rsid w:val="6B2A3D39"/>
    <w:rsid w:val="6DBB3B60"/>
    <w:rsid w:val="6FF32143"/>
    <w:rsid w:val="712E3316"/>
    <w:rsid w:val="716C3E32"/>
    <w:rsid w:val="727B1737"/>
    <w:rsid w:val="72C46688"/>
    <w:rsid w:val="74393A30"/>
    <w:rsid w:val="75DE296F"/>
    <w:rsid w:val="77E540FF"/>
    <w:rsid w:val="7F26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43"/>
    <w:qFormat/>
    <w:uiPriority w:val="9"/>
    <w:pPr>
      <w:keepNext/>
      <w:keepLines/>
      <w:spacing w:before="480"/>
      <w:outlineLvl w:val="0"/>
    </w:pPr>
    <w:rPr>
      <w:rFonts w:ascii="Arial" w:hAnsi="Arial" w:eastAsia="Arial" w:cs="Arial"/>
      <w:sz w:val="40"/>
      <w:szCs w:val="40"/>
    </w:rPr>
  </w:style>
  <w:style w:type="paragraph" w:styleId="3">
    <w:name w:val="heading 2"/>
    <w:basedOn w:val="1"/>
    <w:next w:val="1"/>
    <w:link w:val="44"/>
    <w:unhideWhenUsed/>
    <w:qFormat/>
    <w:uiPriority w:val="9"/>
    <w:pPr>
      <w:keepNext/>
      <w:keepLines/>
      <w:spacing w:before="360"/>
      <w:outlineLvl w:val="1"/>
    </w:pPr>
    <w:rPr>
      <w:rFonts w:ascii="Arial" w:hAnsi="Arial" w:eastAsia="Arial" w:cs="Arial"/>
      <w:sz w:val="34"/>
    </w:rPr>
  </w:style>
  <w:style w:type="paragraph" w:styleId="4">
    <w:name w:val="heading 3"/>
    <w:basedOn w:val="1"/>
    <w:next w:val="1"/>
    <w:link w:val="45"/>
    <w:unhideWhenUsed/>
    <w:qFormat/>
    <w:uiPriority w:val="9"/>
    <w:pPr>
      <w:keepNext/>
      <w:keepLines/>
      <w:spacing w:before="320"/>
      <w:outlineLvl w:val="2"/>
    </w:pPr>
    <w:rPr>
      <w:rFonts w:ascii="Arial" w:hAnsi="Arial" w:eastAsia="Arial" w:cs="Arial"/>
      <w:sz w:val="30"/>
      <w:szCs w:val="30"/>
    </w:rPr>
  </w:style>
  <w:style w:type="paragraph" w:styleId="5">
    <w:name w:val="heading 4"/>
    <w:basedOn w:val="1"/>
    <w:next w:val="1"/>
    <w:link w:val="46"/>
    <w:unhideWhenUsed/>
    <w:qFormat/>
    <w:uiPriority w:val="9"/>
    <w:pPr>
      <w:keepNext/>
      <w:keepLines/>
      <w:spacing w:before="320"/>
      <w:outlineLvl w:val="3"/>
    </w:pPr>
    <w:rPr>
      <w:rFonts w:ascii="Arial" w:hAnsi="Arial" w:eastAsia="Arial" w:cs="Arial"/>
      <w:b/>
      <w:bCs/>
      <w:sz w:val="26"/>
      <w:szCs w:val="26"/>
    </w:rPr>
  </w:style>
  <w:style w:type="paragraph" w:styleId="6">
    <w:name w:val="heading 5"/>
    <w:basedOn w:val="1"/>
    <w:next w:val="1"/>
    <w:link w:val="47"/>
    <w:unhideWhenUsed/>
    <w:qFormat/>
    <w:uiPriority w:val="9"/>
    <w:pPr>
      <w:keepNext/>
      <w:keepLines/>
      <w:spacing w:before="320"/>
      <w:outlineLvl w:val="4"/>
    </w:pPr>
    <w:rPr>
      <w:rFonts w:ascii="Arial" w:hAnsi="Arial" w:eastAsia="Arial" w:cs="Arial"/>
      <w:b/>
      <w:bCs/>
      <w:sz w:val="24"/>
      <w:szCs w:val="24"/>
    </w:rPr>
  </w:style>
  <w:style w:type="paragraph" w:styleId="7">
    <w:name w:val="heading 6"/>
    <w:basedOn w:val="1"/>
    <w:next w:val="1"/>
    <w:link w:val="48"/>
    <w:unhideWhenUsed/>
    <w:qFormat/>
    <w:uiPriority w:val="9"/>
    <w:pPr>
      <w:keepNext/>
      <w:keepLines/>
      <w:spacing w:before="320"/>
      <w:outlineLvl w:val="5"/>
    </w:pPr>
    <w:rPr>
      <w:rFonts w:ascii="Arial" w:hAnsi="Arial" w:eastAsia="Arial" w:cs="Arial"/>
      <w:b/>
      <w:bCs/>
    </w:rPr>
  </w:style>
  <w:style w:type="paragraph" w:styleId="8">
    <w:name w:val="heading 7"/>
    <w:basedOn w:val="1"/>
    <w:next w:val="1"/>
    <w:link w:val="49"/>
    <w:unhideWhenUsed/>
    <w:qFormat/>
    <w:uiPriority w:val="9"/>
    <w:pPr>
      <w:keepNext/>
      <w:keepLines/>
      <w:spacing w:before="320"/>
      <w:outlineLvl w:val="6"/>
    </w:pPr>
    <w:rPr>
      <w:rFonts w:ascii="Arial" w:hAnsi="Arial" w:eastAsia="Arial" w:cs="Arial"/>
      <w:b/>
      <w:bCs/>
      <w:i/>
      <w:iCs/>
    </w:rPr>
  </w:style>
  <w:style w:type="paragraph" w:styleId="9">
    <w:name w:val="heading 8"/>
    <w:basedOn w:val="1"/>
    <w:next w:val="1"/>
    <w:link w:val="50"/>
    <w:unhideWhenUsed/>
    <w:qFormat/>
    <w:uiPriority w:val="9"/>
    <w:pPr>
      <w:keepNext/>
      <w:keepLines/>
      <w:spacing w:before="320"/>
      <w:outlineLvl w:val="7"/>
    </w:pPr>
    <w:rPr>
      <w:rFonts w:ascii="Arial" w:hAnsi="Arial" w:eastAsia="Arial" w:cs="Arial"/>
      <w:i/>
      <w:iCs/>
    </w:rPr>
  </w:style>
  <w:style w:type="paragraph" w:styleId="10">
    <w:name w:val="heading 9"/>
    <w:basedOn w:val="1"/>
    <w:next w:val="1"/>
    <w:link w:val="51"/>
    <w:autoRedefine/>
    <w:unhideWhenUsed/>
    <w:qFormat/>
    <w:uiPriority w:val="9"/>
    <w:pPr>
      <w:keepNext/>
      <w:keepLines/>
      <w:spacing w:before="320"/>
      <w:outlineLvl w:val="8"/>
    </w:pPr>
    <w:rPr>
      <w:rFonts w:ascii="Arial" w:hAnsi="Arial" w:eastAsia="Arial" w:cs="Arial"/>
      <w:i/>
      <w:iCs/>
      <w:sz w:val="21"/>
      <w:szCs w:val="21"/>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after="57"/>
      <w:ind w:left="1701"/>
    </w:pPr>
  </w:style>
  <w:style w:type="paragraph" w:styleId="12">
    <w:name w:val="table of authorities"/>
    <w:basedOn w:val="1"/>
    <w:next w:val="1"/>
    <w:autoRedefine/>
    <w:unhideWhenUsed/>
    <w:qFormat/>
    <w:uiPriority w:val="99"/>
    <w:pPr>
      <w:ind w:left="420" w:leftChars="200"/>
    </w:pPr>
  </w:style>
  <w:style w:type="paragraph" w:styleId="13">
    <w:name w:val="Normal Indent"/>
    <w:basedOn w:val="1"/>
    <w:qFormat/>
    <w:uiPriority w:val="0"/>
    <w:pPr>
      <w:ind w:firstLine="420" w:firstLineChars="200"/>
    </w:pPr>
  </w:style>
  <w:style w:type="paragraph" w:styleId="14">
    <w:name w:val="caption"/>
    <w:basedOn w:val="1"/>
    <w:next w:val="1"/>
    <w:autoRedefine/>
    <w:semiHidden/>
    <w:unhideWhenUsed/>
    <w:qFormat/>
    <w:uiPriority w:val="35"/>
    <w:rPr>
      <w:b/>
      <w:bCs/>
      <w:color w:val="5B9BD5" w:themeColor="accent1"/>
      <w:sz w:val="18"/>
      <w:szCs w:val="18"/>
      <w14:textFill>
        <w14:solidFill>
          <w14:schemeClr w14:val="accent1"/>
        </w14:solidFill>
      </w14:textFill>
    </w:rPr>
  </w:style>
  <w:style w:type="paragraph" w:styleId="15">
    <w:name w:val="annotation text"/>
    <w:basedOn w:val="1"/>
    <w:autoRedefine/>
    <w:semiHidden/>
    <w:unhideWhenUsed/>
    <w:qFormat/>
    <w:uiPriority w:val="99"/>
  </w:style>
  <w:style w:type="paragraph" w:styleId="16">
    <w:name w:val="Body Text"/>
    <w:basedOn w:val="1"/>
    <w:next w:val="13"/>
    <w:qFormat/>
    <w:uiPriority w:val="99"/>
    <w:rPr>
      <w:rFonts w:ascii="??_GB2312" w:hAnsi="Arial"/>
      <w:sz w:val="28"/>
      <w:szCs w:val="28"/>
    </w:rPr>
  </w:style>
  <w:style w:type="paragraph" w:styleId="17">
    <w:name w:val="Body Text Indent"/>
    <w:basedOn w:val="1"/>
    <w:next w:val="18"/>
    <w:autoRedefine/>
    <w:unhideWhenUsed/>
    <w:qFormat/>
    <w:uiPriority w:val="99"/>
    <w:pPr>
      <w:spacing w:after="120"/>
      <w:ind w:left="420" w:leftChars="200"/>
    </w:pPr>
  </w:style>
  <w:style w:type="paragraph" w:styleId="18">
    <w:name w:val="envelope return"/>
    <w:basedOn w:val="1"/>
    <w:autoRedefine/>
    <w:unhideWhenUsed/>
    <w:qFormat/>
    <w:uiPriority w:val="99"/>
    <w:pPr>
      <w:snapToGrid w:val="0"/>
    </w:pPr>
    <w:rPr>
      <w:rFonts w:ascii="Arial" w:hAnsi="Arial"/>
    </w:rPr>
  </w:style>
  <w:style w:type="paragraph" w:styleId="19">
    <w:name w:val="toc 5"/>
    <w:basedOn w:val="1"/>
    <w:next w:val="1"/>
    <w:autoRedefine/>
    <w:unhideWhenUsed/>
    <w:qFormat/>
    <w:uiPriority w:val="39"/>
    <w:pPr>
      <w:spacing w:after="57"/>
      <w:ind w:left="1134"/>
    </w:pPr>
  </w:style>
  <w:style w:type="paragraph" w:styleId="20">
    <w:name w:val="toc 3"/>
    <w:basedOn w:val="1"/>
    <w:next w:val="1"/>
    <w:autoRedefine/>
    <w:unhideWhenUsed/>
    <w:qFormat/>
    <w:uiPriority w:val="39"/>
    <w:pPr>
      <w:spacing w:after="57"/>
      <w:ind w:left="567"/>
    </w:pPr>
  </w:style>
  <w:style w:type="paragraph" w:styleId="21">
    <w:name w:val="toc 8"/>
    <w:basedOn w:val="1"/>
    <w:next w:val="1"/>
    <w:autoRedefine/>
    <w:unhideWhenUsed/>
    <w:qFormat/>
    <w:uiPriority w:val="39"/>
    <w:pPr>
      <w:spacing w:after="57"/>
      <w:ind w:left="1984"/>
    </w:pPr>
  </w:style>
  <w:style w:type="paragraph" w:styleId="22">
    <w:name w:val="endnote text"/>
    <w:basedOn w:val="1"/>
    <w:link w:val="187"/>
    <w:autoRedefine/>
    <w:semiHidden/>
    <w:unhideWhenUsed/>
    <w:qFormat/>
    <w:uiPriority w:val="99"/>
    <w:pPr>
      <w:spacing w:after="0" w:line="240" w:lineRule="auto"/>
    </w:pPr>
    <w:rPr>
      <w:sz w:val="20"/>
    </w:rPr>
  </w:style>
  <w:style w:type="paragraph" w:styleId="23">
    <w:name w:val="footer"/>
    <w:basedOn w:val="1"/>
    <w:link w:val="60"/>
    <w:autoRedefine/>
    <w:unhideWhenUsed/>
    <w:qFormat/>
    <w:uiPriority w:val="99"/>
    <w:pPr>
      <w:tabs>
        <w:tab w:val="center" w:pos="7143"/>
        <w:tab w:val="right" w:pos="14287"/>
      </w:tabs>
      <w:spacing w:after="0" w:line="240" w:lineRule="auto"/>
    </w:pPr>
  </w:style>
  <w:style w:type="paragraph" w:styleId="24">
    <w:name w:val="header"/>
    <w:basedOn w:val="1"/>
    <w:link w:val="58"/>
    <w:autoRedefine/>
    <w:unhideWhenUsed/>
    <w:qFormat/>
    <w:uiPriority w:val="99"/>
    <w:pPr>
      <w:tabs>
        <w:tab w:val="center" w:pos="7143"/>
        <w:tab w:val="right" w:pos="14287"/>
      </w:tabs>
      <w:spacing w:after="0" w:line="240" w:lineRule="auto"/>
    </w:pPr>
  </w:style>
  <w:style w:type="paragraph" w:styleId="25">
    <w:name w:val="toc 1"/>
    <w:basedOn w:val="1"/>
    <w:next w:val="1"/>
    <w:autoRedefine/>
    <w:unhideWhenUsed/>
    <w:qFormat/>
    <w:uiPriority w:val="39"/>
    <w:pPr>
      <w:spacing w:after="57"/>
    </w:pPr>
  </w:style>
  <w:style w:type="paragraph" w:styleId="26">
    <w:name w:val="toc 4"/>
    <w:basedOn w:val="1"/>
    <w:next w:val="1"/>
    <w:autoRedefine/>
    <w:unhideWhenUsed/>
    <w:qFormat/>
    <w:uiPriority w:val="39"/>
    <w:pPr>
      <w:spacing w:after="57"/>
      <w:ind w:left="850"/>
    </w:pPr>
  </w:style>
  <w:style w:type="paragraph" w:styleId="27">
    <w:name w:val="Subtitle"/>
    <w:basedOn w:val="1"/>
    <w:next w:val="1"/>
    <w:link w:val="53"/>
    <w:autoRedefine/>
    <w:qFormat/>
    <w:uiPriority w:val="11"/>
    <w:pPr>
      <w:spacing w:before="200"/>
    </w:pPr>
    <w:rPr>
      <w:sz w:val="24"/>
      <w:szCs w:val="24"/>
    </w:rPr>
  </w:style>
  <w:style w:type="paragraph" w:styleId="28">
    <w:name w:val="footnote text"/>
    <w:basedOn w:val="1"/>
    <w:link w:val="186"/>
    <w:autoRedefine/>
    <w:semiHidden/>
    <w:unhideWhenUsed/>
    <w:qFormat/>
    <w:uiPriority w:val="99"/>
    <w:pPr>
      <w:spacing w:after="40" w:line="240" w:lineRule="auto"/>
    </w:pPr>
    <w:rPr>
      <w:sz w:val="18"/>
    </w:rPr>
  </w:style>
  <w:style w:type="paragraph" w:styleId="29">
    <w:name w:val="toc 6"/>
    <w:basedOn w:val="1"/>
    <w:next w:val="1"/>
    <w:autoRedefine/>
    <w:unhideWhenUsed/>
    <w:qFormat/>
    <w:uiPriority w:val="39"/>
    <w:pPr>
      <w:spacing w:after="57"/>
      <w:ind w:left="1417"/>
    </w:pPr>
  </w:style>
  <w:style w:type="paragraph" w:styleId="30">
    <w:name w:val="table of figures"/>
    <w:basedOn w:val="1"/>
    <w:next w:val="1"/>
    <w:autoRedefine/>
    <w:unhideWhenUsed/>
    <w:qFormat/>
    <w:uiPriority w:val="99"/>
    <w:pPr>
      <w:spacing w:after="0"/>
    </w:pPr>
  </w:style>
  <w:style w:type="paragraph" w:styleId="31">
    <w:name w:val="toc 2"/>
    <w:basedOn w:val="1"/>
    <w:next w:val="1"/>
    <w:autoRedefine/>
    <w:unhideWhenUsed/>
    <w:qFormat/>
    <w:uiPriority w:val="39"/>
    <w:pPr>
      <w:spacing w:after="57"/>
      <w:ind w:left="283"/>
    </w:pPr>
  </w:style>
  <w:style w:type="paragraph" w:styleId="32">
    <w:name w:val="toc 9"/>
    <w:basedOn w:val="1"/>
    <w:next w:val="1"/>
    <w:autoRedefine/>
    <w:unhideWhenUsed/>
    <w:qFormat/>
    <w:uiPriority w:val="39"/>
    <w:pPr>
      <w:spacing w:after="57"/>
      <w:ind w:left="2268"/>
    </w:pPr>
  </w:style>
  <w:style w:type="paragraph" w:styleId="33">
    <w:name w:val="Normal (Web)"/>
    <w:basedOn w:val="1"/>
    <w:autoRedefine/>
    <w:unhideWhenUsed/>
    <w:qFormat/>
    <w:uiPriority w:val="99"/>
    <w:pPr>
      <w:spacing w:before="100" w:beforeAutospacing="1" w:after="100" w:afterAutospacing="1" w:line="240" w:lineRule="auto"/>
    </w:pPr>
    <w:rPr>
      <w:rFonts w:ascii="宋体" w:hAnsi="宋体" w:eastAsia="宋体" w:cs="宋体"/>
      <w:sz w:val="24"/>
      <w:szCs w:val="24"/>
    </w:rPr>
  </w:style>
  <w:style w:type="paragraph" w:styleId="34">
    <w:name w:val="Title"/>
    <w:basedOn w:val="1"/>
    <w:next w:val="1"/>
    <w:link w:val="52"/>
    <w:autoRedefine/>
    <w:qFormat/>
    <w:uiPriority w:val="10"/>
    <w:pPr>
      <w:spacing w:before="300"/>
      <w:contextualSpacing/>
    </w:pPr>
    <w:rPr>
      <w:sz w:val="48"/>
      <w:szCs w:val="48"/>
    </w:rPr>
  </w:style>
  <w:style w:type="paragraph" w:styleId="35">
    <w:name w:val="Body Text First Indent 2"/>
    <w:basedOn w:val="17"/>
    <w:next w:val="1"/>
    <w:autoRedefine/>
    <w:unhideWhenUsed/>
    <w:qFormat/>
    <w:uiPriority w:val="99"/>
    <w:pPr>
      <w:spacing w:after="0" w:line="360" w:lineRule="auto"/>
      <w:ind w:left="0" w:leftChars="0" w:firstLine="420" w:firstLineChars="200"/>
    </w:pPr>
    <w:rPr>
      <w:rFonts w:ascii="宋体" w:hAnsi="宋体"/>
      <w:sz w:val="24"/>
      <w:szCs w:val="24"/>
    </w:rPr>
  </w:style>
  <w:style w:type="table" w:styleId="37">
    <w:name w:val="Table Grid"/>
    <w:basedOn w:val="3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autoRedefine/>
    <w:semiHidden/>
    <w:unhideWhenUsed/>
    <w:qFormat/>
    <w:uiPriority w:val="99"/>
    <w:rPr>
      <w:vertAlign w:val="superscript"/>
    </w:rPr>
  </w:style>
  <w:style w:type="character" w:styleId="40">
    <w:name w:val="Hyperlink"/>
    <w:autoRedefine/>
    <w:unhideWhenUsed/>
    <w:qFormat/>
    <w:uiPriority w:val="99"/>
    <w:rPr>
      <w:color w:val="0563C1" w:themeColor="hyperlink"/>
      <w:u w:val="single"/>
      <w14:textFill>
        <w14:solidFill>
          <w14:schemeClr w14:val="hlink"/>
        </w14:solidFill>
      </w14:textFill>
    </w:rPr>
  </w:style>
  <w:style w:type="character" w:styleId="41">
    <w:name w:val="annotation reference"/>
    <w:basedOn w:val="38"/>
    <w:semiHidden/>
    <w:unhideWhenUsed/>
    <w:qFormat/>
    <w:uiPriority w:val="99"/>
    <w:rPr>
      <w:sz w:val="21"/>
      <w:szCs w:val="21"/>
    </w:rPr>
  </w:style>
  <w:style w:type="character" w:styleId="42">
    <w:name w:val="footnote reference"/>
    <w:autoRedefine/>
    <w:unhideWhenUsed/>
    <w:qFormat/>
    <w:uiPriority w:val="99"/>
    <w:rPr>
      <w:vertAlign w:val="superscript"/>
    </w:rPr>
  </w:style>
  <w:style w:type="character" w:customStyle="1" w:styleId="43">
    <w:name w:val="标题 1 字符"/>
    <w:link w:val="2"/>
    <w:autoRedefine/>
    <w:qFormat/>
    <w:uiPriority w:val="9"/>
    <w:rPr>
      <w:rFonts w:ascii="Arial" w:hAnsi="Arial" w:eastAsia="Arial" w:cs="Arial"/>
      <w:sz w:val="40"/>
      <w:szCs w:val="40"/>
    </w:rPr>
  </w:style>
  <w:style w:type="character" w:customStyle="1" w:styleId="44">
    <w:name w:val="标题 2 字符"/>
    <w:link w:val="3"/>
    <w:autoRedefine/>
    <w:qFormat/>
    <w:uiPriority w:val="9"/>
    <w:rPr>
      <w:rFonts w:ascii="Arial" w:hAnsi="Arial" w:eastAsia="Arial" w:cs="Arial"/>
      <w:sz w:val="34"/>
    </w:rPr>
  </w:style>
  <w:style w:type="character" w:customStyle="1" w:styleId="45">
    <w:name w:val="标题 3 字符"/>
    <w:link w:val="4"/>
    <w:autoRedefine/>
    <w:qFormat/>
    <w:uiPriority w:val="9"/>
    <w:rPr>
      <w:rFonts w:ascii="Arial" w:hAnsi="Arial" w:eastAsia="Arial" w:cs="Arial"/>
      <w:sz w:val="30"/>
      <w:szCs w:val="30"/>
    </w:rPr>
  </w:style>
  <w:style w:type="character" w:customStyle="1" w:styleId="46">
    <w:name w:val="标题 4 字符"/>
    <w:link w:val="5"/>
    <w:autoRedefine/>
    <w:qFormat/>
    <w:uiPriority w:val="9"/>
    <w:rPr>
      <w:rFonts w:ascii="Arial" w:hAnsi="Arial" w:eastAsia="Arial" w:cs="Arial"/>
      <w:b/>
      <w:bCs/>
      <w:sz w:val="26"/>
      <w:szCs w:val="26"/>
    </w:rPr>
  </w:style>
  <w:style w:type="character" w:customStyle="1" w:styleId="47">
    <w:name w:val="标题 5 字符"/>
    <w:link w:val="6"/>
    <w:autoRedefine/>
    <w:qFormat/>
    <w:uiPriority w:val="9"/>
    <w:rPr>
      <w:rFonts w:ascii="Arial" w:hAnsi="Arial" w:eastAsia="Arial" w:cs="Arial"/>
      <w:b/>
      <w:bCs/>
      <w:sz w:val="24"/>
      <w:szCs w:val="24"/>
    </w:rPr>
  </w:style>
  <w:style w:type="character" w:customStyle="1" w:styleId="48">
    <w:name w:val="标题 6 字符"/>
    <w:link w:val="7"/>
    <w:autoRedefine/>
    <w:qFormat/>
    <w:uiPriority w:val="9"/>
    <w:rPr>
      <w:rFonts w:ascii="Arial" w:hAnsi="Arial" w:eastAsia="Arial" w:cs="Arial"/>
      <w:b/>
      <w:bCs/>
      <w:sz w:val="22"/>
      <w:szCs w:val="22"/>
    </w:rPr>
  </w:style>
  <w:style w:type="character" w:customStyle="1" w:styleId="49">
    <w:name w:val="标题 7 字符"/>
    <w:link w:val="8"/>
    <w:autoRedefine/>
    <w:qFormat/>
    <w:uiPriority w:val="9"/>
    <w:rPr>
      <w:rFonts w:ascii="Arial" w:hAnsi="Arial" w:eastAsia="Arial" w:cs="Arial"/>
      <w:b/>
      <w:bCs/>
      <w:i/>
      <w:iCs/>
      <w:sz w:val="22"/>
      <w:szCs w:val="22"/>
    </w:rPr>
  </w:style>
  <w:style w:type="character" w:customStyle="1" w:styleId="50">
    <w:name w:val="标题 8 字符"/>
    <w:link w:val="9"/>
    <w:autoRedefine/>
    <w:qFormat/>
    <w:uiPriority w:val="9"/>
    <w:rPr>
      <w:rFonts w:ascii="Arial" w:hAnsi="Arial" w:eastAsia="Arial" w:cs="Arial"/>
      <w:i/>
      <w:iCs/>
      <w:sz w:val="22"/>
      <w:szCs w:val="22"/>
    </w:rPr>
  </w:style>
  <w:style w:type="character" w:customStyle="1" w:styleId="51">
    <w:name w:val="标题 9 字符"/>
    <w:link w:val="10"/>
    <w:autoRedefine/>
    <w:qFormat/>
    <w:uiPriority w:val="9"/>
    <w:rPr>
      <w:rFonts w:ascii="Arial" w:hAnsi="Arial" w:eastAsia="Arial" w:cs="Arial"/>
      <w:i/>
      <w:iCs/>
      <w:sz w:val="21"/>
      <w:szCs w:val="21"/>
    </w:rPr>
  </w:style>
  <w:style w:type="character" w:customStyle="1" w:styleId="52">
    <w:name w:val="标题 字符"/>
    <w:link w:val="34"/>
    <w:autoRedefine/>
    <w:qFormat/>
    <w:uiPriority w:val="10"/>
    <w:rPr>
      <w:sz w:val="48"/>
      <w:szCs w:val="48"/>
    </w:rPr>
  </w:style>
  <w:style w:type="character" w:customStyle="1" w:styleId="53">
    <w:name w:val="副标题 字符"/>
    <w:link w:val="27"/>
    <w:autoRedefine/>
    <w:qFormat/>
    <w:uiPriority w:val="11"/>
    <w:rPr>
      <w:sz w:val="24"/>
      <w:szCs w:val="24"/>
    </w:rPr>
  </w:style>
  <w:style w:type="paragraph" w:styleId="54">
    <w:name w:val="Quote"/>
    <w:basedOn w:val="1"/>
    <w:next w:val="1"/>
    <w:link w:val="55"/>
    <w:autoRedefine/>
    <w:qFormat/>
    <w:uiPriority w:val="29"/>
    <w:pPr>
      <w:ind w:left="720" w:right="720"/>
    </w:pPr>
    <w:rPr>
      <w:i/>
    </w:rPr>
  </w:style>
  <w:style w:type="character" w:customStyle="1" w:styleId="55">
    <w:name w:val="引用 字符"/>
    <w:link w:val="54"/>
    <w:autoRedefine/>
    <w:qFormat/>
    <w:uiPriority w:val="29"/>
    <w:rPr>
      <w:i/>
    </w:rPr>
  </w:style>
  <w:style w:type="paragraph" w:styleId="56">
    <w:name w:val="Intense Quote"/>
    <w:basedOn w:val="1"/>
    <w:next w:val="1"/>
    <w:link w:val="57"/>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7">
    <w:name w:val="明显引用 字符"/>
    <w:link w:val="56"/>
    <w:autoRedefine/>
    <w:qFormat/>
    <w:uiPriority w:val="30"/>
    <w:rPr>
      <w:i/>
    </w:rPr>
  </w:style>
  <w:style w:type="character" w:customStyle="1" w:styleId="58">
    <w:name w:val="页眉 字符"/>
    <w:link w:val="24"/>
    <w:autoRedefine/>
    <w:qFormat/>
    <w:uiPriority w:val="99"/>
  </w:style>
  <w:style w:type="character" w:customStyle="1" w:styleId="59">
    <w:name w:val="Footer Char"/>
    <w:autoRedefine/>
    <w:qFormat/>
    <w:uiPriority w:val="99"/>
  </w:style>
  <w:style w:type="character" w:customStyle="1" w:styleId="60">
    <w:name w:val="页脚 字符"/>
    <w:link w:val="23"/>
    <w:autoRedefine/>
    <w:qFormat/>
    <w:uiPriority w:val="99"/>
  </w:style>
  <w:style w:type="table" w:customStyle="1" w:styleId="61">
    <w:name w:val="Table Grid Light"/>
    <w:basedOn w:val="36"/>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62">
    <w:name w:val="无格式表格 11"/>
    <w:basedOn w:val="3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3">
    <w:name w:val="无格式表格 21"/>
    <w:basedOn w:val="36"/>
    <w:autoRedefine/>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4">
    <w:name w:val="无格式表格 31"/>
    <w:basedOn w:val="36"/>
    <w:autoRedefine/>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无格式表格 41"/>
    <w:basedOn w:val="36"/>
    <w:autoRedefine/>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无格式表格 51"/>
    <w:basedOn w:val="36"/>
    <w:autoRedefine/>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网格表 1 浅色1"/>
    <w:basedOn w:val="36"/>
    <w:autoRedefine/>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8">
    <w:name w:val="Grid Table 1 Light - Accent 1"/>
    <w:basedOn w:val="36"/>
    <w:autoRedefine/>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9">
    <w:name w:val="Grid Table 1 Light - Accent 2"/>
    <w:basedOn w:val="36"/>
    <w:autoRedefine/>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70">
    <w:name w:val="Grid Table 1 Light - Accent 3"/>
    <w:basedOn w:val="36"/>
    <w:autoRedefine/>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71">
    <w:name w:val="Grid Table 1 Light - Accent 4"/>
    <w:basedOn w:val="36"/>
    <w:autoRedefine/>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2">
    <w:name w:val="Grid Table 1 Light - Accent 5"/>
    <w:basedOn w:val="36"/>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73">
    <w:name w:val="Grid Table 1 Light - Accent 6"/>
    <w:basedOn w:val="36"/>
    <w:autoRedefine/>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4">
    <w:name w:val="网格表 21"/>
    <w:basedOn w:val="36"/>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2 - Accent 1"/>
    <w:basedOn w:val="36"/>
    <w:autoRedefine/>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6">
    <w:name w:val="Grid Table 2 - Accent 2"/>
    <w:basedOn w:val="36"/>
    <w:autoRedefine/>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7">
    <w:name w:val="Grid Table 2 - Accent 3"/>
    <w:basedOn w:val="36"/>
    <w:autoRedefine/>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8">
    <w:name w:val="Grid Table 2 - Accent 4"/>
    <w:basedOn w:val="36"/>
    <w:autoRedefine/>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9">
    <w:name w:val="Grid Table 2 - Accent 5"/>
    <w:basedOn w:val="36"/>
    <w:autoRedefine/>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0">
    <w:name w:val="Grid Table 2 - Accent 6"/>
    <w:basedOn w:val="36"/>
    <w:autoRedefine/>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1">
    <w:name w:val="网格表 31"/>
    <w:basedOn w:val="36"/>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3 - Accent 1"/>
    <w:basedOn w:val="36"/>
    <w:autoRedefine/>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3">
    <w:name w:val="Grid Table 3 - Accent 2"/>
    <w:basedOn w:val="36"/>
    <w:autoRedefine/>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4">
    <w:name w:val="Grid Table 3 - Accent 3"/>
    <w:basedOn w:val="36"/>
    <w:autoRedefine/>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5">
    <w:name w:val="Grid Table 3 - Accent 4"/>
    <w:basedOn w:val="36"/>
    <w:autoRedefine/>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6">
    <w:name w:val="Grid Table 3 - Accent 5"/>
    <w:basedOn w:val="36"/>
    <w:autoRedefine/>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7">
    <w:name w:val="Grid Table 3 - Accent 6"/>
    <w:basedOn w:val="36"/>
    <w:autoRedefine/>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8">
    <w:name w:val="网格表 41"/>
    <w:basedOn w:val="36"/>
    <w:autoRedefine/>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4 - Accent 1"/>
    <w:basedOn w:val="36"/>
    <w:autoRedefine/>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90">
    <w:name w:val="Grid Table 4 - Accent 2"/>
    <w:basedOn w:val="36"/>
    <w:autoRedefine/>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1">
    <w:name w:val="Grid Table 4 - Accent 3"/>
    <w:basedOn w:val="36"/>
    <w:autoRedefine/>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2">
    <w:name w:val="Grid Table 4 - Accent 4"/>
    <w:basedOn w:val="36"/>
    <w:autoRedefine/>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3">
    <w:name w:val="Grid Table 4 - Accent 5"/>
    <w:basedOn w:val="36"/>
    <w:autoRedefine/>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4">
    <w:name w:val="Grid Table 4 - Accent 6"/>
    <w:basedOn w:val="36"/>
    <w:autoRedefine/>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5">
    <w:name w:val="网格表 5 深色1"/>
    <w:basedOn w:val="3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6">
    <w:name w:val="Grid Table 5 Dark- Accent 1"/>
    <w:basedOn w:val="3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97">
    <w:name w:val="Grid Table 5 Dark - Accent 2"/>
    <w:basedOn w:val="3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8">
    <w:name w:val="Grid Table 5 Dark - Accent 3"/>
    <w:basedOn w:val="3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9">
    <w:name w:val="Grid Table 5 Dark- Accent 4"/>
    <w:basedOn w:val="3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00">
    <w:name w:val="Grid Table 5 Dark - Accent 5"/>
    <w:basedOn w:val="3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01">
    <w:name w:val="Grid Table 5 Dark - Accent 6"/>
    <w:basedOn w:val="3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2">
    <w:name w:val="网格表 6 彩色1"/>
    <w:basedOn w:val="36"/>
    <w:autoRedefine/>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6 Colorful - Accent 1"/>
    <w:basedOn w:val="36"/>
    <w:autoRedefine/>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4">
    <w:name w:val="Grid Table 6 Colorful - Accent 2"/>
    <w:basedOn w:val="36"/>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5">
    <w:name w:val="Grid Table 6 Colorful - Accent 3"/>
    <w:basedOn w:val="36"/>
    <w:autoRedefine/>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06">
    <w:name w:val="Grid Table 6 Colorful - Accent 4"/>
    <w:basedOn w:val="36"/>
    <w:autoRedefine/>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7">
    <w:name w:val="Grid Table 6 Colorful - Accent 5"/>
    <w:basedOn w:val="36"/>
    <w:autoRedefine/>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8">
    <w:name w:val="Grid Table 6 Colorful - Accent 6"/>
    <w:basedOn w:val="36"/>
    <w:autoRedefine/>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9">
    <w:name w:val="网格表 7 彩色1"/>
    <w:basedOn w:val="36"/>
    <w:autoRedefine/>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7 Colorful - Accent 1"/>
    <w:basedOn w:val="36"/>
    <w:autoRedefine/>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1">
    <w:name w:val="Grid Table 7 Colorful - Accent 2"/>
    <w:basedOn w:val="36"/>
    <w:autoRedefine/>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2">
    <w:name w:val="Grid Table 7 Colorful - Accent 3"/>
    <w:basedOn w:val="36"/>
    <w:autoRedefine/>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13">
    <w:name w:val="Grid Table 7 Colorful - Accent 4"/>
    <w:basedOn w:val="36"/>
    <w:autoRedefine/>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4">
    <w:name w:val="Grid Table 7 Colorful - Accent 5"/>
    <w:basedOn w:val="36"/>
    <w:autoRedefine/>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5">
    <w:name w:val="Grid Table 7 Colorful - Accent 6"/>
    <w:basedOn w:val="36"/>
    <w:autoRedefine/>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6">
    <w:name w:val="清单表 1 浅色1"/>
    <w:basedOn w:val="36"/>
    <w:autoRedefine/>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7">
    <w:name w:val="List Table 1 Light - Accent 1"/>
    <w:basedOn w:val="36"/>
    <w:autoRedefine/>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8">
    <w:name w:val="List Table 1 Light - Accent 2"/>
    <w:basedOn w:val="36"/>
    <w:autoRedefine/>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9">
    <w:name w:val="List Table 1 Light - Accent 3"/>
    <w:basedOn w:val="36"/>
    <w:autoRedefine/>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20">
    <w:name w:val="List Table 1 Light - Accent 4"/>
    <w:basedOn w:val="36"/>
    <w:autoRedefine/>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21">
    <w:name w:val="List Table 1 Light - Accent 5"/>
    <w:basedOn w:val="36"/>
    <w:autoRedefine/>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22">
    <w:name w:val="List Table 1 Light - Accent 6"/>
    <w:basedOn w:val="36"/>
    <w:autoRedefine/>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3">
    <w:name w:val="清单表 21"/>
    <w:basedOn w:val="36"/>
    <w:autoRedefine/>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4">
    <w:name w:val="List Table 2 - Accent 1"/>
    <w:basedOn w:val="36"/>
    <w:autoRedefine/>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25">
    <w:name w:val="List Table 2 - Accent 2"/>
    <w:basedOn w:val="36"/>
    <w:autoRedefine/>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6">
    <w:name w:val="List Table 2 - Accent 3"/>
    <w:basedOn w:val="36"/>
    <w:autoRedefine/>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7">
    <w:name w:val="List Table 2 - Accent 4"/>
    <w:basedOn w:val="36"/>
    <w:autoRedefine/>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8">
    <w:name w:val="List Table 2 - Accent 5"/>
    <w:basedOn w:val="36"/>
    <w:autoRedefine/>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9">
    <w:name w:val="List Table 2 - Accent 6"/>
    <w:basedOn w:val="36"/>
    <w:autoRedefine/>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0">
    <w:name w:val="清单表 31"/>
    <w:basedOn w:val="36"/>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1">
    <w:name w:val="List Table 3 - Accent 1"/>
    <w:basedOn w:val="36"/>
    <w:autoRedefine/>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32">
    <w:name w:val="List Table 3 - Accent 2"/>
    <w:basedOn w:val="36"/>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3">
    <w:name w:val="List Table 3 - Accent 3"/>
    <w:basedOn w:val="36"/>
    <w:autoRedefine/>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4">
    <w:name w:val="List Table 3 - Accent 4"/>
    <w:basedOn w:val="36"/>
    <w:autoRedefine/>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5">
    <w:name w:val="List Table 3 - Accent 5"/>
    <w:basedOn w:val="36"/>
    <w:autoRedefine/>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6">
    <w:name w:val="List Table 3 - Accent 6"/>
    <w:basedOn w:val="36"/>
    <w:autoRedefine/>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7">
    <w:name w:val="清单表 41"/>
    <w:basedOn w:val="36"/>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4 - Accent 1"/>
    <w:basedOn w:val="36"/>
    <w:autoRedefine/>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9">
    <w:name w:val="List Table 4 - Accent 2"/>
    <w:basedOn w:val="36"/>
    <w:autoRedefine/>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0">
    <w:name w:val="List Table 4 - Accent 3"/>
    <w:basedOn w:val="36"/>
    <w:autoRedefine/>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1">
    <w:name w:val="List Table 4 - Accent 4"/>
    <w:basedOn w:val="36"/>
    <w:autoRedefine/>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2">
    <w:name w:val="List Table 4 - Accent 5"/>
    <w:basedOn w:val="36"/>
    <w:autoRedefine/>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3">
    <w:name w:val="List Table 4 - Accent 6"/>
    <w:basedOn w:val="36"/>
    <w:autoRedefine/>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4">
    <w:name w:val="清单表 5 深色1"/>
    <w:basedOn w:val="36"/>
    <w:autoRedefine/>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5">
    <w:name w:val="List Table 5 Dark - Accent 1"/>
    <w:basedOn w:val="36"/>
    <w:autoRedefine/>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46">
    <w:name w:val="List Table 5 Dark - Accent 2"/>
    <w:basedOn w:val="36"/>
    <w:autoRedefine/>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7">
    <w:name w:val="List Table 5 Dark - Accent 3"/>
    <w:basedOn w:val="36"/>
    <w:autoRedefine/>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8">
    <w:name w:val="List Table 5 Dark - Accent 4"/>
    <w:basedOn w:val="36"/>
    <w:autoRedefine/>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9">
    <w:name w:val="List Table 5 Dark - Accent 5"/>
    <w:basedOn w:val="36"/>
    <w:autoRedefine/>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50">
    <w:name w:val="List Table 5 Dark - Accent 6"/>
    <w:basedOn w:val="36"/>
    <w:autoRedefine/>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51">
    <w:name w:val="清单表 6 彩色1"/>
    <w:basedOn w:val="36"/>
    <w:autoRedefine/>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2">
    <w:name w:val="List Table 6 Colorful - Accent 1"/>
    <w:basedOn w:val="36"/>
    <w:autoRedefine/>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3">
    <w:name w:val="List Table 6 Colorful - Accent 2"/>
    <w:basedOn w:val="36"/>
    <w:autoRedefine/>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4">
    <w:name w:val="List Table 6 Colorful - Accent 3"/>
    <w:basedOn w:val="36"/>
    <w:autoRedefine/>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5">
    <w:name w:val="List Table 6 Colorful - Accent 4"/>
    <w:basedOn w:val="36"/>
    <w:autoRedefine/>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6">
    <w:name w:val="List Table 6 Colorful - Accent 5"/>
    <w:basedOn w:val="36"/>
    <w:autoRedefine/>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7">
    <w:name w:val="List Table 6 Colorful - Accent 6"/>
    <w:basedOn w:val="36"/>
    <w:autoRedefine/>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8">
    <w:name w:val="清单表 7 彩色1"/>
    <w:basedOn w:val="36"/>
    <w:autoRedefine/>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9">
    <w:name w:val="List Table 7 Colorful - Accent 1"/>
    <w:basedOn w:val="36"/>
    <w:autoRedefine/>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0">
    <w:name w:val="List Table 7 Colorful - Accent 2"/>
    <w:basedOn w:val="36"/>
    <w:autoRedefine/>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1">
    <w:name w:val="List Table 7 Colorful - Accent 3"/>
    <w:basedOn w:val="36"/>
    <w:autoRedefine/>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2">
    <w:name w:val="List Table 7 Colorful - Accent 4"/>
    <w:basedOn w:val="36"/>
    <w:autoRedefine/>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3">
    <w:name w:val="List Table 7 Colorful - Accent 5"/>
    <w:basedOn w:val="36"/>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4">
    <w:name w:val="List Table 7 Colorful - Accent 6"/>
    <w:basedOn w:val="36"/>
    <w:autoRedefine/>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5">
    <w:name w:val="Lined - Accent"/>
    <w:basedOn w:val="36"/>
    <w:autoRedefine/>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Lined - Accent 1"/>
    <w:basedOn w:val="36"/>
    <w:autoRedefine/>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7">
    <w:name w:val="Lined - Accent 2"/>
    <w:basedOn w:val="36"/>
    <w:autoRedefine/>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8">
    <w:name w:val="Lined - Accent 3"/>
    <w:basedOn w:val="36"/>
    <w:autoRedefine/>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9">
    <w:name w:val="Lined - Accent 4"/>
    <w:basedOn w:val="36"/>
    <w:autoRedefine/>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0">
    <w:name w:val="Lined - Accent 5"/>
    <w:basedOn w:val="36"/>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1">
    <w:name w:val="Lined - Accent 6"/>
    <w:basedOn w:val="36"/>
    <w:autoRedefine/>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2">
    <w:name w:val="Bordered &amp; Lined - Accent"/>
    <w:basedOn w:val="36"/>
    <w:autoRedefine/>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Bordered &amp; Lined - Accent 1"/>
    <w:basedOn w:val="36"/>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4">
    <w:name w:val="Bordered &amp; Lined - Accent 2"/>
    <w:basedOn w:val="36"/>
    <w:autoRedefine/>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5">
    <w:name w:val="Bordered &amp; Lined - Accent 3"/>
    <w:basedOn w:val="36"/>
    <w:autoRedefine/>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6">
    <w:name w:val="Bordered &amp; Lined - Accent 4"/>
    <w:basedOn w:val="36"/>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7">
    <w:name w:val="Bordered &amp; Lined - Accent 5"/>
    <w:basedOn w:val="36"/>
    <w:autoRedefine/>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8">
    <w:name w:val="Bordered &amp; Lined - Accent 6"/>
    <w:basedOn w:val="36"/>
    <w:autoRedefine/>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9">
    <w:name w:val="Bordered"/>
    <w:basedOn w:val="36"/>
    <w:autoRedefine/>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0">
    <w:name w:val="Bordered - Accent 1"/>
    <w:basedOn w:val="36"/>
    <w:autoRedefine/>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81">
    <w:name w:val="Bordered - Accent 2"/>
    <w:basedOn w:val="36"/>
    <w:autoRedefine/>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2">
    <w:name w:val="Bordered - Accent 3"/>
    <w:basedOn w:val="36"/>
    <w:autoRedefine/>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3">
    <w:name w:val="Bordered - Accent 4"/>
    <w:basedOn w:val="36"/>
    <w:autoRedefine/>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4">
    <w:name w:val="Bordered - Accent 5"/>
    <w:basedOn w:val="36"/>
    <w:autoRedefine/>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5">
    <w:name w:val="Bordered - Accent 6"/>
    <w:basedOn w:val="36"/>
    <w:autoRedefine/>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6">
    <w:name w:val="脚注文本 字符"/>
    <w:link w:val="28"/>
    <w:autoRedefine/>
    <w:qFormat/>
    <w:uiPriority w:val="99"/>
    <w:rPr>
      <w:sz w:val="18"/>
    </w:rPr>
  </w:style>
  <w:style w:type="character" w:customStyle="1" w:styleId="187">
    <w:name w:val="尾注文本 字符"/>
    <w:link w:val="22"/>
    <w:qFormat/>
    <w:uiPriority w:val="99"/>
    <w:rPr>
      <w:sz w:val="20"/>
    </w:rPr>
  </w:style>
  <w:style w:type="paragraph" w:customStyle="1" w:styleId="188">
    <w:name w:val="TOC 标题1"/>
    <w:autoRedefine/>
    <w:unhideWhenUsed/>
    <w:qFormat/>
    <w:uiPriority w:val="39"/>
    <w:pPr>
      <w:spacing w:after="200" w:line="276" w:lineRule="auto"/>
    </w:pPr>
    <w:rPr>
      <w:rFonts w:asciiTheme="minorHAnsi" w:hAnsiTheme="minorHAnsi" w:eastAsiaTheme="minorHAnsi" w:cstheme="minorBidi"/>
      <w:sz w:val="22"/>
      <w:szCs w:val="22"/>
      <w:lang w:val="en-US" w:eastAsia="en-US" w:bidi="ar-SA"/>
    </w:rPr>
  </w:style>
  <w:style w:type="paragraph" w:styleId="189">
    <w:name w:val="No Spacing"/>
    <w:basedOn w:val="1"/>
    <w:qFormat/>
    <w:uiPriority w:val="1"/>
    <w:pPr>
      <w:spacing w:after="0" w:line="240" w:lineRule="auto"/>
    </w:pPr>
  </w:style>
  <w:style w:type="paragraph" w:styleId="190">
    <w:name w:val="List Paragraph"/>
    <w:basedOn w:val="1"/>
    <w:autoRedefine/>
    <w:qFormat/>
    <w:uiPriority w:val="34"/>
    <w:pPr>
      <w:ind w:left="720"/>
      <w:contextualSpacing/>
    </w:pPr>
  </w:style>
  <w:style w:type="paragraph" w:customStyle="1" w:styleId="191">
    <w:name w:val="sh4"/>
    <w:basedOn w:val="1"/>
    <w:autoRedefine/>
    <w:qFormat/>
    <w:uiPriority w:val="0"/>
    <w:pPr>
      <w:spacing w:line="460" w:lineRule="exact"/>
      <w:ind w:firstLine="420" w:firstLineChars="200"/>
    </w:pPr>
    <w:rPr>
      <w:rFonts w:ascii="宋体" w:hAnsi="宋体"/>
      <w:szCs w:val="21"/>
    </w:rPr>
  </w:style>
  <w:style w:type="paragraph" w:customStyle="1" w:styleId="192">
    <w:name w:val="正文缩进2格"/>
    <w:basedOn w:val="1"/>
    <w:qFormat/>
    <w:uiPriority w:val="99"/>
    <w:pPr>
      <w:spacing w:line="600" w:lineRule="exact"/>
      <w:ind w:firstLine="639" w:firstLineChars="206"/>
    </w:pPr>
    <w:rPr>
      <w:rFonts w:ascii="??_GB2312" w:hAnsi="宋体"/>
      <w:sz w:val="31"/>
      <w:szCs w:val="31"/>
    </w:rPr>
  </w:style>
  <w:style w:type="paragraph" w:customStyle="1" w:styleId="193">
    <w:name w:val="标题1"/>
    <w:basedOn w:val="1"/>
    <w:next w:val="1"/>
    <w:qFormat/>
    <w:uiPriority w:val="99"/>
    <w:pPr>
      <w:spacing w:line="700" w:lineRule="atLeast"/>
      <w:jc w:val="center"/>
    </w:pPr>
    <w:rPr>
      <w:rFonts w:ascii="Times New Roman" w:hAnsi="Times New Roman"/>
      <w:sz w:val="44"/>
      <w:szCs w:val="44"/>
    </w:rPr>
  </w:style>
  <w:style w:type="paragraph" w:customStyle="1" w:styleId="194">
    <w:name w:val="Table Paragraph"/>
    <w:basedOn w:val="1"/>
    <w:qFormat/>
    <w:uiPriority w:val="1"/>
    <w:rPr>
      <w:rFonts w:ascii="宋体" w:hAnsi="宋体" w:eastAsia="宋体" w:cs="宋体"/>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黑体"/>
        <a:cs typeface="Arial"/>
      </a:majorFont>
      <a:minorFont>
        <a:latin typeface="Arial"/>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34630</Words>
  <Characters>35338</Characters>
  <Lines>232</Lines>
  <Paragraphs>65</Paragraphs>
  <TotalTime>2</TotalTime>
  <ScaleCrop>false</ScaleCrop>
  <LinksUpToDate>false</LinksUpToDate>
  <CharactersWithSpaces>36894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2024-07-17T07:09:00Z</dcterms:created>
  <dc:creator>一个胖菇凉</dc:creator>
  <cp:lastModifiedBy>一个胖菇凉</cp:lastModifiedBy>
  <dcterms:modified xsi:type="dcterms:W3CDTF">2024-09-04T01:48:22Z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2A0F61E03DD84646A1BF2BABA2DA2638</vt:lpwstr>
  </property>
</Properties>
</file>